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558E8" w14:textId="185535F8" w:rsidR="0027348F" w:rsidRDefault="0027348F" w:rsidP="0027348F">
      <w:pPr>
        <w:pStyle w:val="Title"/>
        <w:tabs>
          <w:tab w:val="left" w:pos="4500"/>
        </w:tabs>
        <w:jc w:val="left"/>
      </w:pPr>
    </w:p>
    <w:p w14:paraId="4C90C061" w14:textId="77777777" w:rsidR="0027348F" w:rsidRDefault="0027348F" w:rsidP="0027348F">
      <w:pPr>
        <w:pStyle w:val="Title"/>
        <w:jc w:val="left"/>
      </w:pPr>
    </w:p>
    <w:p w14:paraId="738B4452" w14:textId="7125203C" w:rsidR="00D1076C" w:rsidRPr="00360FEF" w:rsidRDefault="00BB5939" w:rsidP="009C6D19">
      <w:pPr>
        <w:pStyle w:val="Title"/>
        <w:ind w:left="720"/>
        <w:jc w:val="left"/>
        <w:rPr>
          <w:rFonts w:ascii="Aptos" w:hAnsi="Aptos"/>
          <w:color w:val="34246B" w:themeColor="accent2"/>
          <w:sz w:val="56"/>
          <w:szCs w:val="56"/>
        </w:rPr>
      </w:pPr>
      <w:r w:rsidRPr="00360FEF">
        <w:rPr>
          <w:rFonts w:ascii="Aptos" w:hAnsi="Aptos"/>
          <w:color w:val="34246B" w:themeColor="accent2"/>
          <w:sz w:val="56"/>
          <w:szCs w:val="56"/>
        </w:rPr>
        <w:t xml:space="preserve">CRI </w:t>
      </w:r>
      <w:r w:rsidR="007833E1" w:rsidRPr="00360FEF">
        <w:rPr>
          <w:rFonts w:ascii="Aptos" w:hAnsi="Aptos"/>
          <w:color w:val="34246B" w:themeColor="accent2"/>
          <w:sz w:val="56"/>
          <w:szCs w:val="56"/>
        </w:rPr>
        <w:t xml:space="preserve">Financial Services </w:t>
      </w:r>
      <w:r w:rsidR="00D1076C" w:rsidRPr="00360FEF">
        <w:rPr>
          <w:rFonts w:ascii="Aptos" w:hAnsi="Aptos"/>
          <w:color w:val="34246B" w:themeColor="accent2"/>
          <w:sz w:val="56"/>
          <w:szCs w:val="56"/>
        </w:rPr>
        <w:t>AI</w:t>
      </w:r>
      <w:r w:rsidR="007833E1" w:rsidRPr="00360FEF">
        <w:rPr>
          <w:rFonts w:ascii="Aptos" w:hAnsi="Aptos"/>
          <w:color w:val="34246B" w:themeColor="accent2"/>
          <w:sz w:val="56"/>
          <w:szCs w:val="56"/>
        </w:rPr>
        <w:t xml:space="preserve"> Risk Management Framework </w:t>
      </w:r>
      <w:r w:rsidR="00920410">
        <w:rPr>
          <w:rFonts w:ascii="Aptos" w:hAnsi="Aptos"/>
          <w:color w:val="34246B" w:themeColor="accent2"/>
          <w:sz w:val="56"/>
          <w:szCs w:val="56"/>
        </w:rPr>
        <w:br/>
      </w:r>
      <w:r w:rsidR="00360FEF" w:rsidRPr="00360FEF">
        <w:rPr>
          <w:rFonts w:ascii="Aptos" w:hAnsi="Aptos"/>
          <w:color w:val="34246B" w:themeColor="accent2"/>
          <w:sz w:val="56"/>
          <w:szCs w:val="56"/>
        </w:rPr>
        <w:t>Ver</w:t>
      </w:r>
      <w:r w:rsidR="006852D9">
        <w:rPr>
          <w:rFonts w:ascii="Aptos" w:hAnsi="Aptos"/>
          <w:color w:val="34246B" w:themeColor="accent2"/>
          <w:sz w:val="56"/>
          <w:szCs w:val="56"/>
        </w:rPr>
        <w:t>.</w:t>
      </w:r>
      <w:r w:rsidR="00360FEF" w:rsidRPr="00360FEF">
        <w:rPr>
          <w:rFonts w:ascii="Aptos" w:hAnsi="Aptos"/>
          <w:color w:val="34246B" w:themeColor="accent2"/>
          <w:sz w:val="56"/>
          <w:szCs w:val="56"/>
        </w:rPr>
        <w:t xml:space="preserve"> </w:t>
      </w:r>
      <w:r w:rsidR="00F33F7C" w:rsidRPr="00360FEF">
        <w:rPr>
          <w:rFonts w:ascii="Aptos" w:hAnsi="Aptos"/>
          <w:color w:val="34246B" w:themeColor="accent2"/>
          <w:sz w:val="56"/>
          <w:szCs w:val="56"/>
        </w:rPr>
        <w:t>1.0</w:t>
      </w:r>
    </w:p>
    <w:p w14:paraId="7D5A4CD7" w14:textId="77777777" w:rsidR="007B272F" w:rsidRDefault="007B272F" w:rsidP="007B272F">
      <w:pPr>
        <w:pStyle w:val="SubtitleOrange"/>
        <w:spacing w:after="120"/>
        <w:ind w:left="1440"/>
        <w:rPr>
          <w:rFonts w:ascii="Aptos" w:hAnsi="Aptos"/>
          <w:sz w:val="44"/>
          <w:szCs w:val="44"/>
        </w:rPr>
      </w:pPr>
    </w:p>
    <w:p w14:paraId="0C42E03A" w14:textId="7FB46ECB" w:rsidR="007B272F" w:rsidRPr="000B51E8" w:rsidRDefault="002E7613" w:rsidP="007B272F">
      <w:pPr>
        <w:pStyle w:val="SubtitleOrange"/>
        <w:spacing w:after="120"/>
        <w:ind w:firstLine="720"/>
        <w:rPr>
          <w:rFonts w:ascii="Aptos" w:hAnsi="Aptos"/>
          <w:sz w:val="48"/>
          <w:szCs w:val="48"/>
        </w:rPr>
      </w:pPr>
      <w:r>
        <w:rPr>
          <w:rFonts w:ascii="Aptos" w:hAnsi="Aptos"/>
          <w:sz w:val="48"/>
          <w:szCs w:val="48"/>
        </w:rPr>
        <w:t>Control Objective Reference Guide</w:t>
      </w:r>
    </w:p>
    <w:p w14:paraId="7CA0B7F4" w14:textId="77777777" w:rsidR="007B272F" w:rsidRDefault="007B272F" w:rsidP="007B272F">
      <w:pPr>
        <w:pStyle w:val="CoverBodyGrey"/>
        <w:spacing w:after="120"/>
        <w:ind w:left="720"/>
        <w:rPr>
          <w:rFonts w:ascii="Aptos" w:hAnsi="Aptos"/>
        </w:rPr>
      </w:pPr>
    </w:p>
    <w:p w14:paraId="3CBE1642" w14:textId="77777777" w:rsidR="007B272F" w:rsidRDefault="007B272F" w:rsidP="007B272F">
      <w:pPr>
        <w:pStyle w:val="CoverBodyGrey"/>
        <w:spacing w:after="120"/>
        <w:ind w:left="720"/>
        <w:rPr>
          <w:rFonts w:ascii="Aptos" w:hAnsi="Aptos"/>
        </w:rPr>
      </w:pPr>
    </w:p>
    <w:p w14:paraId="6368BD50" w14:textId="77777777" w:rsidR="007B272F" w:rsidRPr="00A6032B" w:rsidRDefault="007B272F" w:rsidP="007B272F">
      <w:pPr>
        <w:pStyle w:val="CoverBodyGrey"/>
        <w:spacing w:after="120"/>
        <w:ind w:left="720"/>
        <w:rPr>
          <w:rFonts w:ascii="Aptos" w:hAnsi="Aptos"/>
        </w:rPr>
      </w:pPr>
    </w:p>
    <w:p w14:paraId="44339003" w14:textId="58CD6FD2" w:rsidR="007B272F" w:rsidRPr="00005A4A" w:rsidRDefault="00D72AE9" w:rsidP="007B272F">
      <w:pPr>
        <w:pStyle w:val="CoverBodyGrey"/>
        <w:spacing w:after="120"/>
        <w:ind w:firstLine="720"/>
        <w:rPr>
          <w:rFonts w:ascii="Aptos" w:hAnsi="Aptos"/>
          <w:sz w:val="36"/>
        </w:rPr>
      </w:pPr>
      <w:r>
        <w:rPr>
          <w:rFonts w:ascii="Aptos" w:hAnsi="Aptos"/>
          <w:sz w:val="36"/>
        </w:rPr>
        <w:t>February</w:t>
      </w:r>
      <w:r w:rsidR="007B272F" w:rsidRPr="00005A4A">
        <w:rPr>
          <w:rFonts w:ascii="Aptos" w:hAnsi="Aptos"/>
          <w:sz w:val="36"/>
        </w:rPr>
        <w:t xml:space="preserve"> 202</w:t>
      </w:r>
      <w:r>
        <w:rPr>
          <w:rFonts w:ascii="Aptos" w:hAnsi="Aptos"/>
          <w:sz w:val="36"/>
        </w:rPr>
        <w:t>6</w:t>
      </w:r>
    </w:p>
    <w:p w14:paraId="092896CA" w14:textId="77777777" w:rsidR="007B272F" w:rsidRDefault="007B272F" w:rsidP="007B272F">
      <w:pPr>
        <w:pStyle w:val="CoverBodyGrey"/>
        <w:spacing w:after="120"/>
        <w:ind w:left="1440"/>
        <w:rPr>
          <w:rFonts w:ascii="Aptos" w:hAnsi="Aptos"/>
        </w:rPr>
      </w:pPr>
    </w:p>
    <w:p w14:paraId="752D72BC" w14:textId="08F6A0CD" w:rsidR="007B272F" w:rsidRDefault="005B1C6A" w:rsidP="007B272F">
      <w:pPr>
        <w:pStyle w:val="CoverBodyGrey"/>
        <w:spacing w:after="120"/>
        <w:ind w:left="1440"/>
        <w:rPr>
          <w:rFonts w:ascii="Aptos" w:hAnsi="Aptos"/>
        </w:rPr>
      </w:pPr>
      <w:r w:rsidRPr="00A05789">
        <w:rPr>
          <w:rFonts w:ascii="Aptos" w:hAnsi="Aptos"/>
          <w:i/>
          <w:iCs/>
          <w:noProof/>
          <w:color w:val="B31E3E" w:themeColor="accent1"/>
          <w:sz w:val="28"/>
          <w:szCs w:val="32"/>
        </w:rPr>
        <w:drawing>
          <wp:inline distT="0" distB="0" distL="0" distR="0" wp14:anchorId="7883935D" wp14:editId="6AB94E25">
            <wp:extent cx="4825497" cy="680261"/>
            <wp:effectExtent l="0" t="0" r="0" b="5715"/>
            <wp:docPr id="13" name="Picture 12">
              <a:extLst xmlns:a="http://schemas.openxmlformats.org/drawingml/2006/main">
                <a:ext uri="{FF2B5EF4-FFF2-40B4-BE49-F238E27FC236}">
                  <a16:creationId xmlns:a16="http://schemas.microsoft.com/office/drawing/2014/main" id="{2BDF3D50-1400-BD31-1A55-33D5BCD620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2BDF3D50-1400-BD31-1A55-33D5BCD6206D}"/>
                        </a:ext>
                      </a:extLst>
                    </pic:cNvPr>
                    <pic:cNvPicPr>
                      <a:picLocks noChangeAspect="1"/>
                    </pic:cNvPicPr>
                  </pic:nvPicPr>
                  <pic:blipFill>
                    <a:blip r:embed="rId11"/>
                    <a:stretch>
                      <a:fillRect/>
                    </a:stretch>
                  </pic:blipFill>
                  <pic:spPr>
                    <a:xfrm>
                      <a:off x="0" y="0"/>
                      <a:ext cx="4879279" cy="687843"/>
                    </a:xfrm>
                    <a:prstGeom prst="rect">
                      <a:avLst/>
                    </a:prstGeom>
                  </pic:spPr>
                </pic:pic>
              </a:graphicData>
            </a:graphic>
          </wp:inline>
        </w:drawing>
      </w:r>
    </w:p>
    <w:p w14:paraId="5D155797" w14:textId="77777777" w:rsidR="00CE4DC9" w:rsidRPr="00EA028D" w:rsidRDefault="00CE4DC9" w:rsidP="00CE4DC9">
      <w:pPr>
        <w:pStyle w:val="CoverBodyGrey"/>
        <w:spacing w:after="120"/>
        <w:ind w:left="720"/>
        <w:rPr>
          <w:rFonts w:ascii="Aptos" w:hAnsi="Aptos"/>
          <w:sz w:val="24"/>
          <w:szCs w:val="24"/>
        </w:rPr>
      </w:pPr>
      <w:r w:rsidRPr="00EA028D">
        <w:rPr>
          <w:rFonts w:ascii="Aptos" w:hAnsi="Aptos"/>
          <w:sz w:val="24"/>
          <w:szCs w:val="24"/>
        </w:rPr>
        <w:t>Developed in collaboration with the Financial Services Sector Coordinating Council and the U.S. Department of the Treasury</w:t>
      </w:r>
    </w:p>
    <w:p w14:paraId="4CEBC2FA" w14:textId="77777777" w:rsidR="005B1C6A" w:rsidRPr="00A6032B" w:rsidRDefault="005B1C6A" w:rsidP="007B272F">
      <w:pPr>
        <w:pStyle w:val="CoverBodyGrey"/>
        <w:spacing w:after="120"/>
        <w:ind w:left="1440"/>
        <w:rPr>
          <w:rFonts w:ascii="Aptos" w:hAnsi="Aptos"/>
        </w:rPr>
      </w:pPr>
    </w:p>
    <w:p w14:paraId="5D73F24E" w14:textId="6E56C247" w:rsidR="0027348F" w:rsidRPr="00F33F7C" w:rsidRDefault="0027348F" w:rsidP="00F75F41">
      <w:pPr>
        <w:pStyle w:val="Title"/>
        <w:ind w:left="720"/>
        <w:jc w:val="left"/>
        <w:rPr>
          <w:rFonts w:ascii="Aptos" w:hAnsi="Aptos"/>
        </w:rPr>
      </w:pPr>
    </w:p>
    <w:p w14:paraId="7D758A28" w14:textId="2D96884B" w:rsidR="00F81BB2" w:rsidRPr="00BB1202" w:rsidRDefault="00D50B66" w:rsidP="00614319">
      <w:pPr>
        <w:jc w:val="right"/>
        <w:rPr>
          <w:rFonts w:ascii="Aptos" w:hAnsi="Aptos"/>
          <w:i/>
          <w:iCs/>
          <w:color w:val="B31E3E" w:themeColor="accent1"/>
          <w:sz w:val="28"/>
          <w:szCs w:val="32"/>
        </w:rPr>
      </w:pPr>
      <w:bookmarkStart w:id="0" w:name="_Toc14700758"/>
      <w:bookmarkStart w:id="1" w:name="_Toc14702154"/>
      <w:bookmarkStart w:id="2" w:name="_Toc14705147"/>
      <w:bookmarkStart w:id="3" w:name="_Toc14705368"/>
      <w:r w:rsidRPr="00BB1202">
        <w:rPr>
          <w:rFonts w:ascii="Aptos" w:hAnsi="Aptos" w:cstheme="majorHAnsi"/>
          <w:noProof/>
          <w:sz w:val="32"/>
          <w:szCs w:val="36"/>
        </w:rPr>
        <w:drawing>
          <wp:anchor distT="0" distB="0" distL="114300" distR="114300" simplePos="0" relativeHeight="251651584" behindDoc="1" locked="0" layoutInCell="1" allowOverlap="1" wp14:anchorId="44C5F6CE" wp14:editId="537603E7">
            <wp:simplePos x="0" y="0"/>
            <wp:positionH relativeFrom="column">
              <wp:posOffset>62230</wp:posOffset>
            </wp:positionH>
            <wp:positionV relativeFrom="page">
              <wp:posOffset>6570980</wp:posOffset>
            </wp:positionV>
            <wp:extent cx="6403340" cy="2588895"/>
            <wp:effectExtent l="0" t="0" r="0" b="1905"/>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rot="10800000" flipH="1">
                      <a:off x="0" y="0"/>
                      <a:ext cx="6403340" cy="2588895"/>
                    </a:xfrm>
                    <a:prstGeom prst="rect">
                      <a:avLst/>
                    </a:prstGeom>
                  </pic:spPr>
                </pic:pic>
              </a:graphicData>
            </a:graphic>
            <wp14:sizeRelH relativeFrom="page">
              <wp14:pctWidth>0</wp14:pctWidth>
            </wp14:sizeRelH>
            <wp14:sizeRelV relativeFrom="page">
              <wp14:pctHeight>0</wp14:pctHeight>
            </wp14:sizeRelV>
          </wp:anchor>
        </w:drawing>
      </w:r>
    </w:p>
    <w:p w14:paraId="056D431F" w14:textId="2D3F3DF4" w:rsidR="00F81BB2" w:rsidRPr="00BB1202" w:rsidRDefault="00F81BB2">
      <w:pPr>
        <w:rPr>
          <w:rFonts w:ascii="Aptos" w:hAnsi="Aptos"/>
          <w:i/>
          <w:iCs/>
          <w:color w:val="B31E3E" w:themeColor="accent1"/>
          <w:sz w:val="28"/>
          <w:szCs w:val="32"/>
        </w:rPr>
      </w:pPr>
    </w:p>
    <w:p w14:paraId="23798E4F" w14:textId="5BDBCD7C" w:rsidR="00715921" w:rsidRPr="00BB1202" w:rsidRDefault="00715921">
      <w:pPr>
        <w:rPr>
          <w:rFonts w:ascii="Aptos" w:hAnsi="Aptos"/>
          <w:i/>
          <w:iCs/>
          <w:color w:val="B31E3E" w:themeColor="accent1"/>
          <w:sz w:val="28"/>
          <w:szCs w:val="32"/>
        </w:rPr>
      </w:pPr>
    </w:p>
    <w:p w14:paraId="2712B2B9" w14:textId="3C0A1EFA" w:rsidR="00715921" w:rsidRPr="00BB1202" w:rsidRDefault="00715921">
      <w:pPr>
        <w:rPr>
          <w:rFonts w:ascii="Aptos" w:hAnsi="Aptos"/>
          <w:i/>
          <w:iCs/>
          <w:color w:val="B31E3E" w:themeColor="accent1"/>
          <w:sz w:val="28"/>
          <w:szCs w:val="32"/>
        </w:rPr>
      </w:pPr>
    </w:p>
    <w:p w14:paraId="425D8497" w14:textId="33BDA5CB" w:rsidR="00715921" w:rsidRPr="00BB1202" w:rsidRDefault="00715921">
      <w:pPr>
        <w:rPr>
          <w:rFonts w:ascii="Aptos" w:hAnsi="Aptos"/>
          <w:i/>
          <w:iCs/>
          <w:color w:val="B31E3E" w:themeColor="accent1"/>
          <w:sz w:val="28"/>
          <w:szCs w:val="32"/>
        </w:rPr>
      </w:pPr>
    </w:p>
    <w:p w14:paraId="5DB9AC51" w14:textId="4576B0EF" w:rsidR="00715921" w:rsidRPr="00BB1202" w:rsidRDefault="00715921">
      <w:pPr>
        <w:rPr>
          <w:rFonts w:ascii="Aptos" w:hAnsi="Aptos"/>
          <w:i/>
          <w:iCs/>
          <w:color w:val="B31E3E" w:themeColor="accent1"/>
          <w:sz w:val="28"/>
          <w:szCs w:val="32"/>
        </w:rPr>
      </w:pPr>
    </w:p>
    <w:p w14:paraId="295FE1A6" w14:textId="040384B0" w:rsidR="00715921" w:rsidRPr="00BB1202" w:rsidRDefault="00715921">
      <w:pPr>
        <w:rPr>
          <w:rFonts w:ascii="Aptos" w:hAnsi="Aptos"/>
          <w:i/>
          <w:iCs/>
          <w:color w:val="B31E3E" w:themeColor="accent1"/>
          <w:sz w:val="28"/>
          <w:szCs w:val="32"/>
        </w:rPr>
      </w:pPr>
    </w:p>
    <w:p w14:paraId="020A4A47" w14:textId="5C00E068" w:rsidR="00D21B14" w:rsidRPr="00141C7A" w:rsidRDefault="00DA3503" w:rsidP="00FF487A">
      <w:pPr>
        <w:spacing w:line="269" w:lineRule="auto"/>
        <w:jc w:val="both"/>
        <w:rPr>
          <w:rFonts w:ascii="Aptos" w:hAnsi="Aptos"/>
          <w:b/>
          <w:bCs/>
          <w:color w:val="34246B" w:themeColor="accent2"/>
          <w:sz w:val="28"/>
          <w:szCs w:val="28"/>
        </w:rPr>
      </w:pPr>
      <w:bookmarkStart w:id="4" w:name="_Toc14449287"/>
      <w:bookmarkStart w:id="5" w:name="_Toc14700759"/>
      <w:bookmarkStart w:id="6" w:name="_Toc43996376"/>
      <w:bookmarkStart w:id="7" w:name="_Hlk44341187"/>
      <w:bookmarkEnd w:id="0"/>
      <w:bookmarkEnd w:id="1"/>
      <w:bookmarkEnd w:id="2"/>
      <w:bookmarkEnd w:id="3"/>
      <w:r w:rsidRPr="00141C7A">
        <w:rPr>
          <w:rFonts w:ascii="Aptos" w:hAnsi="Aptos"/>
          <w:b/>
          <w:bCs/>
          <w:color w:val="34246B" w:themeColor="accent2"/>
          <w:sz w:val="28"/>
          <w:szCs w:val="28"/>
        </w:rPr>
        <w:lastRenderedPageBreak/>
        <w:t>INTRODUCTION</w:t>
      </w:r>
    </w:p>
    <w:p w14:paraId="5FD029AF" w14:textId="77777777" w:rsidR="00D21B14" w:rsidRPr="00141C7A" w:rsidRDefault="00D21B14" w:rsidP="00141C7A">
      <w:pPr>
        <w:jc w:val="both"/>
        <w:rPr>
          <w:rFonts w:ascii="Aptos" w:hAnsi="Aptos"/>
          <w:color w:val="auto"/>
          <w:sz w:val="20"/>
          <w:szCs w:val="20"/>
        </w:rPr>
      </w:pPr>
    </w:p>
    <w:p w14:paraId="64182888" w14:textId="541947A3" w:rsidR="000A1C80" w:rsidRPr="00141C7A" w:rsidRDefault="00DA3503" w:rsidP="00141C7A">
      <w:pPr>
        <w:jc w:val="both"/>
        <w:rPr>
          <w:rFonts w:ascii="Aptos" w:hAnsi="Aptos"/>
          <w:color w:val="auto"/>
          <w:sz w:val="20"/>
          <w:szCs w:val="20"/>
        </w:rPr>
      </w:pPr>
      <w:r w:rsidRPr="00141C7A">
        <w:rPr>
          <w:rFonts w:ascii="Aptos" w:hAnsi="Aptos"/>
          <w:color w:val="auto"/>
          <w:sz w:val="20"/>
          <w:szCs w:val="20"/>
        </w:rPr>
        <w:t>T</w:t>
      </w:r>
      <w:r w:rsidR="009D6798" w:rsidRPr="00141C7A">
        <w:rPr>
          <w:rFonts w:ascii="Aptos" w:hAnsi="Aptos"/>
          <w:color w:val="auto"/>
          <w:sz w:val="20"/>
          <w:szCs w:val="20"/>
        </w:rPr>
        <w:t>his document</w:t>
      </w:r>
      <w:r w:rsidR="004F627A" w:rsidRPr="00141C7A">
        <w:rPr>
          <w:rFonts w:ascii="Aptos" w:hAnsi="Aptos"/>
          <w:color w:val="auto"/>
          <w:sz w:val="20"/>
          <w:szCs w:val="20"/>
        </w:rPr>
        <w:t xml:space="preserve"> </w:t>
      </w:r>
      <w:r w:rsidR="00B110AA" w:rsidRPr="00141C7A">
        <w:rPr>
          <w:rFonts w:ascii="Aptos" w:hAnsi="Aptos"/>
          <w:color w:val="auto"/>
          <w:sz w:val="20"/>
          <w:szCs w:val="20"/>
        </w:rPr>
        <w:t>serves as a detailed reference</w:t>
      </w:r>
      <w:r w:rsidR="004F627A" w:rsidRPr="00141C7A">
        <w:rPr>
          <w:rFonts w:ascii="Aptos" w:hAnsi="Aptos"/>
          <w:color w:val="auto"/>
          <w:sz w:val="20"/>
          <w:szCs w:val="20"/>
        </w:rPr>
        <w:t xml:space="preserve"> guide</w:t>
      </w:r>
      <w:r w:rsidR="00B110AA" w:rsidRPr="00141C7A">
        <w:rPr>
          <w:rFonts w:ascii="Aptos" w:hAnsi="Aptos"/>
          <w:color w:val="auto"/>
          <w:sz w:val="20"/>
          <w:szCs w:val="20"/>
        </w:rPr>
        <w:t xml:space="preserve">, providing a comprehensive breakdown of each of the </w:t>
      </w:r>
      <w:r w:rsidR="00D87D1C" w:rsidRPr="00141C7A">
        <w:rPr>
          <w:rFonts w:ascii="Aptos" w:hAnsi="Aptos"/>
          <w:color w:val="auto"/>
          <w:sz w:val="20"/>
          <w:szCs w:val="20"/>
        </w:rPr>
        <w:t>230</w:t>
      </w:r>
      <w:r w:rsidR="00B110AA" w:rsidRPr="00141C7A">
        <w:rPr>
          <w:rFonts w:ascii="Aptos" w:hAnsi="Aptos"/>
          <w:color w:val="auto"/>
          <w:sz w:val="20"/>
          <w:szCs w:val="20"/>
        </w:rPr>
        <w:t xml:space="preserve"> Control Objectives defined in the Financial Services AI Risk Management Framework (FS AI RMF)</w:t>
      </w:r>
      <w:r w:rsidR="007967C9" w:rsidRPr="00141C7A">
        <w:rPr>
          <w:rFonts w:ascii="Aptos" w:hAnsi="Aptos"/>
          <w:color w:val="auto"/>
          <w:sz w:val="20"/>
          <w:szCs w:val="20"/>
        </w:rPr>
        <w:t xml:space="preserve">. This includes the contents </w:t>
      </w:r>
      <w:r w:rsidR="00B110AA" w:rsidRPr="00141C7A">
        <w:rPr>
          <w:rFonts w:ascii="Aptos" w:hAnsi="Aptos"/>
          <w:color w:val="auto"/>
          <w:sz w:val="20"/>
          <w:szCs w:val="20"/>
        </w:rPr>
        <w:t xml:space="preserve">of both the </w:t>
      </w:r>
      <w:r w:rsidR="004F627A" w:rsidRPr="00141C7A">
        <w:rPr>
          <w:rFonts w:ascii="Aptos" w:hAnsi="Aptos"/>
          <w:color w:val="auto"/>
          <w:sz w:val="20"/>
          <w:szCs w:val="20"/>
        </w:rPr>
        <w:t xml:space="preserve">FS AI RMF </w:t>
      </w:r>
      <w:r w:rsidR="00B110AA" w:rsidRPr="00141C7A">
        <w:rPr>
          <w:rFonts w:ascii="Aptos" w:hAnsi="Aptos"/>
          <w:color w:val="auto"/>
          <w:sz w:val="20"/>
          <w:szCs w:val="20"/>
        </w:rPr>
        <w:t>Guidebook</w:t>
      </w:r>
      <w:r w:rsidR="00451765" w:rsidRPr="00141C7A">
        <w:rPr>
          <w:rFonts w:ascii="Aptos" w:hAnsi="Aptos"/>
          <w:color w:val="auto"/>
          <w:sz w:val="20"/>
          <w:szCs w:val="20"/>
        </w:rPr>
        <w:t xml:space="preserve"> and</w:t>
      </w:r>
      <w:r w:rsidR="00B110AA" w:rsidRPr="00141C7A">
        <w:rPr>
          <w:rFonts w:ascii="Aptos" w:hAnsi="Aptos"/>
          <w:color w:val="auto"/>
          <w:sz w:val="20"/>
          <w:szCs w:val="20"/>
        </w:rPr>
        <w:t xml:space="preserve"> the Risk and Control Matrix.</w:t>
      </w:r>
    </w:p>
    <w:p w14:paraId="46A33944" w14:textId="77777777" w:rsidR="000A1C80" w:rsidRPr="00141C7A" w:rsidRDefault="000A1C80" w:rsidP="00141C7A">
      <w:pPr>
        <w:jc w:val="both"/>
        <w:rPr>
          <w:rFonts w:ascii="Aptos" w:hAnsi="Aptos"/>
          <w:color w:val="auto"/>
          <w:sz w:val="20"/>
          <w:szCs w:val="20"/>
        </w:rPr>
      </w:pPr>
    </w:p>
    <w:p w14:paraId="072EC82C" w14:textId="25AE4EE8" w:rsidR="00B110AA" w:rsidRPr="00141C7A" w:rsidRDefault="000A1C80" w:rsidP="00141C7A">
      <w:pPr>
        <w:jc w:val="both"/>
        <w:rPr>
          <w:rFonts w:ascii="Aptos" w:hAnsi="Aptos"/>
          <w:color w:val="auto"/>
          <w:sz w:val="20"/>
          <w:szCs w:val="20"/>
        </w:rPr>
      </w:pPr>
      <w:r w:rsidRPr="00141C7A">
        <w:rPr>
          <w:rFonts w:ascii="Aptos" w:hAnsi="Aptos"/>
          <w:color w:val="auto"/>
          <w:sz w:val="20"/>
          <w:szCs w:val="20"/>
        </w:rPr>
        <w:t>The details of each Control Objective have been carefully</w:t>
      </w:r>
      <w:r w:rsidR="00B110AA" w:rsidRPr="00141C7A">
        <w:rPr>
          <w:rFonts w:ascii="Aptos" w:hAnsi="Aptos"/>
          <w:color w:val="auto"/>
          <w:sz w:val="20"/>
          <w:szCs w:val="20"/>
        </w:rPr>
        <w:t xml:space="preserve"> structured to </w:t>
      </w:r>
      <w:r w:rsidRPr="00141C7A">
        <w:rPr>
          <w:rFonts w:ascii="Aptos" w:hAnsi="Aptos"/>
          <w:color w:val="auto"/>
          <w:sz w:val="20"/>
          <w:szCs w:val="20"/>
        </w:rPr>
        <w:t>provide</w:t>
      </w:r>
      <w:r w:rsidR="00B110AA" w:rsidRPr="00141C7A">
        <w:rPr>
          <w:rFonts w:ascii="Aptos" w:hAnsi="Aptos"/>
          <w:color w:val="auto"/>
          <w:sz w:val="20"/>
          <w:szCs w:val="20"/>
        </w:rPr>
        <w:t xml:space="preserve"> a holistic understanding, from foundational alignment to practical implementation </w:t>
      </w:r>
      <w:r w:rsidRPr="00141C7A">
        <w:rPr>
          <w:rFonts w:ascii="Aptos" w:hAnsi="Aptos"/>
          <w:color w:val="auto"/>
          <w:sz w:val="20"/>
          <w:szCs w:val="20"/>
        </w:rPr>
        <w:t xml:space="preserve">guidelines and </w:t>
      </w:r>
      <w:r w:rsidR="00116A30" w:rsidRPr="00141C7A">
        <w:rPr>
          <w:rFonts w:ascii="Aptos" w:hAnsi="Aptos"/>
          <w:color w:val="auto"/>
          <w:sz w:val="20"/>
          <w:szCs w:val="20"/>
        </w:rPr>
        <w:t>examples</w:t>
      </w:r>
      <w:r w:rsidR="00B110AA" w:rsidRPr="00141C7A">
        <w:rPr>
          <w:rFonts w:ascii="Aptos" w:hAnsi="Aptos"/>
          <w:color w:val="auto"/>
          <w:sz w:val="20"/>
          <w:szCs w:val="20"/>
        </w:rPr>
        <w:t>.</w:t>
      </w:r>
    </w:p>
    <w:p w14:paraId="7EC57A2C" w14:textId="77777777" w:rsidR="00116A30" w:rsidRPr="00141C7A" w:rsidRDefault="00116A30" w:rsidP="00141C7A">
      <w:pPr>
        <w:jc w:val="both"/>
        <w:rPr>
          <w:rFonts w:ascii="Aptos" w:hAnsi="Aptos"/>
          <w:color w:val="auto"/>
          <w:sz w:val="20"/>
          <w:szCs w:val="20"/>
        </w:rPr>
      </w:pPr>
    </w:p>
    <w:p w14:paraId="28C1FE07" w14:textId="3346464F" w:rsidR="00B110AA" w:rsidRPr="00141C7A" w:rsidRDefault="00116A30" w:rsidP="00141C7A">
      <w:pPr>
        <w:jc w:val="both"/>
        <w:rPr>
          <w:rFonts w:ascii="Aptos" w:hAnsi="Aptos"/>
          <w:color w:val="auto"/>
          <w:sz w:val="20"/>
          <w:szCs w:val="20"/>
        </w:rPr>
      </w:pPr>
      <w:r w:rsidRPr="00141C7A">
        <w:rPr>
          <w:rFonts w:ascii="Aptos" w:hAnsi="Aptos"/>
          <w:color w:val="auto"/>
          <w:sz w:val="20"/>
          <w:szCs w:val="20"/>
        </w:rPr>
        <w:t xml:space="preserve">Each Control Objective contains the following information: </w:t>
      </w:r>
    </w:p>
    <w:p w14:paraId="776E2FD5" w14:textId="77777777" w:rsidR="00116A30" w:rsidRPr="00141C7A" w:rsidRDefault="00116A30" w:rsidP="00141C7A">
      <w:pPr>
        <w:jc w:val="both"/>
        <w:rPr>
          <w:rFonts w:ascii="Aptos" w:hAnsi="Aptos"/>
          <w:color w:val="auto"/>
          <w:sz w:val="20"/>
          <w:szCs w:val="20"/>
        </w:rPr>
      </w:pPr>
    </w:p>
    <w:p w14:paraId="353B154E" w14:textId="57076B7E" w:rsidR="00B110AA" w:rsidRPr="00141C7A" w:rsidRDefault="00B110AA" w:rsidP="00141C7A">
      <w:pPr>
        <w:numPr>
          <w:ilvl w:val="0"/>
          <w:numId w:val="6"/>
        </w:numPr>
        <w:jc w:val="both"/>
        <w:rPr>
          <w:rFonts w:ascii="Aptos" w:hAnsi="Aptos"/>
          <w:color w:val="auto"/>
          <w:sz w:val="20"/>
          <w:szCs w:val="20"/>
        </w:rPr>
      </w:pPr>
      <w:r w:rsidRPr="00141C7A">
        <w:rPr>
          <w:rFonts w:ascii="Aptos" w:hAnsi="Aptos"/>
          <w:b/>
          <w:bCs/>
          <w:color w:val="auto"/>
          <w:sz w:val="20"/>
          <w:szCs w:val="20"/>
        </w:rPr>
        <w:t>NIST AI RMF Alignment:</w:t>
      </w:r>
      <w:r w:rsidRPr="00141C7A">
        <w:rPr>
          <w:rFonts w:ascii="Aptos" w:hAnsi="Aptos"/>
          <w:color w:val="auto"/>
          <w:sz w:val="20"/>
          <w:szCs w:val="20"/>
        </w:rPr>
        <w:t> </w:t>
      </w:r>
      <w:r w:rsidR="00FD1C9C" w:rsidRPr="00141C7A">
        <w:rPr>
          <w:rFonts w:ascii="Aptos" w:hAnsi="Aptos"/>
          <w:color w:val="auto"/>
          <w:sz w:val="20"/>
          <w:szCs w:val="20"/>
        </w:rPr>
        <w:t>Identifying</w:t>
      </w:r>
      <w:r w:rsidRPr="00141C7A">
        <w:rPr>
          <w:rFonts w:ascii="Aptos" w:hAnsi="Aptos"/>
          <w:color w:val="auto"/>
          <w:sz w:val="20"/>
          <w:szCs w:val="20"/>
        </w:rPr>
        <w:t xml:space="preserve"> </w:t>
      </w:r>
      <w:r w:rsidR="00116A30" w:rsidRPr="00141C7A">
        <w:rPr>
          <w:rFonts w:ascii="Aptos" w:hAnsi="Aptos"/>
          <w:color w:val="auto"/>
          <w:sz w:val="20"/>
          <w:szCs w:val="20"/>
        </w:rPr>
        <w:t xml:space="preserve">the </w:t>
      </w:r>
      <w:r w:rsidRPr="00141C7A">
        <w:rPr>
          <w:rFonts w:ascii="Aptos" w:hAnsi="Aptos"/>
          <w:color w:val="auto"/>
          <w:sz w:val="20"/>
          <w:szCs w:val="20"/>
        </w:rPr>
        <w:t>corresponding NIST Function, Category, and Sub-Category, establishing its place within the broader framework.</w:t>
      </w:r>
    </w:p>
    <w:p w14:paraId="36AD251B" w14:textId="1FA8A425" w:rsidR="00B110AA" w:rsidRPr="00141C7A" w:rsidRDefault="00116A30" w:rsidP="00141C7A">
      <w:pPr>
        <w:numPr>
          <w:ilvl w:val="0"/>
          <w:numId w:val="6"/>
        </w:numPr>
        <w:jc w:val="both"/>
        <w:rPr>
          <w:rFonts w:ascii="Aptos" w:hAnsi="Aptos"/>
          <w:color w:val="auto"/>
          <w:sz w:val="20"/>
          <w:szCs w:val="20"/>
        </w:rPr>
      </w:pPr>
      <w:r w:rsidRPr="00141C7A">
        <w:rPr>
          <w:rFonts w:ascii="Aptos" w:hAnsi="Aptos"/>
          <w:b/>
          <w:bCs/>
          <w:color w:val="auto"/>
          <w:sz w:val="20"/>
          <w:szCs w:val="20"/>
        </w:rPr>
        <w:t>Control Objective</w:t>
      </w:r>
      <w:r w:rsidR="00B110AA" w:rsidRPr="00141C7A">
        <w:rPr>
          <w:rFonts w:ascii="Aptos" w:hAnsi="Aptos"/>
          <w:b/>
          <w:bCs/>
          <w:color w:val="auto"/>
          <w:sz w:val="20"/>
          <w:szCs w:val="20"/>
        </w:rPr>
        <w:t xml:space="preserve"> </w:t>
      </w:r>
      <w:r w:rsidR="002C3529" w:rsidRPr="00141C7A">
        <w:rPr>
          <w:rFonts w:ascii="Aptos" w:hAnsi="Aptos"/>
          <w:b/>
          <w:bCs/>
          <w:color w:val="auto"/>
          <w:sz w:val="20"/>
          <w:szCs w:val="20"/>
        </w:rPr>
        <w:t>Definition</w:t>
      </w:r>
      <w:r w:rsidR="00B110AA" w:rsidRPr="00141C7A">
        <w:rPr>
          <w:rFonts w:ascii="Aptos" w:hAnsi="Aptos"/>
          <w:b/>
          <w:bCs/>
          <w:color w:val="auto"/>
          <w:sz w:val="20"/>
          <w:szCs w:val="20"/>
        </w:rPr>
        <w:t>:</w:t>
      </w:r>
      <w:r w:rsidR="00B110AA" w:rsidRPr="00141C7A">
        <w:rPr>
          <w:rFonts w:ascii="Aptos" w:hAnsi="Aptos"/>
          <w:color w:val="auto"/>
          <w:sz w:val="20"/>
          <w:szCs w:val="20"/>
        </w:rPr>
        <w:t xml:space="preserve"> Including a unique Control Objective ID, a </w:t>
      </w:r>
      <w:r w:rsidR="002C3529" w:rsidRPr="00141C7A">
        <w:rPr>
          <w:rFonts w:ascii="Aptos" w:hAnsi="Aptos"/>
          <w:color w:val="auto"/>
          <w:sz w:val="20"/>
          <w:szCs w:val="20"/>
        </w:rPr>
        <w:t>Control Objective</w:t>
      </w:r>
      <w:r w:rsidR="00B110AA" w:rsidRPr="00141C7A">
        <w:rPr>
          <w:rFonts w:ascii="Aptos" w:hAnsi="Aptos"/>
          <w:color w:val="auto"/>
          <w:sz w:val="20"/>
          <w:szCs w:val="20"/>
        </w:rPr>
        <w:t xml:space="preserve"> Name, and a clear </w:t>
      </w:r>
      <w:r w:rsidR="00050136" w:rsidRPr="00141C7A">
        <w:rPr>
          <w:rFonts w:ascii="Aptos" w:hAnsi="Aptos"/>
          <w:color w:val="auto"/>
          <w:sz w:val="20"/>
          <w:szCs w:val="20"/>
        </w:rPr>
        <w:t>d</w:t>
      </w:r>
      <w:r w:rsidR="00B110AA" w:rsidRPr="00141C7A">
        <w:rPr>
          <w:rFonts w:ascii="Aptos" w:hAnsi="Aptos"/>
          <w:color w:val="auto"/>
          <w:sz w:val="20"/>
          <w:szCs w:val="20"/>
        </w:rPr>
        <w:t>escription outlining its purpose and scope.</w:t>
      </w:r>
    </w:p>
    <w:p w14:paraId="2B75597F" w14:textId="3575C540" w:rsidR="00B110AA" w:rsidRPr="00141C7A" w:rsidRDefault="002C3529" w:rsidP="00141C7A">
      <w:pPr>
        <w:numPr>
          <w:ilvl w:val="0"/>
          <w:numId w:val="6"/>
        </w:numPr>
        <w:jc w:val="both"/>
        <w:rPr>
          <w:rFonts w:ascii="Aptos" w:hAnsi="Aptos"/>
          <w:color w:val="auto"/>
          <w:sz w:val="20"/>
          <w:szCs w:val="20"/>
        </w:rPr>
      </w:pPr>
      <w:r w:rsidRPr="00141C7A">
        <w:rPr>
          <w:rFonts w:ascii="Aptos" w:hAnsi="Aptos"/>
          <w:b/>
          <w:bCs/>
          <w:color w:val="auto"/>
          <w:sz w:val="20"/>
          <w:szCs w:val="20"/>
        </w:rPr>
        <w:t>Link</w:t>
      </w:r>
      <w:r w:rsidR="00050136" w:rsidRPr="00141C7A">
        <w:rPr>
          <w:rFonts w:ascii="Aptos" w:hAnsi="Aptos"/>
          <w:b/>
          <w:bCs/>
          <w:color w:val="auto"/>
          <w:sz w:val="20"/>
          <w:szCs w:val="20"/>
        </w:rPr>
        <w:t xml:space="preserve"> </w:t>
      </w:r>
      <w:r w:rsidRPr="00141C7A">
        <w:rPr>
          <w:rFonts w:ascii="Aptos" w:hAnsi="Aptos"/>
          <w:b/>
          <w:bCs/>
          <w:color w:val="auto"/>
          <w:sz w:val="20"/>
          <w:szCs w:val="20"/>
        </w:rPr>
        <w:t xml:space="preserve">to </w:t>
      </w:r>
      <w:r w:rsidR="00050136" w:rsidRPr="00141C7A">
        <w:rPr>
          <w:rFonts w:ascii="Aptos" w:hAnsi="Aptos"/>
          <w:b/>
          <w:bCs/>
          <w:color w:val="auto"/>
          <w:sz w:val="20"/>
          <w:szCs w:val="20"/>
        </w:rPr>
        <w:t xml:space="preserve">the </w:t>
      </w:r>
      <w:r w:rsidRPr="00141C7A">
        <w:rPr>
          <w:rFonts w:ascii="Aptos" w:hAnsi="Aptos"/>
          <w:b/>
          <w:bCs/>
          <w:color w:val="auto"/>
          <w:sz w:val="20"/>
          <w:szCs w:val="20"/>
        </w:rPr>
        <w:t>NIST</w:t>
      </w:r>
      <w:r w:rsidR="00050136" w:rsidRPr="00141C7A">
        <w:rPr>
          <w:rFonts w:ascii="Aptos" w:hAnsi="Aptos"/>
          <w:b/>
          <w:bCs/>
          <w:color w:val="auto"/>
          <w:sz w:val="20"/>
          <w:szCs w:val="20"/>
        </w:rPr>
        <w:t xml:space="preserve"> AI RMF Playbook</w:t>
      </w:r>
      <w:r w:rsidR="00B110AA" w:rsidRPr="00141C7A">
        <w:rPr>
          <w:rFonts w:ascii="Aptos" w:hAnsi="Aptos"/>
          <w:b/>
          <w:bCs/>
          <w:color w:val="auto"/>
          <w:sz w:val="20"/>
          <w:szCs w:val="20"/>
        </w:rPr>
        <w:t>:</w:t>
      </w:r>
      <w:r w:rsidR="00B110AA" w:rsidRPr="00141C7A">
        <w:rPr>
          <w:rFonts w:ascii="Aptos" w:hAnsi="Aptos"/>
          <w:color w:val="auto"/>
          <w:sz w:val="20"/>
          <w:szCs w:val="20"/>
        </w:rPr>
        <w:t> A direct Link to the NIST AI RMF Playbook for additional context and guidance.</w:t>
      </w:r>
    </w:p>
    <w:p w14:paraId="4FF72B10" w14:textId="62FD4C07" w:rsidR="00B110AA" w:rsidRPr="00141C7A" w:rsidRDefault="00FD1C9C" w:rsidP="00141C7A">
      <w:pPr>
        <w:numPr>
          <w:ilvl w:val="0"/>
          <w:numId w:val="6"/>
        </w:numPr>
        <w:jc w:val="both"/>
        <w:rPr>
          <w:rFonts w:ascii="Aptos" w:hAnsi="Aptos"/>
          <w:color w:val="auto"/>
          <w:sz w:val="20"/>
          <w:szCs w:val="20"/>
        </w:rPr>
      </w:pPr>
      <w:r w:rsidRPr="00141C7A">
        <w:rPr>
          <w:rFonts w:ascii="Aptos" w:hAnsi="Aptos"/>
          <w:b/>
          <w:bCs/>
          <w:color w:val="auto"/>
          <w:sz w:val="20"/>
          <w:szCs w:val="20"/>
        </w:rPr>
        <w:t xml:space="preserve">Adoption Stage </w:t>
      </w:r>
      <w:r w:rsidR="002A5772" w:rsidRPr="00141C7A">
        <w:rPr>
          <w:rFonts w:ascii="Aptos" w:hAnsi="Aptos"/>
          <w:b/>
          <w:bCs/>
          <w:color w:val="auto"/>
          <w:sz w:val="20"/>
          <w:szCs w:val="20"/>
        </w:rPr>
        <w:t>Applicability</w:t>
      </w:r>
      <w:r w:rsidR="00B110AA" w:rsidRPr="00141C7A">
        <w:rPr>
          <w:rFonts w:ascii="Aptos" w:hAnsi="Aptos"/>
          <w:b/>
          <w:bCs/>
          <w:color w:val="auto"/>
          <w:sz w:val="20"/>
          <w:szCs w:val="20"/>
        </w:rPr>
        <w:t>:</w:t>
      </w:r>
      <w:r w:rsidR="00B110AA" w:rsidRPr="00141C7A">
        <w:rPr>
          <w:rFonts w:ascii="Aptos" w:hAnsi="Aptos"/>
          <w:color w:val="auto"/>
          <w:sz w:val="20"/>
          <w:szCs w:val="20"/>
        </w:rPr>
        <w:t> </w:t>
      </w:r>
      <w:r w:rsidR="002A5772" w:rsidRPr="00141C7A">
        <w:rPr>
          <w:rFonts w:ascii="Aptos" w:hAnsi="Aptos"/>
          <w:color w:val="auto"/>
          <w:sz w:val="20"/>
          <w:szCs w:val="20"/>
        </w:rPr>
        <w:t>Indicating which Adoption Stage(s) apply</w:t>
      </w:r>
      <w:r w:rsidR="00050136" w:rsidRPr="00141C7A">
        <w:rPr>
          <w:rFonts w:ascii="Aptos" w:hAnsi="Aptos"/>
          <w:color w:val="auto"/>
          <w:sz w:val="20"/>
          <w:szCs w:val="20"/>
        </w:rPr>
        <w:t xml:space="preserve"> (</w:t>
      </w:r>
      <w:r w:rsidR="00B110AA" w:rsidRPr="00141C7A">
        <w:rPr>
          <w:rFonts w:ascii="Aptos" w:hAnsi="Aptos"/>
          <w:color w:val="auto"/>
          <w:sz w:val="20"/>
          <w:szCs w:val="20"/>
        </w:rPr>
        <w:t>Initial, Minimal, Evolving, and</w:t>
      </w:r>
      <w:r w:rsidR="00050136" w:rsidRPr="00141C7A">
        <w:rPr>
          <w:rFonts w:ascii="Aptos" w:hAnsi="Aptos"/>
          <w:color w:val="auto"/>
          <w:sz w:val="20"/>
          <w:szCs w:val="20"/>
        </w:rPr>
        <w:t>/or</w:t>
      </w:r>
      <w:r w:rsidR="00B110AA" w:rsidRPr="00141C7A">
        <w:rPr>
          <w:rFonts w:ascii="Aptos" w:hAnsi="Aptos"/>
          <w:color w:val="auto"/>
          <w:sz w:val="20"/>
          <w:szCs w:val="20"/>
        </w:rPr>
        <w:t xml:space="preserve"> Embedded)</w:t>
      </w:r>
      <w:r w:rsidR="00050136" w:rsidRPr="00141C7A">
        <w:rPr>
          <w:rFonts w:ascii="Aptos" w:hAnsi="Aptos"/>
          <w:color w:val="auto"/>
          <w:sz w:val="20"/>
          <w:szCs w:val="20"/>
        </w:rPr>
        <w:t xml:space="preserve"> and the rationale, enabling organizations to focus on the most relevant information</w:t>
      </w:r>
      <w:r w:rsidR="00B110AA" w:rsidRPr="00141C7A">
        <w:rPr>
          <w:rFonts w:ascii="Aptos" w:hAnsi="Aptos"/>
          <w:color w:val="auto"/>
          <w:sz w:val="20"/>
          <w:szCs w:val="20"/>
        </w:rPr>
        <w:t>.</w:t>
      </w:r>
    </w:p>
    <w:p w14:paraId="583BDB0E" w14:textId="2EBFAF85" w:rsidR="00B110AA" w:rsidRPr="00141C7A" w:rsidRDefault="00050136" w:rsidP="00141C7A">
      <w:pPr>
        <w:numPr>
          <w:ilvl w:val="0"/>
          <w:numId w:val="6"/>
        </w:numPr>
        <w:jc w:val="both"/>
        <w:rPr>
          <w:rFonts w:ascii="Aptos" w:hAnsi="Aptos"/>
          <w:color w:val="auto"/>
          <w:sz w:val="20"/>
          <w:szCs w:val="20"/>
        </w:rPr>
      </w:pPr>
      <w:r w:rsidRPr="00141C7A">
        <w:rPr>
          <w:rFonts w:ascii="Aptos" w:hAnsi="Aptos"/>
          <w:b/>
          <w:bCs/>
          <w:color w:val="auto"/>
          <w:sz w:val="20"/>
          <w:szCs w:val="20"/>
        </w:rPr>
        <w:t>Alignment to Risks and AI Trustworthy Principle(s)</w:t>
      </w:r>
      <w:r w:rsidR="00B110AA" w:rsidRPr="00141C7A">
        <w:rPr>
          <w:rFonts w:ascii="Aptos" w:hAnsi="Aptos"/>
          <w:b/>
          <w:bCs/>
          <w:color w:val="auto"/>
          <w:sz w:val="20"/>
          <w:szCs w:val="20"/>
        </w:rPr>
        <w:t>:</w:t>
      </w:r>
      <w:r w:rsidR="00B110AA" w:rsidRPr="00141C7A">
        <w:rPr>
          <w:rFonts w:ascii="Aptos" w:hAnsi="Aptos"/>
          <w:color w:val="auto"/>
          <w:sz w:val="20"/>
          <w:szCs w:val="20"/>
        </w:rPr>
        <w:t xml:space="preserve"> Highlighting the underlying AI </w:t>
      </w:r>
      <w:r w:rsidRPr="00141C7A">
        <w:rPr>
          <w:rFonts w:ascii="Aptos" w:hAnsi="Aptos"/>
          <w:color w:val="auto"/>
          <w:sz w:val="20"/>
          <w:szCs w:val="20"/>
        </w:rPr>
        <w:t xml:space="preserve">Trustworthy </w:t>
      </w:r>
      <w:r w:rsidR="00B110AA" w:rsidRPr="00141C7A">
        <w:rPr>
          <w:rFonts w:ascii="Aptos" w:hAnsi="Aptos"/>
          <w:color w:val="auto"/>
          <w:sz w:val="20"/>
          <w:szCs w:val="20"/>
        </w:rPr>
        <w:t>Principle it upholds, alongside an associated Risk Name and a descriptive Risk Statement to clarify the specific threats the objective aims to mitigate.</w:t>
      </w:r>
    </w:p>
    <w:p w14:paraId="0B4F848D" w14:textId="72087ADB" w:rsidR="00B110AA" w:rsidRPr="00141C7A" w:rsidRDefault="00B110AA" w:rsidP="00141C7A">
      <w:pPr>
        <w:numPr>
          <w:ilvl w:val="0"/>
          <w:numId w:val="6"/>
        </w:numPr>
        <w:jc w:val="both"/>
        <w:rPr>
          <w:rFonts w:ascii="Aptos" w:hAnsi="Aptos"/>
          <w:color w:val="auto"/>
          <w:sz w:val="20"/>
          <w:szCs w:val="20"/>
        </w:rPr>
      </w:pPr>
      <w:r w:rsidRPr="00141C7A">
        <w:rPr>
          <w:rFonts w:ascii="Aptos" w:hAnsi="Aptos"/>
          <w:b/>
          <w:bCs/>
          <w:color w:val="auto"/>
          <w:sz w:val="20"/>
          <w:szCs w:val="20"/>
        </w:rPr>
        <w:t>Actionable Implementation</w:t>
      </w:r>
      <w:r w:rsidR="00050136" w:rsidRPr="00141C7A">
        <w:rPr>
          <w:rFonts w:ascii="Aptos" w:hAnsi="Aptos"/>
          <w:b/>
          <w:bCs/>
          <w:color w:val="auto"/>
          <w:sz w:val="20"/>
          <w:szCs w:val="20"/>
        </w:rPr>
        <w:t xml:space="preserve"> Guidelines</w:t>
      </w:r>
      <w:r w:rsidRPr="00141C7A">
        <w:rPr>
          <w:rFonts w:ascii="Aptos" w:hAnsi="Aptos"/>
          <w:b/>
          <w:bCs/>
          <w:color w:val="auto"/>
          <w:sz w:val="20"/>
          <w:szCs w:val="20"/>
        </w:rPr>
        <w:t>:</w:t>
      </w:r>
      <w:r w:rsidRPr="00141C7A">
        <w:rPr>
          <w:rFonts w:ascii="Aptos" w:hAnsi="Aptos"/>
          <w:color w:val="auto"/>
          <w:sz w:val="20"/>
          <w:szCs w:val="20"/>
        </w:rPr>
        <w:t> </w:t>
      </w:r>
      <w:r w:rsidR="00050136" w:rsidRPr="00141C7A">
        <w:rPr>
          <w:rFonts w:ascii="Aptos" w:hAnsi="Aptos"/>
          <w:color w:val="auto"/>
          <w:sz w:val="20"/>
          <w:szCs w:val="20"/>
        </w:rPr>
        <w:t xml:space="preserve">Providing detailed instructions, </w:t>
      </w:r>
      <w:r w:rsidRPr="00141C7A">
        <w:rPr>
          <w:rFonts w:ascii="Aptos" w:hAnsi="Aptos"/>
          <w:color w:val="auto"/>
          <w:sz w:val="20"/>
          <w:szCs w:val="20"/>
        </w:rPr>
        <w:t>practical steps</w:t>
      </w:r>
      <w:r w:rsidR="00050136" w:rsidRPr="00141C7A">
        <w:rPr>
          <w:rFonts w:ascii="Aptos" w:hAnsi="Aptos"/>
          <w:color w:val="auto"/>
          <w:sz w:val="20"/>
          <w:szCs w:val="20"/>
        </w:rPr>
        <w:t>,</w:t>
      </w:r>
      <w:r w:rsidRPr="00141C7A">
        <w:rPr>
          <w:rFonts w:ascii="Aptos" w:hAnsi="Aptos"/>
          <w:color w:val="auto"/>
          <w:sz w:val="20"/>
          <w:szCs w:val="20"/>
        </w:rPr>
        <w:t xml:space="preserve"> and recommendations for effectively achieving the </w:t>
      </w:r>
      <w:r w:rsidR="00050136" w:rsidRPr="00141C7A">
        <w:rPr>
          <w:rFonts w:ascii="Aptos" w:hAnsi="Aptos"/>
          <w:color w:val="auto"/>
          <w:sz w:val="20"/>
          <w:szCs w:val="20"/>
        </w:rPr>
        <w:t>C</w:t>
      </w:r>
      <w:r w:rsidRPr="00141C7A">
        <w:rPr>
          <w:rFonts w:ascii="Aptos" w:hAnsi="Aptos"/>
          <w:color w:val="auto"/>
          <w:sz w:val="20"/>
          <w:szCs w:val="20"/>
        </w:rPr>
        <w:t xml:space="preserve">ontrol </w:t>
      </w:r>
      <w:r w:rsidR="00050136" w:rsidRPr="00141C7A">
        <w:rPr>
          <w:rFonts w:ascii="Aptos" w:hAnsi="Aptos"/>
          <w:color w:val="auto"/>
          <w:sz w:val="20"/>
          <w:szCs w:val="20"/>
        </w:rPr>
        <w:t>O</w:t>
      </w:r>
      <w:r w:rsidRPr="00141C7A">
        <w:rPr>
          <w:rFonts w:ascii="Aptos" w:hAnsi="Aptos"/>
          <w:color w:val="auto"/>
          <w:sz w:val="20"/>
          <w:szCs w:val="20"/>
        </w:rPr>
        <w:t>bjective.</w:t>
      </w:r>
    </w:p>
    <w:p w14:paraId="049CCE3F" w14:textId="32794969" w:rsidR="00B110AA" w:rsidRPr="00141C7A" w:rsidRDefault="00050136" w:rsidP="00141C7A">
      <w:pPr>
        <w:numPr>
          <w:ilvl w:val="0"/>
          <w:numId w:val="6"/>
        </w:numPr>
        <w:jc w:val="both"/>
        <w:rPr>
          <w:rFonts w:ascii="Aptos" w:hAnsi="Aptos"/>
          <w:color w:val="auto"/>
          <w:sz w:val="20"/>
          <w:szCs w:val="20"/>
        </w:rPr>
      </w:pPr>
      <w:r w:rsidRPr="00141C7A">
        <w:rPr>
          <w:rFonts w:ascii="Aptos" w:hAnsi="Aptos"/>
          <w:b/>
          <w:bCs/>
          <w:color w:val="auto"/>
          <w:sz w:val="20"/>
          <w:szCs w:val="20"/>
        </w:rPr>
        <w:t>Example Controls and Effective Evidence</w:t>
      </w:r>
      <w:r w:rsidR="00B110AA" w:rsidRPr="00141C7A">
        <w:rPr>
          <w:rFonts w:ascii="Aptos" w:hAnsi="Aptos"/>
          <w:b/>
          <w:bCs/>
          <w:color w:val="auto"/>
          <w:sz w:val="20"/>
          <w:szCs w:val="20"/>
        </w:rPr>
        <w:t>:</w:t>
      </w:r>
      <w:r w:rsidR="00B110AA" w:rsidRPr="00141C7A">
        <w:rPr>
          <w:rFonts w:ascii="Aptos" w:hAnsi="Aptos"/>
          <w:color w:val="auto"/>
          <w:sz w:val="20"/>
          <w:szCs w:val="20"/>
        </w:rPr>
        <w:t> </w:t>
      </w:r>
      <w:r w:rsidRPr="00141C7A">
        <w:rPr>
          <w:rFonts w:ascii="Aptos" w:hAnsi="Aptos"/>
          <w:color w:val="auto"/>
          <w:sz w:val="20"/>
          <w:szCs w:val="20"/>
        </w:rPr>
        <w:t>Five example Controls, e</w:t>
      </w:r>
      <w:r w:rsidR="00B110AA" w:rsidRPr="00141C7A">
        <w:rPr>
          <w:rFonts w:ascii="Aptos" w:hAnsi="Aptos"/>
          <w:color w:val="auto"/>
          <w:sz w:val="20"/>
          <w:szCs w:val="20"/>
        </w:rPr>
        <w:t xml:space="preserve">ach with a clear </w:t>
      </w:r>
      <w:r w:rsidRPr="00141C7A">
        <w:rPr>
          <w:rFonts w:ascii="Aptos" w:hAnsi="Aptos"/>
          <w:color w:val="auto"/>
          <w:sz w:val="20"/>
          <w:szCs w:val="20"/>
        </w:rPr>
        <w:t>d</w:t>
      </w:r>
      <w:r w:rsidR="00B110AA" w:rsidRPr="00141C7A">
        <w:rPr>
          <w:rFonts w:ascii="Aptos" w:hAnsi="Aptos"/>
          <w:color w:val="auto"/>
          <w:sz w:val="20"/>
          <w:szCs w:val="20"/>
        </w:rPr>
        <w:t>escription of the action, complemented by</w:t>
      </w:r>
      <w:r w:rsidRPr="00141C7A">
        <w:rPr>
          <w:rFonts w:ascii="Aptos" w:hAnsi="Aptos"/>
          <w:color w:val="auto"/>
          <w:sz w:val="20"/>
          <w:szCs w:val="20"/>
        </w:rPr>
        <w:t xml:space="preserve"> four e</w:t>
      </w:r>
      <w:r w:rsidR="00B110AA" w:rsidRPr="00141C7A">
        <w:rPr>
          <w:rFonts w:ascii="Aptos" w:hAnsi="Aptos"/>
          <w:color w:val="auto"/>
          <w:sz w:val="20"/>
          <w:szCs w:val="20"/>
        </w:rPr>
        <w:t>xamples of Effective Evidence to demonstrate successful implementation and adherence.</w:t>
      </w:r>
    </w:p>
    <w:p w14:paraId="1ACF3A46" w14:textId="77777777" w:rsidR="00D60A48" w:rsidRPr="004C3837" w:rsidRDefault="00D60A48" w:rsidP="00D60A48">
      <w:pPr>
        <w:spacing w:line="269" w:lineRule="auto"/>
        <w:jc w:val="both"/>
        <w:rPr>
          <w:rFonts w:ascii="Aptos" w:hAnsi="Aptos"/>
          <w:color w:val="auto"/>
          <w:sz w:val="20"/>
          <w:szCs w:val="20"/>
        </w:rPr>
      </w:pPr>
    </w:p>
    <w:p w14:paraId="32DFE8E8" w14:textId="3DF4DFCB" w:rsidR="00DA19A1" w:rsidRPr="004C3837" w:rsidRDefault="00DA19A1" w:rsidP="00DA19A1">
      <w:pPr>
        <w:spacing w:line="269" w:lineRule="auto"/>
        <w:jc w:val="both"/>
        <w:rPr>
          <w:rFonts w:ascii="Aptos" w:hAnsi="Aptos"/>
          <w:b/>
          <w:bCs/>
          <w:color w:val="34246B" w:themeColor="accent2"/>
          <w:sz w:val="28"/>
          <w:szCs w:val="28"/>
        </w:rPr>
      </w:pPr>
      <w:r w:rsidRPr="004C3837">
        <w:rPr>
          <w:rFonts w:ascii="Aptos" w:hAnsi="Aptos"/>
          <w:b/>
          <w:bCs/>
          <w:color w:val="34246B" w:themeColor="accent2"/>
          <w:sz w:val="28"/>
          <w:szCs w:val="28"/>
        </w:rPr>
        <w:t>DISCLAIMER</w:t>
      </w:r>
    </w:p>
    <w:p w14:paraId="3B9F9655" w14:textId="5B7F4679" w:rsidR="00141C7A" w:rsidRPr="00141C7A" w:rsidRDefault="00141C7A" w:rsidP="00141C7A">
      <w:pPr>
        <w:rPr>
          <w:sz w:val="20"/>
          <w:szCs w:val="20"/>
        </w:rPr>
      </w:pPr>
    </w:p>
    <w:p w14:paraId="169E5B2B" w14:textId="2359DB36" w:rsidR="00141C7A" w:rsidRDefault="00141C7A" w:rsidP="00141C7A">
      <w:pPr>
        <w:jc w:val="both"/>
        <w:rPr>
          <w:rFonts w:ascii="Aptos" w:hAnsi="Aptos"/>
          <w:color w:val="auto"/>
          <w:sz w:val="20"/>
          <w:szCs w:val="20"/>
        </w:rPr>
      </w:pPr>
      <w:r w:rsidRPr="00854139">
        <w:rPr>
          <w:rFonts w:ascii="Aptos" w:hAnsi="Aptos"/>
          <w:color w:val="auto"/>
          <w:sz w:val="20"/>
          <w:szCs w:val="20"/>
        </w:rPr>
        <w:t xml:space="preserve">Please </w:t>
      </w:r>
      <w:r>
        <w:rPr>
          <w:rFonts w:ascii="Aptos" w:hAnsi="Aptos"/>
          <w:color w:val="auto"/>
          <w:sz w:val="20"/>
          <w:szCs w:val="20"/>
        </w:rPr>
        <w:t>note</w:t>
      </w:r>
      <w:r w:rsidRPr="00854139">
        <w:rPr>
          <w:rFonts w:ascii="Aptos" w:hAnsi="Aptos"/>
          <w:color w:val="auto"/>
          <w:sz w:val="20"/>
          <w:szCs w:val="20"/>
        </w:rPr>
        <w:t xml:space="preserve"> that the examples of Controls and Effective Evidence provided in </w:t>
      </w:r>
      <w:r w:rsidR="004C3837">
        <w:rPr>
          <w:rFonts w:ascii="Aptos" w:hAnsi="Aptos"/>
          <w:color w:val="auto"/>
          <w:sz w:val="20"/>
          <w:szCs w:val="20"/>
        </w:rPr>
        <w:t>this</w:t>
      </w:r>
      <w:r w:rsidRPr="00854139">
        <w:rPr>
          <w:rFonts w:ascii="Aptos" w:hAnsi="Aptos"/>
          <w:color w:val="auto"/>
          <w:sz w:val="20"/>
          <w:szCs w:val="20"/>
        </w:rPr>
        <w:t xml:space="preserve"> Control Objective Reference Guide are intended to serve </w:t>
      </w:r>
      <w:r>
        <w:rPr>
          <w:rFonts w:ascii="Aptos" w:hAnsi="Aptos"/>
          <w:color w:val="auto"/>
          <w:sz w:val="20"/>
          <w:szCs w:val="20"/>
        </w:rPr>
        <w:t>only</w:t>
      </w:r>
      <w:r w:rsidRPr="00854139">
        <w:rPr>
          <w:rFonts w:ascii="Aptos" w:hAnsi="Aptos"/>
          <w:color w:val="auto"/>
          <w:sz w:val="20"/>
          <w:szCs w:val="20"/>
        </w:rPr>
        <w:t xml:space="preserve"> as illustrative guides. They are not exhaustive, exclusive, or all-encompassing lists and should not be interpreted as a definitive guarantee for meeting regulatory or audit expectations. The suitability and applicability of these examples may vary across organizations, and different </w:t>
      </w:r>
      <w:r>
        <w:rPr>
          <w:rFonts w:ascii="Aptos" w:hAnsi="Aptos"/>
          <w:color w:val="auto"/>
          <w:sz w:val="20"/>
          <w:szCs w:val="20"/>
        </w:rPr>
        <w:t>E</w:t>
      </w:r>
      <w:r w:rsidRPr="00854139">
        <w:rPr>
          <w:rFonts w:ascii="Aptos" w:hAnsi="Aptos"/>
          <w:color w:val="auto"/>
          <w:sz w:val="20"/>
          <w:szCs w:val="20"/>
        </w:rPr>
        <w:t>vidence might provide greater value in specific contexts.</w:t>
      </w:r>
    </w:p>
    <w:p w14:paraId="541C30E0" w14:textId="77777777" w:rsidR="00141C7A" w:rsidRPr="00854139" w:rsidRDefault="00141C7A" w:rsidP="00141C7A">
      <w:pPr>
        <w:jc w:val="both"/>
        <w:rPr>
          <w:rFonts w:ascii="Aptos" w:hAnsi="Aptos"/>
          <w:color w:val="auto"/>
          <w:sz w:val="20"/>
          <w:szCs w:val="20"/>
        </w:rPr>
      </w:pPr>
    </w:p>
    <w:p w14:paraId="588BF151" w14:textId="77777777" w:rsidR="00141C7A" w:rsidRPr="00854139" w:rsidRDefault="00141C7A" w:rsidP="00141C7A">
      <w:pPr>
        <w:jc w:val="both"/>
        <w:rPr>
          <w:rFonts w:ascii="Aptos" w:hAnsi="Aptos"/>
          <w:color w:val="auto"/>
          <w:sz w:val="20"/>
          <w:szCs w:val="20"/>
        </w:rPr>
      </w:pPr>
      <w:r w:rsidRPr="00854139">
        <w:rPr>
          <w:rFonts w:ascii="Aptos" w:hAnsi="Aptos"/>
          <w:color w:val="auto"/>
          <w:sz w:val="20"/>
          <w:szCs w:val="20"/>
        </w:rPr>
        <w:t xml:space="preserve">Users of the FS AI RMF should critically assess the adequacy and relevance of the </w:t>
      </w:r>
      <w:r>
        <w:rPr>
          <w:rFonts w:ascii="Aptos" w:hAnsi="Aptos"/>
          <w:color w:val="auto"/>
          <w:sz w:val="20"/>
          <w:szCs w:val="20"/>
        </w:rPr>
        <w:t>Controls and E</w:t>
      </w:r>
      <w:r w:rsidRPr="00854139">
        <w:rPr>
          <w:rFonts w:ascii="Aptos" w:hAnsi="Aptos"/>
          <w:color w:val="auto"/>
          <w:sz w:val="20"/>
          <w:szCs w:val="20"/>
        </w:rPr>
        <w:t xml:space="preserve">vidence presented to adequately substantiate their responses, weighing it against the resources and investment required to produce such </w:t>
      </w:r>
      <w:r>
        <w:rPr>
          <w:rFonts w:ascii="Aptos" w:hAnsi="Aptos"/>
          <w:color w:val="auto"/>
          <w:sz w:val="20"/>
          <w:szCs w:val="20"/>
        </w:rPr>
        <w:t>E</w:t>
      </w:r>
      <w:r w:rsidRPr="00854139">
        <w:rPr>
          <w:rFonts w:ascii="Aptos" w:hAnsi="Aptos"/>
          <w:color w:val="auto"/>
          <w:sz w:val="20"/>
          <w:szCs w:val="20"/>
        </w:rPr>
        <w:t xml:space="preserve">vidence. It is important to note that there should be no presumption that all, or even most, of the examples of </w:t>
      </w:r>
      <w:r>
        <w:rPr>
          <w:rFonts w:ascii="Aptos" w:hAnsi="Aptos"/>
          <w:color w:val="auto"/>
          <w:sz w:val="20"/>
          <w:szCs w:val="20"/>
        </w:rPr>
        <w:t xml:space="preserve">Controls and </w:t>
      </w:r>
      <w:r w:rsidRPr="00854139">
        <w:rPr>
          <w:rFonts w:ascii="Aptos" w:hAnsi="Aptos"/>
          <w:color w:val="auto"/>
          <w:sz w:val="20"/>
          <w:szCs w:val="20"/>
        </w:rPr>
        <w:t xml:space="preserve">Effective Evidence included are necessary, advisable, or appropriate for supporting the organization’s </w:t>
      </w:r>
      <w:r>
        <w:rPr>
          <w:rFonts w:ascii="Aptos" w:hAnsi="Aptos"/>
          <w:color w:val="auto"/>
          <w:sz w:val="20"/>
          <w:szCs w:val="20"/>
        </w:rPr>
        <w:t>compliance</w:t>
      </w:r>
      <w:r w:rsidRPr="00854139">
        <w:rPr>
          <w:rFonts w:ascii="Aptos" w:hAnsi="Aptos"/>
          <w:color w:val="auto"/>
          <w:sz w:val="20"/>
          <w:szCs w:val="20"/>
        </w:rPr>
        <w:t xml:space="preserve"> assertions. Organizations are encouraged to tailor their approach to their specific context and regulatory environment.</w:t>
      </w:r>
    </w:p>
    <w:p w14:paraId="1B5C9771" w14:textId="76C4BEA0" w:rsidR="00D60A48" w:rsidRDefault="00D60A48">
      <w:pPr>
        <w:rPr>
          <w:rFonts w:ascii="Aptos" w:hAnsi="Aptos"/>
          <w:color w:val="auto"/>
        </w:rPr>
      </w:pPr>
      <w:r>
        <w:rPr>
          <w:rFonts w:ascii="Aptos" w:hAnsi="Aptos"/>
          <w:color w:val="auto"/>
        </w:rPr>
        <w:br w:type="page"/>
      </w:r>
    </w:p>
    <w:sdt>
      <w:sdtPr>
        <w:rPr>
          <w:rFonts w:asciiTheme="minorHAnsi" w:eastAsia="Century Gothic" w:hAnsiTheme="minorHAnsi" w:cstheme="minorHAnsi"/>
          <w:color w:val="53585F" w:themeColor="text2"/>
          <w:sz w:val="22"/>
          <w:szCs w:val="24"/>
        </w:rPr>
        <w:id w:val="796034798"/>
        <w:docPartObj>
          <w:docPartGallery w:val="Table of Contents"/>
          <w:docPartUnique/>
        </w:docPartObj>
      </w:sdtPr>
      <w:sdtEndPr>
        <w:rPr>
          <w:b/>
          <w:bCs/>
          <w:noProof/>
        </w:rPr>
      </w:sdtEndPr>
      <w:sdtContent>
        <w:p w14:paraId="66ED8FF1" w14:textId="3E7E51E7" w:rsidR="00512EEF" w:rsidRPr="009E01A9" w:rsidRDefault="009E01A9" w:rsidP="00FF487A">
          <w:pPr>
            <w:pStyle w:val="TOCHeading"/>
            <w:jc w:val="both"/>
            <w:rPr>
              <w:rFonts w:asciiTheme="minorHAnsi" w:eastAsia="Century Gothic" w:hAnsiTheme="minorHAnsi" w:cstheme="minorHAnsi"/>
              <w:b/>
              <w:bCs/>
              <w:noProof/>
              <w:color w:val="34246B" w:themeColor="accent2"/>
            </w:rPr>
          </w:pPr>
          <w:r>
            <w:rPr>
              <w:rFonts w:asciiTheme="minorHAnsi" w:eastAsia="Century Gothic" w:hAnsiTheme="minorHAnsi" w:cstheme="minorHAnsi"/>
              <w:b/>
              <w:bCs/>
              <w:noProof/>
              <w:color w:val="34246B" w:themeColor="accent2"/>
            </w:rPr>
            <w:t>CONTENTS</w:t>
          </w:r>
        </w:p>
        <w:p w14:paraId="57C6C6C4" w14:textId="1B5CEFA1" w:rsidR="00516F05" w:rsidRDefault="00512EEF">
          <w:pPr>
            <w:pStyle w:val="TOC1"/>
            <w:rPr>
              <w:rFonts w:eastAsiaTheme="minorEastAsia" w:cstheme="minorBidi"/>
              <w:b w:val="0"/>
              <w:bCs w:val="0"/>
              <w:caps w:val="0"/>
              <w:noProof/>
              <w:color w:val="auto"/>
              <w:kern w:val="2"/>
              <w:sz w:val="24"/>
              <w:szCs w:val="24"/>
              <w14:ligatures w14:val="standardContextual"/>
            </w:rPr>
          </w:pPr>
          <w:r>
            <w:fldChar w:fldCharType="begin"/>
          </w:r>
          <w:r>
            <w:instrText xml:space="preserve"> TOC \o "1-3" \h \z \u </w:instrText>
          </w:r>
          <w:r>
            <w:fldChar w:fldCharType="separate"/>
          </w:r>
          <w:hyperlink w:anchor="_Toc214874753" w:history="1">
            <w:r w:rsidR="00516F05" w:rsidRPr="00B17D87">
              <w:rPr>
                <w:rStyle w:val="Hyperlink"/>
                <w:rFonts w:ascii="Aptos" w:hAnsi="Aptos"/>
                <w:noProof/>
              </w:rPr>
              <w:t>UPDATE SCHEDULE AND VERSIONS</w:t>
            </w:r>
            <w:r w:rsidR="00516F05">
              <w:rPr>
                <w:noProof/>
                <w:webHidden/>
              </w:rPr>
              <w:tab/>
            </w:r>
            <w:r w:rsidR="00516F05">
              <w:rPr>
                <w:noProof/>
                <w:webHidden/>
              </w:rPr>
              <w:fldChar w:fldCharType="begin"/>
            </w:r>
            <w:r w:rsidR="00516F05">
              <w:rPr>
                <w:noProof/>
                <w:webHidden/>
              </w:rPr>
              <w:instrText xml:space="preserve"> PAGEREF _Toc214874753 \h </w:instrText>
            </w:r>
            <w:r w:rsidR="00516F05">
              <w:rPr>
                <w:noProof/>
                <w:webHidden/>
              </w:rPr>
            </w:r>
            <w:r w:rsidR="00516F05">
              <w:rPr>
                <w:noProof/>
                <w:webHidden/>
              </w:rPr>
              <w:fldChar w:fldCharType="separate"/>
            </w:r>
            <w:r w:rsidR="00516F05">
              <w:rPr>
                <w:noProof/>
                <w:webHidden/>
              </w:rPr>
              <w:t>5</w:t>
            </w:r>
            <w:r w:rsidR="00516F05">
              <w:rPr>
                <w:noProof/>
                <w:webHidden/>
              </w:rPr>
              <w:fldChar w:fldCharType="end"/>
            </w:r>
          </w:hyperlink>
        </w:p>
        <w:p w14:paraId="7FC4308E" w14:textId="5C823308" w:rsidR="00516F05" w:rsidRDefault="00516F05">
          <w:pPr>
            <w:pStyle w:val="TOC2"/>
            <w:rPr>
              <w:rFonts w:eastAsiaTheme="minorEastAsia" w:cstheme="minorBidi"/>
              <w:smallCaps w:val="0"/>
              <w:noProof/>
              <w:color w:val="auto"/>
              <w:kern w:val="2"/>
              <w:sz w:val="24"/>
              <w:szCs w:val="24"/>
              <w14:ligatures w14:val="standardContextual"/>
            </w:rPr>
          </w:pPr>
          <w:hyperlink w:anchor="_Toc214874754" w:history="1">
            <w:r w:rsidRPr="00B17D87">
              <w:rPr>
                <w:rStyle w:val="Hyperlink"/>
                <w:rFonts w:ascii="Aptos" w:eastAsia="Aptos" w:hAnsi="Aptos" w:cs="Times New Roman"/>
                <w:b/>
                <w:bCs/>
                <w:noProof/>
              </w:rPr>
              <w:t>GOVERN / Establishing Key Policies &amp; Processes / Legal and Regulatory Compliance</w:t>
            </w:r>
            <w:r>
              <w:rPr>
                <w:noProof/>
                <w:webHidden/>
              </w:rPr>
              <w:tab/>
            </w:r>
            <w:r>
              <w:rPr>
                <w:noProof/>
                <w:webHidden/>
              </w:rPr>
              <w:fldChar w:fldCharType="begin"/>
            </w:r>
            <w:r>
              <w:rPr>
                <w:noProof/>
                <w:webHidden/>
              </w:rPr>
              <w:instrText xml:space="preserve"> PAGEREF _Toc214874754 \h </w:instrText>
            </w:r>
            <w:r>
              <w:rPr>
                <w:noProof/>
                <w:webHidden/>
              </w:rPr>
            </w:r>
            <w:r>
              <w:rPr>
                <w:noProof/>
                <w:webHidden/>
              </w:rPr>
              <w:fldChar w:fldCharType="separate"/>
            </w:r>
            <w:r>
              <w:rPr>
                <w:noProof/>
                <w:webHidden/>
              </w:rPr>
              <w:t>6</w:t>
            </w:r>
            <w:r>
              <w:rPr>
                <w:noProof/>
                <w:webHidden/>
              </w:rPr>
              <w:fldChar w:fldCharType="end"/>
            </w:r>
          </w:hyperlink>
        </w:p>
        <w:p w14:paraId="2487B23F" w14:textId="5898A242" w:rsidR="00516F05" w:rsidRDefault="00516F05">
          <w:pPr>
            <w:pStyle w:val="TOC2"/>
            <w:rPr>
              <w:rFonts w:eastAsiaTheme="minorEastAsia" w:cstheme="minorBidi"/>
              <w:smallCaps w:val="0"/>
              <w:noProof/>
              <w:color w:val="auto"/>
              <w:kern w:val="2"/>
              <w:sz w:val="24"/>
              <w:szCs w:val="24"/>
              <w14:ligatures w14:val="standardContextual"/>
            </w:rPr>
          </w:pPr>
          <w:hyperlink w:anchor="_Toc214874755" w:history="1">
            <w:r w:rsidRPr="00B17D87">
              <w:rPr>
                <w:rStyle w:val="Hyperlink"/>
                <w:rFonts w:ascii="Aptos" w:eastAsia="Aptos" w:hAnsi="Aptos" w:cs="Times New Roman"/>
                <w:b/>
                <w:bCs/>
                <w:noProof/>
              </w:rPr>
              <w:t>GOVERN / Establishing Key Policies &amp; Processes / Defining Trustworthy AI Policies</w:t>
            </w:r>
            <w:r>
              <w:rPr>
                <w:noProof/>
                <w:webHidden/>
              </w:rPr>
              <w:tab/>
            </w:r>
            <w:r>
              <w:rPr>
                <w:noProof/>
                <w:webHidden/>
              </w:rPr>
              <w:fldChar w:fldCharType="begin"/>
            </w:r>
            <w:r>
              <w:rPr>
                <w:noProof/>
                <w:webHidden/>
              </w:rPr>
              <w:instrText xml:space="preserve"> PAGEREF _Toc214874755 \h </w:instrText>
            </w:r>
            <w:r>
              <w:rPr>
                <w:noProof/>
                <w:webHidden/>
              </w:rPr>
            </w:r>
            <w:r>
              <w:rPr>
                <w:noProof/>
                <w:webHidden/>
              </w:rPr>
              <w:fldChar w:fldCharType="separate"/>
            </w:r>
            <w:r>
              <w:rPr>
                <w:noProof/>
                <w:webHidden/>
              </w:rPr>
              <w:t>19</w:t>
            </w:r>
            <w:r>
              <w:rPr>
                <w:noProof/>
                <w:webHidden/>
              </w:rPr>
              <w:fldChar w:fldCharType="end"/>
            </w:r>
          </w:hyperlink>
        </w:p>
        <w:p w14:paraId="04CDDBB4" w14:textId="71A8AAAE" w:rsidR="00516F05" w:rsidRDefault="00516F05">
          <w:pPr>
            <w:pStyle w:val="TOC2"/>
            <w:rPr>
              <w:rFonts w:eastAsiaTheme="minorEastAsia" w:cstheme="minorBidi"/>
              <w:smallCaps w:val="0"/>
              <w:noProof/>
              <w:color w:val="auto"/>
              <w:kern w:val="2"/>
              <w:sz w:val="24"/>
              <w:szCs w:val="24"/>
              <w14:ligatures w14:val="standardContextual"/>
            </w:rPr>
          </w:pPr>
          <w:hyperlink w:anchor="_Toc214874756" w:history="1">
            <w:r w:rsidRPr="00B17D87">
              <w:rPr>
                <w:rStyle w:val="Hyperlink"/>
                <w:rFonts w:ascii="Aptos" w:eastAsia="Aptos" w:hAnsi="Aptos" w:cs="Times New Roman"/>
                <w:b/>
                <w:bCs/>
                <w:noProof/>
              </w:rPr>
              <w:t>GOVERN / Establishing Key Policies &amp; Processes / Establishing Risk Management Processes</w:t>
            </w:r>
            <w:r>
              <w:rPr>
                <w:noProof/>
                <w:webHidden/>
              </w:rPr>
              <w:tab/>
            </w:r>
            <w:r>
              <w:rPr>
                <w:noProof/>
                <w:webHidden/>
              </w:rPr>
              <w:fldChar w:fldCharType="begin"/>
            </w:r>
            <w:r>
              <w:rPr>
                <w:noProof/>
                <w:webHidden/>
              </w:rPr>
              <w:instrText xml:space="preserve"> PAGEREF _Toc214874756 \h </w:instrText>
            </w:r>
            <w:r>
              <w:rPr>
                <w:noProof/>
                <w:webHidden/>
              </w:rPr>
            </w:r>
            <w:r>
              <w:rPr>
                <w:noProof/>
                <w:webHidden/>
              </w:rPr>
              <w:fldChar w:fldCharType="separate"/>
            </w:r>
            <w:r>
              <w:rPr>
                <w:noProof/>
                <w:webHidden/>
              </w:rPr>
              <w:t>32</w:t>
            </w:r>
            <w:r>
              <w:rPr>
                <w:noProof/>
                <w:webHidden/>
              </w:rPr>
              <w:fldChar w:fldCharType="end"/>
            </w:r>
          </w:hyperlink>
        </w:p>
        <w:p w14:paraId="6872406F" w14:textId="5ADFB9FB" w:rsidR="00516F05" w:rsidRDefault="00516F05">
          <w:pPr>
            <w:pStyle w:val="TOC2"/>
            <w:rPr>
              <w:rFonts w:eastAsiaTheme="minorEastAsia" w:cstheme="minorBidi"/>
              <w:smallCaps w:val="0"/>
              <w:noProof/>
              <w:color w:val="auto"/>
              <w:kern w:val="2"/>
              <w:sz w:val="24"/>
              <w:szCs w:val="24"/>
              <w14:ligatures w14:val="standardContextual"/>
            </w:rPr>
          </w:pPr>
          <w:hyperlink w:anchor="_Toc214874757" w:history="1">
            <w:r w:rsidRPr="00B17D87">
              <w:rPr>
                <w:rStyle w:val="Hyperlink"/>
                <w:rFonts w:ascii="Aptos" w:eastAsia="Aptos" w:hAnsi="Aptos" w:cs="Times New Roman"/>
                <w:b/>
                <w:bCs/>
                <w:noProof/>
              </w:rPr>
              <w:t>GOVERN / Establishing Key Policies &amp; Processes / Establishing Transparency and Documentation Processes</w:t>
            </w:r>
            <w:r>
              <w:rPr>
                <w:noProof/>
                <w:webHidden/>
              </w:rPr>
              <w:tab/>
            </w:r>
            <w:r>
              <w:rPr>
                <w:noProof/>
                <w:webHidden/>
              </w:rPr>
              <w:fldChar w:fldCharType="begin"/>
            </w:r>
            <w:r>
              <w:rPr>
                <w:noProof/>
                <w:webHidden/>
              </w:rPr>
              <w:instrText xml:space="preserve"> PAGEREF _Toc214874757 \h </w:instrText>
            </w:r>
            <w:r>
              <w:rPr>
                <w:noProof/>
                <w:webHidden/>
              </w:rPr>
            </w:r>
            <w:r>
              <w:rPr>
                <w:noProof/>
                <w:webHidden/>
              </w:rPr>
              <w:fldChar w:fldCharType="separate"/>
            </w:r>
            <w:r>
              <w:rPr>
                <w:noProof/>
                <w:webHidden/>
              </w:rPr>
              <w:t>40</w:t>
            </w:r>
            <w:r>
              <w:rPr>
                <w:noProof/>
                <w:webHidden/>
              </w:rPr>
              <w:fldChar w:fldCharType="end"/>
            </w:r>
          </w:hyperlink>
        </w:p>
        <w:p w14:paraId="021EDD6F" w14:textId="0A3286DA" w:rsidR="00516F05" w:rsidRDefault="00516F05">
          <w:pPr>
            <w:pStyle w:val="TOC2"/>
            <w:rPr>
              <w:rFonts w:eastAsiaTheme="minorEastAsia" w:cstheme="minorBidi"/>
              <w:smallCaps w:val="0"/>
              <w:noProof/>
              <w:color w:val="auto"/>
              <w:kern w:val="2"/>
              <w:sz w:val="24"/>
              <w:szCs w:val="24"/>
              <w14:ligatures w14:val="standardContextual"/>
            </w:rPr>
          </w:pPr>
          <w:hyperlink w:anchor="_Toc214874758" w:history="1">
            <w:r w:rsidRPr="00B17D87">
              <w:rPr>
                <w:rStyle w:val="Hyperlink"/>
                <w:rFonts w:ascii="Aptos" w:eastAsia="Aptos" w:hAnsi="Aptos" w:cs="Times New Roman"/>
                <w:b/>
                <w:bCs/>
                <w:noProof/>
              </w:rPr>
              <w:t>GOVERN / Establishing Key Policies &amp; Processes / Establishing Monitoring and Review Processes</w:t>
            </w:r>
            <w:r>
              <w:rPr>
                <w:noProof/>
                <w:webHidden/>
              </w:rPr>
              <w:tab/>
            </w:r>
            <w:r>
              <w:rPr>
                <w:noProof/>
                <w:webHidden/>
              </w:rPr>
              <w:fldChar w:fldCharType="begin"/>
            </w:r>
            <w:r>
              <w:rPr>
                <w:noProof/>
                <w:webHidden/>
              </w:rPr>
              <w:instrText xml:space="preserve"> PAGEREF _Toc214874758 \h </w:instrText>
            </w:r>
            <w:r>
              <w:rPr>
                <w:noProof/>
                <w:webHidden/>
              </w:rPr>
            </w:r>
            <w:r>
              <w:rPr>
                <w:noProof/>
                <w:webHidden/>
              </w:rPr>
              <w:fldChar w:fldCharType="separate"/>
            </w:r>
            <w:r>
              <w:rPr>
                <w:noProof/>
                <w:webHidden/>
              </w:rPr>
              <w:t>47</w:t>
            </w:r>
            <w:r>
              <w:rPr>
                <w:noProof/>
                <w:webHidden/>
              </w:rPr>
              <w:fldChar w:fldCharType="end"/>
            </w:r>
          </w:hyperlink>
        </w:p>
        <w:p w14:paraId="7521AF82" w14:textId="7CEA4E47" w:rsidR="00516F05" w:rsidRDefault="00516F05">
          <w:pPr>
            <w:pStyle w:val="TOC2"/>
            <w:rPr>
              <w:rFonts w:eastAsiaTheme="minorEastAsia" w:cstheme="minorBidi"/>
              <w:smallCaps w:val="0"/>
              <w:noProof/>
              <w:color w:val="auto"/>
              <w:kern w:val="2"/>
              <w:sz w:val="24"/>
              <w:szCs w:val="24"/>
              <w14:ligatures w14:val="standardContextual"/>
            </w:rPr>
          </w:pPr>
          <w:hyperlink w:anchor="_Toc214874759" w:history="1">
            <w:r w:rsidRPr="00B17D87">
              <w:rPr>
                <w:rStyle w:val="Hyperlink"/>
                <w:rFonts w:ascii="Aptos" w:eastAsia="Aptos" w:hAnsi="Aptos" w:cs="Times New Roman"/>
                <w:b/>
                <w:bCs/>
                <w:noProof/>
              </w:rPr>
              <w:t>GOVERN / Establishing Key Policies &amp; Processes / Building the AI Inventory</w:t>
            </w:r>
            <w:r>
              <w:rPr>
                <w:noProof/>
                <w:webHidden/>
              </w:rPr>
              <w:tab/>
            </w:r>
            <w:r>
              <w:rPr>
                <w:noProof/>
                <w:webHidden/>
              </w:rPr>
              <w:fldChar w:fldCharType="begin"/>
            </w:r>
            <w:r>
              <w:rPr>
                <w:noProof/>
                <w:webHidden/>
              </w:rPr>
              <w:instrText xml:space="preserve"> PAGEREF _Toc214874759 \h </w:instrText>
            </w:r>
            <w:r>
              <w:rPr>
                <w:noProof/>
                <w:webHidden/>
              </w:rPr>
            </w:r>
            <w:r>
              <w:rPr>
                <w:noProof/>
                <w:webHidden/>
              </w:rPr>
              <w:fldChar w:fldCharType="separate"/>
            </w:r>
            <w:r>
              <w:rPr>
                <w:noProof/>
                <w:webHidden/>
              </w:rPr>
              <w:t>55</w:t>
            </w:r>
            <w:r>
              <w:rPr>
                <w:noProof/>
                <w:webHidden/>
              </w:rPr>
              <w:fldChar w:fldCharType="end"/>
            </w:r>
          </w:hyperlink>
        </w:p>
        <w:p w14:paraId="2856F34F" w14:textId="34BC9214" w:rsidR="00516F05" w:rsidRDefault="00516F05">
          <w:pPr>
            <w:pStyle w:val="TOC2"/>
            <w:rPr>
              <w:rFonts w:eastAsiaTheme="minorEastAsia" w:cstheme="minorBidi"/>
              <w:smallCaps w:val="0"/>
              <w:noProof/>
              <w:color w:val="auto"/>
              <w:kern w:val="2"/>
              <w:sz w:val="24"/>
              <w:szCs w:val="24"/>
              <w14:ligatures w14:val="standardContextual"/>
            </w:rPr>
          </w:pPr>
          <w:hyperlink w:anchor="_Toc214874760" w:history="1">
            <w:r w:rsidRPr="00B17D87">
              <w:rPr>
                <w:rStyle w:val="Hyperlink"/>
                <w:rFonts w:ascii="Aptos" w:eastAsia="Aptos" w:hAnsi="Aptos" w:cs="Times New Roman"/>
                <w:b/>
                <w:bCs/>
                <w:noProof/>
              </w:rPr>
              <w:t>GOVERN / Establishing Key Policies &amp; Processes / Establishing Decommisioning Processes</w:t>
            </w:r>
            <w:r>
              <w:rPr>
                <w:noProof/>
                <w:webHidden/>
              </w:rPr>
              <w:tab/>
            </w:r>
            <w:r>
              <w:rPr>
                <w:noProof/>
                <w:webHidden/>
              </w:rPr>
              <w:fldChar w:fldCharType="begin"/>
            </w:r>
            <w:r>
              <w:rPr>
                <w:noProof/>
                <w:webHidden/>
              </w:rPr>
              <w:instrText xml:space="preserve"> PAGEREF _Toc214874760 \h </w:instrText>
            </w:r>
            <w:r>
              <w:rPr>
                <w:noProof/>
                <w:webHidden/>
              </w:rPr>
            </w:r>
            <w:r>
              <w:rPr>
                <w:noProof/>
                <w:webHidden/>
              </w:rPr>
              <w:fldChar w:fldCharType="separate"/>
            </w:r>
            <w:r>
              <w:rPr>
                <w:noProof/>
                <w:webHidden/>
              </w:rPr>
              <w:t>68</w:t>
            </w:r>
            <w:r>
              <w:rPr>
                <w:noProof/>
                <w:webHidden/>
              </w:rPr>
              <w:fldChar w:fldCharType="end"/>
            </w:r>
          </w:hyperlink>
        </w:p>
        <w:p w14:paraId="2AC0E974" w14:textId="542F9F07" w:rsidR="00516F05" w:rsidRDefault="00516F05">
          <w:pPr>
            <w:pStyle w:val="TOC2"/>
            <w:rPr>
              <w:rFonts w:eastAsiaTheme="minorEastAsia" w:cstheme="minorBidi"/>
              <w:smallCaps w:val="0"/>
              <w:noProof/>
              <w:color w:val="auto"/>
              <w:kern w:val="2"/>
              <w:sz w:val="24"/>
              <w:szCs w:val="24"/>
              <w14:ligatures w14:val="standardContextual"/>
            </w:rPr>
          </w:pPr>
          <w:hyperlink w:anchor="_Toc214874761" w:history="1">
            <w:r w:rsidRPr="00B17D87">
              <w:rPr>
                <w:rStyle w:val="Hyperlink"/>
                <w:rFonts w:ascii="Aptos" w:eastAsia="Aptos" w:hAnsi="Aptos" w:cs="Times New Roman"/>
                <w:b/>
                <w:bCs/>
                <w:noProof/>
              </w:rPr>
              <w:t>GOVERN / Defining Roles and Responsibilities / Establishing and Communicating Roles and Responsibilities</w:t>
            </w:r>
            <w:r>
              <w:rPr>
                <w:noProof/>
                <w:webHidden/>
              </w:rPr>
              <w:tab/>
            </w:r>
            <w:r>
              <w:rPr>
                <w:noProof/>
                <w:webHidden/>
              </w:rPr>
              <w:fldChar w:fldCharType="begin"/>
            </w:r>
            <w:r>
              <w:rPr>
                <w:noProof/>
                <w:webHidden/>
              </w:rPr>
              <w:instrText xml:space="preserve"> PAGEREF _Toc214874761 \h </w:instrText>
            </w:r>
            <w:r>
              <w:rPr>
                <w:noProof/>
                <w:webHidden/>
              </w:rPr>
            </w:r>
            <w:r>
              <w:rPr>
                <w:noProof/>
                <w:webHidden/>
              </w:rPr>
              <w:fldChar w:fldCharType="separate"/>
            </w:r>
            <w:r>
              <w:rPr>
                <w:noProof/>
                <w:webHidden/>
              </w:rPr>
              <w:t>70</w:t>
            </w:r>
            <w:r>
              <w:rPr>
                <w:noProof/>
                <w:webHidden/>
              </w:rPr>
              <w:fldChar w:fldCharType="end"/>
            </w:r>
          </w:hyperlink>
        </w:p>
        <w:p w14:paraId="45C8D31E" w14:textId="63F8B06A" w:rsidR="00516F05" w:rsidRDefault="00516F05">
          <w:pPr>
            <w:pStyle w:val="TOC2"/>
            <w:rPr>
              <w:rFonts w:eastAsiaTheme="minorEastAsia" w:cstheme="minorBidi"/>
              <w:smallCaps w:val="0"/>
              <w:noProof/>
              <w:color w:val="auto"/>
              <w:kern w:val="2"/>
              <w:sz w:val="24"/>
              <w:szCs w:val="24"/>
              <w14:ligatures w14:val="standardContextual"/>
            </w:rPr>
          </w:pPr>
          <w:hyperlink w:anchor="_Toc214874762" w:history="1">
            <w:r w:rsidRPr="00B17D87">
              <w:rPr>
                <w:rStyle w:val="Hyperlink"/>
                <w:rFonts w:ascii="Aptos" w:eastAsia="Aptos" w:hAnsi="Aptos" w:cs="Times New Roman"/>
                <w:b/>
                <w:bCs/>
                <w:noProof/>
              </w:rPr>
              <w:t>GOVERN / Defining Roles and Responsibilities / Training for AI Risk Management</w:t>
            </w:r>
            <w:r>
              <w:rPr>
                <w:noProof/>
                <w:webHidden/>
              </w:rPr>
              <w:tab/>
            </w:r>
            <w:r>
              <w:rPr>
                <w:noProof/>
                <w:webHidden/>
              </w:rPr>
              <w:fldChar w:fldCharType="begin"/>
            </w:r>
            <w:r>
              <w:rPr>
                <w:noProof/>
                <w:webHidden/>
              </w:rPr>
              <w:instrText xml:space="preserve"> PAGEREF _Toc214874762 \h </w:instrText>
            </w:r>
            <w:r>
              <w:rPr>
                <w:noProof/>
                <w:webHidden/>
              </w:rPr>
            </w:r>
            <w:r>
              <w:rPr>
                <w:noProof/>
                <w:webHidden/>
              </w:rPr>
              <w:fldChar w:fldCharType="separate"/>
            </w:r>
            <w:r>
              <w:rPr>
                <w:noProof/>
                <w:webHidden/>
              </w:rPr>
              <w:t>79</w:t>
            </w:r>
            <w:r>
              <w:rPr>
                <w:noProof/>
                <w:webHidden/>
              </w:rPr>
              <w:fldChar w:fldCharType="end"/>
            </w:r>
          </w:hyperlink>
        </w:p>
        <w:p w14:paraId="445806C8" w14:textId="25700CC9" w:rsidR="00516F05" w:rsidRDefault="00516F05">
          <w:pPr>
            <w:pStyle w:val="TOC2"/>
            <w:rPr>
              <w:rFonts w:eastAsiaTheme="minorEastAsia" w:cstheme="minorBidi"/>
              <w:smallCaps w:val="0"/>
              <w:noProof/>
              <w:color w:val="auto"/>
              <w:kern w:val="2"/>
              <w:sz w:val="24"/>
              <w:szCs w:val="24"/>
              <w14:ligatures w14:val="standardContextual"/>
            </w:rPr>
          </w:pPr>
          <w:hyperlink w:anchor="_Toc214874763" w:history="1">
            <w:r w:rsidRPr="00B17D87">
              <w:rPr>
                <w:rStyle w:val="Hyperlink"/>
                <w:rFonts w:ascii="Aptos" w:eastAsia="Aptos" w:hAnsi="Aptos" w:cs="Times New Roman"/>
                <w:b/>
                <w:bCs/>
                <w:noProof/>
              </w:rPr>
              <w:t>GOVERN / Defining Roles and Responsibilities / Accountability of Executive Leadership</w:t>
            </w:r>
            <w:r>
              <w:rPr>
                <w:noProof/>
                <w:webHidden/>
              </w:rPr>
              <w:tab/>
            </w:r>
            <w:r>
              <w:rPr>
                <w:noProof/>
                <w:webHidden/>
              </w:rPr>
              <w:fldChar w:fldCharType="begin"/>
            </w:r>
            <w:r>
              <w:rPr>
                <w:noProof/>
                <w:webHidden/>
              </w:rPr>
              <w:instrText xml:space="preserve"> PAGEREF _Toc214874763 \h </w:instrText>
            </w:r>
            <w:r>
              <w:rPr>
                <w:noProof/>
                <w:webHidden/>
              </w:rPr>
            </w:r>
            <w:r>
              <w:rPr>
                <w:noProof/>
                <w:webHidden/>
              </w:rPr>
              <w:fldChar w:fldCharType="separate"/>
            </w:r>
            <w:r>
              <w:rPr>
                <w:noProof/>
                <w:webHidden/>
              </w:rPr>
              <w:t>88</w:t>
            </w:r>
            <w:r>
              <w:rPr>
                <w:noProof/>
                <w:webHidden/>
              </w:rPr>
              <w:fldChar w:fldCharType="end"/>
            </w:r>
          </w:hyperlink>
        </w:p>
        <w:p w14:paraId="0008FB2E" w14:textId="675EE7EB" w:rsidR="00516F05" w:rsidRDefault="00516F05">
          <w:pPr>
            <w:pStyle w:val="TOC2"/>
            <w:rPr>
              <w:rFonts w:eastAsiaTheme="minorEastAsia" w:cstheme="minorBidi"/>
              <w:smallCaps w:val="0"/>
              <w:noProof/>
              <w:color w:val="auto"/>
              <w:kern w:val="2"/>
              <w:sz w:val="24"/>
              <w:szCs w:val="24"/>
              <w14:ligatures w14:val="standardContextual"/>
            </w:rPr>
          </w:pPr>
          <w:hyperlink w:anchor="_Toc214874764" w:history="1">
            <w:r w:rsidRPr="00B17D87">
              <w:rPr>
                <w:rStyle w:val="Hyperlink"/>
                <w:rFonts w:ascii="Aptos" w:eastAsia="Aptos" w:hAnsi="Aptos" w:cs="Times New Roman"/>
                <w:b/>
                <w:bCs/>
                <w:noProof/>
              </w:rPr>
              <w:t>GOVERN / Building an AI Risk Management Workforce / Bolstering Broad Perspectives</w:t>
            </w:r>
            <w:r>
              <w:rPr>
                <w:noProof/>
                <w:webHidden/>
              </w:rPr>
              <w:tab/>
            </w:r>
            <w:r>
              <w:rPr>
                <w:noProof/>
                <w:webHidden/>
              </w:rPr>
              <w:fldChar w:fldCharType="begin"/>
            </w:r>
            <w:r>
              <w:rPr>
                <w:noProof/>
                <w:webHidden/>
              </w:rPr>
              <w:instrText xml:space="preserve"> PAGEREF _Toc214874764 \h </w:instrText>
            </w:r>
            <w:r>
              <w:rPr>
                <w:noProof/>
                <w:webHidden/>
              </w:rPr>
            </w:r>
            <w:r>
              <w:rPr>
                <w:noProof/>
                <w:webHidden/>
              </w:rPr>
              <w:fldChar w:fldCharType="separate"/>
            </w:r>
            <w:r>
              <w:rPr>
                <w:noProof/>
                <w:webHidden/>
              </w:rPr>
              <w:t>97</w:t>
            </w:r>
            <w:r>
              <w:rPr>
                <w:noProof/>
                <w:webHidden/>
              </w:rPr>
              <w:fldChar w:fldCharType="end"/>
            </w:r>
          </w:hyperlink>
        </w:p>
        <w:p w14:paraId="7398C2FD" w14:textId="33A07873" w:rsidR="00516F05" w:rsidRDefault="00516F05">
          <w:pPr>
            <w:pStyle w:val="TOC2"/>
            <w:rPr>
              <w:rFonts w:eastAsiaTheme="minorEastAsia" w:cstheme="minorBidi"/>
              <w:smallCaps w:val="0"/>
              <w:noProof/>
              <w:color w:val="auto"/>
              <w:kern w:val="2"/>
              <w:sz w:val="24"/>
              <w:szCs w:val="24"/>
              <w14:ligatures w14:val="standardContextual"/>
            </w:rPr>
          </w:pPr>
          <w:hyperlink w:anchor="_Toc214874765" w:history="1">
            <w:r w:rsidRPr="00B17D87">
              <w:rPr>
                <w:rStyle w:val="Hyperlink"/>
                <w:rFonts w:ascii="Aptos" w:eastAsia="Aptos" w:hAnsi="Aptos" w:cs="Times New Roman"/>
                <w:b/>
                <w:bCs/>
                <w:noProof/>
              </w:rPr>
              <w:t>GOVERN / Building an AI Risk Management Workforce / Defining Human-AI Configurations</w:t>
            </w:r>
            <w:r>
              <w:rPr>
                <w:noProof/>
                <w:webHidden/>
              </w:rPr>
              <w:tab/>
            </w:r>
            <w:r>
              <w:rPr>
                <w:noProof/>
                <w:webHidden/>
              </w:rPr>
              <w:fldChar w:fldCharType="begin"/>
            </w:r>
            <w:r>
              <w:rPr>
                <w:noProof/>
                <w:webHidden/>
              </w:rPr>
              <w:instrText xml:space="preserve"> PAGEREF _Toc214874765 \h </w:instrText>
            </w:r>
            <w:r>
              <w:rPr>
                <w:noProof/>
                <w:webHidden/>
              </w:rPr>
            </w:r>
            <w:r>
              <w:rPr>
                <w:noProof/>
                <w:webHidden/>
              </w:rPr>
              <w:fldChar w:fldCharType="separate"/>
            </w:r>
            <w:r>
              <w:rPr>
                <w:noProof/>
                <w:webHidden/>
              </w:rPr>
              <w:t>100</w:t>
            </w:r>
            <w:r>
              <w:rPr>
                <w:noProof/>
                <w:webHidden/>
              </w:rPr>
              <w:fldChar w:fldCharType="end"/>
            </w:r>
          </w:hyperlink>
        </w:p>
        <w:p w14:paraId="467D555A" w14:textId="75F735DE" w:rsidR="00516F05" w:rsidRDefault="00516F05">
          <w:pPr>
            <w:pStyle w:val="TOC2"/>
            <w:rPr>
              <w:rFonts w:eastAsiaTheme="minorEastAsia" w:cstheme="minorBidi"/>
              <w:smallCaps w:val="0"/>
              <w:noProof/>
              <w:color w:val="auto"/>
              <w:kern w:val="2"/>
              <w:sz w:val="24"/>
              <w:szCs w:val="24"/>
              <w14:ligatures w14:val="standardContextual"/>
            </w:rPr>
          </w:pPr>
          <w:hyperlink w:anchor="_Toc214874766" w:history="1">
            <w:r w:rsidRPr="00B17D87">
              <w:rPr>
                <w:rStyle w:val="Hyperlink"/>
                <w:rFonts w:ascii="Aptos" w:eastAsia="Aptos" w:hAnsi="Aptos" w:cs="Times New Roman"/>
                <w:b/>
                <w:bCs/>
                <w:noProof/>
              </w:rPr>
              <w:t>GOVERN / Bolstering a Risk-Aware Culture / Establishing a Risk-Aware Culture</w:t>
            </w:r>
            <w:r>
              <w:rPr>
                <w:noProof/>
                <w:webHidden/>
              </w:rPr>
              <w:tab/>
            </w:r>
            <w:r>
              <w:rPr>
                <w:noProof/>
                <w:webHidden/>
              </w:rPr>
              <w:fldChar w:fldCharType="begin"/>
            </w:r>
            <w:r>
              <w:rPr>
                <w:noProof/>
                <w:webHidden/>
              </w:rPr>
              <w:instrText xml:space="preserve"> PAGEREF _Toc214874766 \h </w:instrText>
            </w:r>
            <w:r>
              <w:rPr>
                <w:noProof/>
                <w:webHidden/>
              </w:rPr>
            </w:r>
            <w:r>
              <w:rPr>
                <w:noProof/>
                <w:webHidden/>
              </w:rPr>
              <w:fldChar w:fldCharType="separate"/>
            </w:r>
            <w:r>
              <w:rPr>
                <w:noProof/>
                <w:webHidden/>
              </w:rPr>
              <w:t>105</w:t>
            </w:r>
            <w:r>
              <w:rPr>
                <w:noProof/>
                <w:webHidden/>
              </w:rPr>
              <w:fldChar w:fldCharType="end"/>
            </w:r>
          </w:hyperlink>
        </w:p>
        <w:p w14:paraId="51404578" w14:textId="063C6349" w:rsidR="00516F05" w:rsidRDefault="00516F05">
          <w:pPr>
            <w:pStyle w:val="TOC2"/>
            <w:rPr>
              <w:rFonts w:eastAsiaTheme="minorEastAsia" w:cstheme="minorBidi"/>
              <w:smallCaps w:val="0"/>
              <w:noProof/>
              <w:color w:val="auto"/>
              <w:kern w:val="2"/>
              <w:sz w:val="24"/>
              <w:szCs w:val="24"/>
              <w14:ligatures w14:val="standardContextual"/>
            </w:rPr>
          </w:pPr>
          <w:hyperlink w:anchor="_Toc214874767" w:history="1">
            <w:r w:rsidRPr="00B17D87">
              <w:rPr>
                <w:rStyle w:val="Hyperlink"/>
                <w:rFonts w:ascii="Aptos" w:eastAsia="Aptos" w:hAnsi="Aptos" w:cs="Times New Roman"/>
                <w:b/>
                <w:bCs/>
                <w:noProof/>
              </w:rPr>
              <w:t>GOVERN / Bolstering a Risk-Aware Culture / Documenting the AI System's Impact</w:t>
            </w:r>
            <w:r>
              <w:rPr>
                <w:noProof/>
                <w:webHidden/>
              </w:rPr>
              <w:tab/>
            </w:r>
            <w:r>
              <w:rPr>
                <w:noProof/>
                <w:webHidden/>
              </w:rPr>
              <w:fldChar w:fldCharType="begin"/>
            </w:r>
            <w:r>
              <w:rPr>
                <w:noProof/>
                <w:webHidden/>
              </w:rPr>
              <w:instrText xml:space="preserve"> PAGEREF _Toc214874767 \h </w:instrText>
            </w:r>
            <w:r>
              <w:rPr>
                <w:noProof/>
                <w:webHidden/>
              </w:rPr>
            </w:r>
            <w:r>
              <w:rPr>
                <w:noProof/>
                <w:webHidden/>
              </w:rPr>
              <w:fldChar w:fldCharType="separate"/>
            </w:r>
            <w:r>
              <w:rPr>
                <w:noProof/>
                <w:webHidden/>
              </w:rPr>
              <w:t>111</w:t>
            </w:r>
            <w:r>
              <w:rPr>
                <w:noProof/>
                <w:webHidden/>
              </w:rPr>
              <w:fldChar w:fldCharType="end"/>
            </w:r>
          </w:hyperlink>
        </w:p>
        <w:p w14:paraId="29B5FC63" w14:textId="4EFCFD78" w:rsidR="00516F05" w:rsidRDefault="00516F05">
          <w:pPr>
            <w:pStyle w:val="TOC2"/>
            <w:rPr>
              <w:rFonts w:eastAsiaTheme="minorEastAsia" w:cstheme="minorBidi"/>
              <w:smallCaps w:val="0"/>
              <w:noProof/>
              <w:color w:val="auto"/>
              <w:kern w:val="2"/>
              <w:sz w:val="24"/>
              <w:szCs w:val="24"/>
              <w14:ligatures w14:val="standardContextual"/>
            </w:rPr>
          </w:pPr>
          <w:hyperlink w:anchor="_Toc214874768" w:history="1">
            <w:r w:rsidRPr="00B17D87">
              <w:rPr>
                <w:rStyle w:val="Hyperlink"/>
                <w:rFonts w:ascii="Aptos" w:eastAsia="Aptos" w:hAnsi="Aptos" w:cs="Times New Roman"/>
                <w:b/>
                <w:bCs/>
                <w:noProof/>
              </w:rPr>
              <w:t>GOVERN / Bolstering a Risk-Aware Culture / Establishing AI Incident Response and Information Sharing Processes</w:t>
            </w:r>
            <w:r>
              <w:rPr>
                <w:noProof/>
                <w:webHidden/>
              </w:rPr>
              <w:tab/>
            </w:r>
            <w:r>
              <w:rPr>
                <w:noProof/>
                <w:webHidden/>
              </w:rPr>
              <w:fldChar w:fldCharType="begin"/>
            </w:r>
            <w:r>
              <w:rPr>
                <w:noProof/>
                <w:webHidden/>
              </w:rPr>
              <w:instrText xml:space="preserve"> PAGEREF _Toc214874768 \h </w:instrText>
            </w:r>
            <w:r>
              <w:rPr>
                <w:noProof/>
                <w:webHidden/>
              </w:rPr>
            </w:r>
            <w:r>
              <w:rPr>
                <w:noProof/>
                <w:webHidden/>
              </w:rPr>
              <w:fldChar w:fldCharType="separate"/>
            </w:r>
            <w:r>
              <w:rPr>
                <w:noProof/>
                <w:webHidden/>
              </w:rPr>
              <w:t>120</w:t>
            </w:r>
            <w:r>
              <w:rPr>
                <w:noProof/>
                <w:webHidden/>
              </w:rPr>
              <w:fldChar w:fldCharType="end"/>
            </w:r>
          </w:hyperlink>
        </w:p>
        <w:p w14:paraId="45A03C1B" w14:textId="178B57CD" w:rsidR="00516F05" w:rsidRDefault="00516F05">
          <w:pPr>
            <w:pStyle w:val="TOC2"/>
            <w:rPr>
              <w:rFonts w:eastAsiaTheme="minorEastAsia" w:cstheme="minorBidi"/>
              <w:smallCaps w:val="0"/>
              <w:noProof/>
              <w:color w:val="auto"/>
              <w:kern w:val="2"/>
              <w:sz w:val="24"/>
              <w:szCs w:val="24"/>
              <w14:ligatures w14:val="standardContextual"/>
            </w:rPr>
          </w:pPr>
          <w:hyperlink w:anchor="_Toc214874769" w:history="1">
            <w:r w:rsidRPr="00B17D87">
              <w:rPr>
                <w:rStyle w:val="Hyperlink"/>
                <w:rFonts w:ascii="Aptos" w:eastAsia="Aptos" w:hAnsi="Aptos" w:cs="Times New Roman"/>
                <w:b/>
                <w:bCs/>
                <w:noProof/>
              </w:rPr>
              <w:t>GOVERN / Establishing Stakeholder Engagement Processes / Creating Stakeholder Engagement Processes</w:t>
            </w:r>
            <w:r>
              <w:rPr>
                <w:noProof/>
                <w:webHidden/>
              </w:rPr>
              <w:tab/>
            </w:r>
            <w:r>
              <w:rPr>
                <w:noProof/>
                <w:webHidden/>
              </w:rPr>
              <w:fldChar w:fldCharType="begin"/>
            </w:r>
            <w:r>
              <w:rPr>
                <w:noProof/>
                <w:webHidden/>
              </w:rPr>
              <w:instrText xml:space="preserve"> PAGEREF _Toc214874769 \h </w:instrText>
            </w:r>
            <w:r>
              <w:rPr>
                <w:noProof/>
                <w:webHidden/>
              </w:rPr>
            </w:r>
            <w:r>
              <w:rPr>
                <w:noProof/>
                <w:webHidden/>
              </w:rPr>
              <w:fldChar w:fldCharType="separate"/>
            </w:r>
            <w:r>
              <w:rPr>
                <w:noProof/>
                <w:webHidden/>
              </w:rPr>
              <w:t>133</w:t>
            </w:r>
            <w:r>
              <w:rPr>
                <w:noProof/>
                <w:webHidden/>
              </w:rPr>
              <w:fldChar w:fldCharType="end"/>
            </w:r>
          </w:hyperlink>
        </w:p>
        <w:p w14:paraId="2F2E9EFE" w14:textId="3169FF37" w:rsidR="00516F05" w:rsidRDefault="00516F05">
          <w:pPr>
            <w:pStyle w:val="TOC2"/>
            <w:rPr>
              <w:rFonts w:eastAsiaTheme="minorEastAsia" w:cstheme="minorBidi"/>
              <w:smallCaps w:val="0"/>
              <w:noProof/>
              <w:color w:val="auto"/>
              <w:kern w:val="2"/>
              <w:sz w:val="24"/>
              <w:szCs w:val="24"/>
              <w14:ligatures w14:val="standardContextual"/>
            </w:rPr>
          </w:pPr>
          <w:hyperlink w:anchor="_Toc214874770" w:history="1">
            <w:r w:rsidRPr="00B17D87">
              <w:rPr>
                <w:rStyle w:val="Hyperlink"/>
                <w:rFonts w:ascii="Aptos" w:eastAsia="Aptos" w:hAnsi="Aptos" w:cs="Times New Roman"/>
                <w:b/>
                <w:bCs/>
                <w:noProof/>
              </w:rPr>
              <w:t>GOVERN / Establishing Stakeholder Engagement Processes / Ensuring Continual Stakeholder Engagement</w:t>
            </w:r>
            <w:r>
              <w:rPr>
                <w:noProof/>
                <w:webHidden/>
              </w:rPr>
              <w:tab/>
            </w:r>
            <w:r>
              <w:rPr>
                <w:noProof/>
                <w:webHidden/>
              </w:rPr>
              <w:fldChar w:fldCharType="begin"/>
            </w:r>
            <w:r>
              <w:rPr>
                <w:noProof/>
                <w:webHidden/>
              </w:rPr>
              <w:instrText xml:space="preserve"> PAGEREF _Toc214874770 \h </w:instrText>
            </w:r>
            <w:r>
              <w:rPr>
                <w:noProof/>
                <w:webHidden/>
              </w:rPr>
            </w:r>
            <w:r>
              <w:rPr>
                <w:noProof/>
                <w:webHidden/>
              </w:rPr>
              <w:fldChar w:fldCharType="separate"/>
            </w:r>
            <w:r>
              <w:rPr>
                <w:noProof/>
                <w:webHidden/>
              </w:rPr>
              <w:t>139</w:t>
            </w:r>
            <w:r>
              <w:rPr>
                <w:noProof/>
                <w:webHidden/>
              </w:rPr>
              <w:fldChar w:fldCharType="end"/>
            </w:r>
          </w:hyperlink>
        </w:p>
        <w:p w14:paraId="2A963F2E" w14:textId="6226372D" w:rsidR="00516F05" w:rsidRDefault="00516F05">
          <w:pPr>
            <w:pStyle w:val="TOC2"/>
            <w:rPr>
              <w:rFonts w:eastAsiaTheme="minorEastAsia" w:cstheme="minorBidi"/>
              <w:smallCaps w:val="0"/>
              <w:noProof/>
              <w:color w:val="auto"/>
              <w:kern w:val="2"/>
              <w:sz w:val="24"/>
              <w:szCs w:val="24"/>
              <w14:ligatures w14:val="standardContextual"/>
            </w:rPr>
          </w:pPr>
          <w:hyperlink w:anchor="_Toc214874771" w:history="1">
            <w:r w:rsidRPr="00B17D87">
              <w:rPr>
                <w:rStyle w:val="Hyperlink"/>
                <w:rFonts w:ascii="Aptos" w:eastAsia="Aptos" w:hAnsi="Aptos" w:cs="Times New Roman"/>
                <w:b/>
                <w:bCs/>
                <w:noProof/>
              </w:rPr>
              <w:t>GOVERN / Establishing Third-Party Risk Management for the AI System / Establishing Third-Party Risk Management Processes</w:t>
            </w:r>
            <w:r>
              <w:rPr>
                <w:noProof/>
                <w:webHidden/>
              </w:rPr>
              <w:tab/>
            </w:r>
            <w:r>
              <w:rPr>
                <w:noProof/>
                <w:webHidden/>
              </w:rPr>
              <w:fldChar w:fldCharType="begin"/>
            </w:r>
            <w:r>
              <w:rPr>
                <w:noProof/>
                <w:webHidden/>
              </w:rPr>
              <w:instrText xml:space="preserve"> PAGEREF _Toc214874771 \h </w:instrText>
            </w:r>
            <w:r>
              <w:rPr>
                <w:noProof/>
                <w:webHidden/>
              </w:rPr>
            </w:r>
            <w:r>
              <w:rPr>
                <w:noProof/>
                <w:webHidden/>
              </w:rPr>
              <w:fldChar w:fldCharType="separate"/>
            </w:r>
            <w:r>
              <w:rPr>
                <w:noProof/>
                <w:webHidden/>
              </w:rPr>
              <w:t>150</w:t>
            </w:r>
            <w:r>
              <w:rPr>
                <w:noProof/>
                <w:webHidden/>
              </w:rPr>
              <w:fldChar w:fldCharType="end"/>
            </w:r>
          </w:hyperlink>
        </w:p>
        <w:p w14:paraId="6102976F" w14:textId="29728935" w:rsidR="00516F05" w:rsidRDefault="00516F05">
          <w:pPr>
            <w:pStyle w:val="TOC2"/>
            <w:rPr>
              <w:rFonts w:eastAsiaTheme="minorEastAsia" w:cstheme="minorBidi"/>
              <w:smallCaps w:val="0"/>
              <w:noProof/>
              <w:color w:val="auto"/>
              <w:kern w:val="2"/>
              <w:sz w:val="24"/>
              <w:szCs w:val="24"/>
              <w14:ligatures w14:val="standardContextual"/>
            </w:rPr>
          </w:pPr>
          <w:hyperlink w:anchor="_Toc214874772" w:history="1">
            <w:r w:rsidRPr="00B17D87">
              <w:rPr>
                <w:rStyle w:val="Hyperlink"/>
                <w:rFonts w:ascii="Aptos" w:eastAsia="Aptos" w:hAnsi="Aptos" w:cs="Times New Roman"/>
                <w:b/>
                <w:bCs/>
                <w:noProof/>
              </w:rPr>
              <w:t>GOVERN / Establishing Third-Party Risk Management for the AI System / Establishing Contingency Plans for Critical Third Parties</w:t>
            </w:r>
            <w:r>
              <w:rPr>
                <w:noProof/>
                <w:webHidden/>
              </w:rPr>
              <w:tab/>
            </w:r>
            <w:r>
              <w:rPr>
                <w:noProof/>
                <w:webHidden/>
              </w:rPr>
              <w:fldChar w:fldCharType="begin"/>
            </w:r>
            <w:r>
              <w:rPr>
                <w:noProof/>
                <w:webHidden/>
              </w:rPr>
              <w:instrText xml:space="preserve"> PAGEREF _Toc214874772 \h </w:instrText>
            </w:r>
            <w:r>
              <w:rPr>
                <w:noProof/>
                <w:webHidden/>
              </w:rPr>
            </w:r>
            <w:r>
              <w:rPr>
                <w:noProof/>
                <w:webHidden/>
              </w:rPr>
              <w:fldChar w:fldCharType="separate"/>
            </w:r>
            <w:r>
              <w:rPr>
                <w:noProof/>
                <w:webHidden/>
              </w:rPr>
              <w:t>173</w:t>
            </w:r>
            <w:r>
              <w:rPr>
                <w:noProof/>
                <w:webHidden/>
              </w:rPr>
              <w:fldChar w:fldCharType="end"/>
            </w:r>
          </w:hyperlink>
        </w:p>
        <w:p w14:paraId="3B78615B" w14:textId="5471ACD4" w:rsidR="00516F05" w:rsidRDefault="00516F05">
          <w:pPr>
            <w:pStyle w:val="TOC2"/>
            <w:rPr>
              <w:rFonts w:eastAsiaTheme="minorEastAsia" w:cstheme="minorBidi"/>
              <w:smallCaps w:val="0"/>
              <w:noProof/>
              <w:color w:val="auto"/>
              <w:kern w:val="2"/>
              <w:sz w:val="24"/>
              <w:szCs w:val="24"/>
              <w14:ligatures w14:val="standardContextual"/>
            </w:rPr>
          </w:pPr>
          <w:hyperlink w:anchor="_Toc214874773" w:history="1">
            <w:r w:rsidRPr="00B17D87">
              <w:rPr>
                <w:rStyle w:val="Hyperlink"/>
                <w:rFonts w:ascii="Aptos" w:eastAsia="Aptos" w:hAnsi="Aptos" w:cs="Times New Roman"/>
                <w:b/>
                <w:bCs/>
                <w:noProof/>
              </w:rPr>
              <w:t>MAP / Understanding the Operating Context / Defining the Operating Context</w:t>
            </w:r>
            <w:r>
              <w:rPr>
                <w:noProof/>
                <w:webHidden/>
              </w:rPr>
              <w:tab/>
            </w:r>
            <w:r>
              <w:rPr>
                <w:noProof/>
                <w:webHidden/>
              </w:rPr>
              <w:fldChar w:fldCharType="begin"/>
            </w:r>
            <w:r>
              <w:rPr>
                <w:noProof/>
                <w:webHidden/>
              </w:rPr>
              <w:instrText xml:space="preserve"> PAGEREF _Toc214874773 \h </w:instrText>
            </w:r>
            <w:r>
              <w:rPr>
                <w:noProof/>
                <w:webHidden/>
              </w:rPr>
            </w:r>
            <w:r>
              <w:rPr>
                <w:noProof/>
                <w:webHidden/>
              </w:rPr>
              <w:fldChar w:fldCharType="separate"/>
            </w:r>
            <w:r>
              <w:rPr>
                <w:noProof/>
                <w:webHidden/>
              </w:rPr>
              <w:t>181</w:t>
            </w:r>
            <w:r>
              <w:rPr>
                <w:noProof/>
                <w:webHidden/>
              </w:rPr>
              <w:fldChar w:fldCharType="end"/>
            </w:r>
          </w:hyperlink>
        </w:p>
        <w:p w14:paraId="143BA658" w14:textId="26669CFE" w:rsidR="00516F05" w:rsidRDefault="00516F05">
          <w:pPr>
            <w:pStyle w:val="TOC2"/>
            <w:rPr>
              <w:rFonts w:eastAsiaTheme="minorEastAsia" w:cstheme="minorBidi"/>
              <w:smallCaps w:val="0"/>
              <w:noProof/>
              <w:color w:val="auto"/>
              <w:kern w:val="2"/>
              <w:sz w:val="24"/>
              <w:szCs w:val="24"/>
              <w14:ligatures w14:val="standardContextual"/>
            </w:rPr>
          </w:pPr>
          <w:hyperlink w:anchor="_Toc214874774" w:history="1">
            <w:r w:rsidRPr="00B17D87">
              <w:rPr>
                <w:rStyle w:val="Hyperlink"/>
                <w:rFonts w:ascii="Aptos" w:eastAsia="Aptos" w:hAnsi="Aptos" w:cs="Times New Roman"/>
                <w:b/>
                <w:bCs/>
                <w:noProof/>
              </w:rPr>
              <w:t>MAP / Understanding the Operating Context / Bolstering Cross-Functional Perspectives on the Operating Context</w:t>
            </w:r>
            <w:r>
              <w:rPr>
                <w:noProof/>
                <w:webHidden/>
              </w:rPr>
              <w:tab/>
            </w:r>
            <w:r>
              <w:rPr>
                <w:noProof/>
                <w:webHidden/>
              </w:rPr>
              <w:fldChar w:fldCharType="begin"/>
            </w:r>
            <w:r>
              <w:rPr>
                <w:noProof/>
                <w:webHidden/>
              </w:rPr>
              <w:instrText xml:space="preserve"> PAGEREF _Toc214874774 \h </w:instrText>
            </w:r>
            <w:r>
              <w:rPr>
                <w:noProof/>
                <w:webHidden/>
              </w:rPr>
            </w:r>
            <w:r>
              <w:rPr>
                <w:noProof/>
                <w:webHidden/>
              </w:rPr>
              <w:fldChar w:fldCharType="separate"/>
            </w:r>
            <w:r>
              <w:rPr>
                <w:noProof/>
                <w:webHidden/>
              </w:rPr>
              <w:t>190</w:t>
            </w:r>
            <w:r>
              <w:rPr>
                <w:noProof/>
                <w:webHidden/>
              </w:rPr>
              <w:fldChar w:fldCharType="end"/>
            </w:r>
          </w:hyperlink>
        </w:p>
        <w:p w14:paraId="4F693FFB" w14:textId="53C70DB6" w:rsidR="00516F05" w:rsidRDefault="00516F05">
          <w:pPr>
            <w:pStyle w:val="TOC2"/>
            <w:rPr>
              <w:rFonts w:eastAsiaTheme="minorEastAsia" w:cstheme="minorBidi"/>
              <w:smallCaps w:val="0"/>
              <w:noProof/>
              <w:color w:val="auto"/>
              <w:kern w:val="2"/>
              <w:sz w:val="24"/>
              <w:szCs w:val="24"/>
              <w14:ligatures w14:val="standardContextual"/>
            </w:rPr>
          </w:pPr>
          <w:hyperlink w:anchor="_Toc214874775" w:history="1">
            <w:r w:rsidRPr="00B17D87">
              <w:rPr>
                <w:rStyle w:val="Hyperlink"/>
                <w:rFonts w:ascii="Aptos" w:eastAsia="Aptos" w:hAnsi="Aptos" w:cs="Times New Roman"/>
                <w:b/>
                <w:bCs/>
                <w:noProof/>
              </w:rPr>
              <w:t>MAP / Understanding the Operating Context / Defining the Mission and Goals</w:t>
            </w:r>
            <w:r>
              <w:rPr>
                <w:noProof/>
                <w:webHidden/>
              </w:rPr>
              <w:tab/>
            </w:r>
            <w:r>
              <w:rPr>
                <w:noProof/>
                <w:webHidden/>
              </w:rPr>
              <w:fldChar w:fldCharType="begin"/>
            </w:r>
            <w:r>
              <w:rPr>
                <w:noProof/>
                <w:webHidden/>
              </w:rPr>
              <w:instrText xml:space="preserve"> PAGEREF _Toc214874775 \h </w:instrText>
            </w:r>
            <w:r>
              <w:rPr>
                <w:noProof/>
                <w:webHidden/>
              </w:rPr>
            </w:r>
            <w:r>
              <w:rPr>
                <w:noProof/>
                <w:webHidden/>
              </w:rPr>
              <w:fldChar w:fldCharType="separate"/>
            </w:r>
            <w:r>
              <w:rPr>
                <w:noProof/>
                <w:webHidden/>
              </w:rPr>
              <w:t>192</w:t>
            </w:r>
            <w:r>
              <w:rPr>
                <w:noProof/>
                <w:webHidden/>
              </w:rPr>
              <w:fldChar w:fldCharType="end"/>
            </w:r>
          </w:hyperlink>
        </w:p>
        <w:p w14:paraId="13C85B00" w14:textId="5D0FF75D" w:rsidR="00516F05" w:rsidRDefault="00516F05">
          <w:pPr>
            <w:pStyle w:val="TOC2"/>
            <w:rPr>
              <w:rFonts w:eastAsiaTheme="minorEastAsia" w:cstheme="minorBidi"/>
              <w:smallCaps w:val="0"/>
              <w:noProof/>
              <w:color w:val="auto"/>
              <w:kern w:val="2"/>
              <w:sz w:val="24"/>
              <w:szCs w:val="24"/>
              <w14:ligatures w14:val="standardContextual"/>
            </w:rPr>
          </w:pPr>
          <w:hyperlink w:anchor="_Toc214874776" w:history="1">
            <w:r w:rsidRPr="00B17D87">
              <w:rPr>
                <w:rStyle w:val="Hyperlink"/>
                <w:rFonts w:ascii="Aptos" w:eastAsia="Aptos" w:hAnsi="Aptos" w:cs="Times New Roman"/>
                <w:b/>
                <w:bCs/>
                <w:noProof/>
              </w:rPr>
              <w:t>MAP / Understanding the Operating Context / Defining Real-World Business Value</w:t>
            </w:r>
            <w:r>
              <w:rPr>
                <w:noProof/>
                <w:webHidden/>
              </w:rPr>
              <w:tab/>
            </w:r>
            <w:r>
              <w:rPr>
                <w:noProof/>
                <w:webHidden/>
              </w:rPr>
              <w:fldChar w:fldCharType="begin"/>
            </w:r>
            <w:r>
              <w:rPr>
                <w:noProof/>
                <w:webHidden/>
              </w:rPr>
              <w:instrText xml:space="preserve"> PAGEREF _Toc214874776 \h </w:instrText>
            </w:r>
            <w:r>
              <w:rPr>
                <w:noProof/>
                <w:webHidden/>
              </w:rPr>
            </w:r>
            <w:r>
              <w:rPr>
                <w:noProof/>
                <w:webHidden/>
              </w:rPr>
              <w:fldChar w:fldCharType="separate"/>
            </w:r>
            <w:r>
              <w:rPr>
                <w:noProof/>
                <w:webHidden/>
              </w:rPr>
              <w:t>196</w:t>
            </w:r>
            <w:r>
              <w:rPr>
                <w:noProof/>
                <w:webHidden/>
              </w:rPr>
              <w:fldChar w:fldCharType="end"/>
            </w:r>
          </w:hyperlink>
        </w:p>
        <w:p w14:paraId="0857C82D" w14:textId="130F6EFD" w:rsidR="00516F05" w:rsidRDefault="00516F05">
          <w:pPr>
            <w:pStyle w:val="TOC2"/>
            <w:rPr>
              <w:rFonts w:eastAsiaTheme="minorEastAsia" w:cstheme="minorBidi"/>
              <w:smallCaps w:val="0"/>
              <w:noProof/>
              <w:color w:val="auto"/>
              <w:kern w:val="2"/>
              <w:sz w:val="24"/>
              <w:szCs w:val="24"/>
              <w14:ligatures w14:val="standardContextual"/>
            </w:rPr>
          </w:pPr>
          <w:hyperlink w:anchor="_Toc214874777" w:history="1">
            <w:r w:rsidRPr="00B17D87">
              <w:rPr>
                <w:rStyle w:val="Hyperlink"/>
                <w:rFonts w:ascii="Aptos" w:eastAsia="Aptos" w:hAnsi="Aptos" w:cs="Times New Roman"/>
                <w:b/>
                <w:bCs/>
                <w:noProof/>
              </w:rPr>
              <w:t>MAP / Understanding the Operating Context / Documenting Risk Tolerances</w:t>
            </w:r>
            <w:r>
              <w:rPr>
                <w:noProof/>
                <w:webHidden/>
              </w:rPr>
              <w:tab/>
            </w:r>
            <w:r>
              <w:rPr>
                <w:noProof/>
                <w:webHidden/>
              </w:rPr>
              <w:fldChar w:fldCharType="begin"/>
            </w:r>
            <w:r>
              <w:rPr>
                <w:noProof/>
                <w:webHidden/>
              </w:rPr>
              <w:instrText xml:space="preserve"> PAGEREF _Toc214874777 \h </w:instrText>
            </w:r>
            <w:r>
              <w:rPr>
                <w:noProof/>
                <w:webHidden/>
              </w:rPr>
            </w:r>
            <w:r>
              <w:rPr>
                <w:noProof/>
                <w:webHidden/>
              </w:rPr>
              <w:fldChar w:fldCharType="separate"/>
            </w:r>
            <w:r>
              <w:rPr>
                <w:noProof/>
                <w:webHidden/>
              </w:rPr>
              <w:t>198</w:t>
            </w:r>
            <w:r>
              <w:rPr>
                <w:noProof/>
                <w:webHidden/>
              </w:rPr>
              <w:fldChar w:fldCharType="end"/>
            </w:r>
          </w:hyperlink>
        </w:p>
        <w:p w14:paraId="2AA70A2A" w14:textId="6D428D15" w:rsidR="00516F05" w:rsidRDefault="00516F05">
          <w:pPr>
            <w:pStyle w:val="TOC2"/>
            <w:rPr>
              <w:rFonts w:eastAsiaTheme="minorEastAsia" w:cstheme="minorBidi"/>
              <w:smallCaps w:val="0"/>
              <w:noProof/>
              <w:color w:val="auto"/>
              <w:kern w:val="2"/>
              <w:sz w:val="24"/>
              <w:szCs w:val="24"/>
              <w14:ligatures w14:val="standardContextual"/>
            </w:rPr>
          </w:pPr>
          <w:hyperlink w:anchor="_Toc214874778" w:history="1">
            <w:r w:rsidRPr="00B17D87">
              <w:rPr>
                <w:rStyle w:val="Hyperlink"/>
                <w:rFonts w:ascii="Aptos" w:eastAsia="Aptos" w:hAnsi="Aptos" w:cs="Times New Roman"/>
                <w:b/>
                <w:bCs/>
                <w:noProof/>
              </w:rPr>
              <w:t>MAP / Understanding the Operating Context / Defining and Communicating User Requirements</w:t>
            </w:r>
            <w:r>
              <w:rPr>
                <w:noProof/>
                <w:webHidden/>
              </w:rPr>
              <w:tab/>
            </w:r>
            <w:r>
              <w:rPr>
                <w:noProof/>
                <w:webHidden/>
              </w:rPr>
              <w:fldChar w:fldCharType="begin"/>
            </w:r>
            <w:r>
              <w:rPr>
                <w:noProof/>
                <w:webHidden/>
              </w:rPr>
              <w:instrText xml:space="preserve"> PAGEREF _Toc214874778 \h </w:instrText>
            </w:r>
            <w:r>
              <w:rPr>
                <w:noProof/>
                <w:webHidden/>
              </w:rPr>
            </w:r>
            <w:r>
              <w:rPr>
                <w:noProof/>
                <w:webHidden/>
              </w:rPr>
              <w:fldChar w:fldCharType="separate"/>
            </w:r>
            <w:r>
              <w:rPr>
                <w:noProof/>
                <w:webHidden/>
              </w:rPr>
              <w:t>202</w:t>
            </w:r>
            <w:r>
              <w:rPr>
                <w:noProof/>
                <w:webHidden/>
              </w:rPr>
              <w:fldChar w:fldCharType="end"/>
            </w:r>
          </w:hyperlink>
        </w:p>
        <w:p w14:paraId="653DC05A" w14:textId="7227370A" w:rsidR="00516F05" w:rsidRDefault="00516F05">
          <w:pPr>
            <w:pStyle w:val="TOC2"/>
            <w:rPr>
              <w:rFonts w:eastAsiaTheme="minorEastAsia" w:cstheme="minorBidi"/>
              <w:smallCaps w:val="0"/>
              <w:noProof/>
              <w:color w:val="auto"/>
              <w:kern w:val="2"/>
              <w:sz w:val="24"/>
              <w:szCs w:val="24"/>
              <w14:ligatures w14:val="standardContextual"/>
            </w:rPr>
          </w:pPr>
          <w:hyperlink w:anchor="_Toc214874779" w:history="1">
            <w:r w:rsidRPr="00B17D87">
              <w:rPr>
                <w:rStyle w:val="Hyperlink"/>
                <w:rFonts w:ascii="Aptos" w:eastAsia="Aptos" w:hAnsi="Aptos" w:cs="Times New Roman"/>
                <w:b/>
                <w:bCs/>
                <w:noProof/>
              </w:rPr>
              <w:t>MAP / Understanding the AI System / Defining AI System Task and Methodology</w:t>
            </w:r>
            <w:r>
              <w:rPr>
                <w:noProof/>
                <w:webHidden/>
              </w:rPr>
              <w:tab/>
            </w:r>
            <w:r>
              <w:rPr>
                <w:noProof/>
                <w:webHidden/>
              </w:rPr>
              <w:fldChar w:fldCharType="begin"/>
            </w:r>
            <w:r>
              <w:rPr>
                <w:noProof/>
                <w:webHidden/>
              </w:rPr>
              <w:instrText xml:space="preserve"> PAGEREF _Toc214874779 \h </w:instrText>
            </w:r>
            <w:r>
              <w:rPr>
                <w:noProof/>
                <w:webHidden/>
              </w:rPr>
            </w:r>
            <w:r>
              <w:rPr>
                <w:noProof/>
                <w:webHidden/>
              </w:rPr>
              <w:fldChar w:fldCharType="separate"/>
            </w:r>
            <w:r>
              <w:rPr>
                <w:noProof/>
                <w:webHidden/>
              </w:rPr>
              <w:t>208</w:t>
            </w:r>
            <w:r>
              <w:rPr>
                <w:noProof/>
                <w:webHidden/>
              </w:rPr>
              <w:fldChar w:fldCharType="end"/>
            </w:r>
          </w:hyperlink>
        </w:p>
        <w:p w14:paraId="0D092766" w14:textId="3209A86D" w:rsidR="00516F05" w:rsidRDefault="00516F05">
          <w:pPr>
            <w:pStyle w:val="TOC2"/>
            <w:rPr>
              <w:rFonts w:eastAsiaTheme="minorEastAsia" w:cstheme="minorBidi"/>
              <w:smallCaps w:val="0"/>
              <w:noProof/>
              <w:color w:val="auto"/>
              <w:kern w:val="2"/>
              <w:sz w:val="24"/>
              <w:szCs w:val="24"/>
              <w14:ligatures w14:val="standardContextual"/>
            </w:rPr>
          </w:pPr>
          <w:hyperlink w:anchor="_Toc214874780" w:history="1">
            <w:r w:rsidRPr="00B17D87">
              <w:rPr>
                <w:rStyle w:val="Hyperlink"/>
                <w:rFonts w:ascii="Aptos" w:eastAsia="Aptos" w:hAnsi="Aptos" w:cs="Times New Roman"/>
                <w:b/>
                <w:bCs/>
                <w:noProof/>
              </w:rPr>
              <w:t>MAP / Understanding the AI System / Defining AI System Utility and Oversight Needs</w:t>
            </w:r>
            <w:r>
              <w:rPr>
                <w:noProof/>
                <w:webHidden/>
              </w:rPr>
              <w:tab/>
            </w:r>
            <w:r>
              <w:rPr>
                <w:noProof/>
                <w:webHidden/>
              </w:rPr>
              <w:fldChar w:fldCharType="begin"/>
            </w:r>
            <w:r>
              <w:rPr>
                <w:noProof/>
                <w:webHidden/>
              </w:rPr>
              <w:instrText xml:space="preserve"> PAGEREF _Toc214874780 \h </w:instrText>
            </w:r>
            <w:r>
              <w:rPr>
                <w:noProof/>
                <w:webHidden/>
              </w:rPr>
            </w:r>
            <w:r>
              <w:rPr>
                <w:noProof/>
                <w:webHidden/>
              </w:rPr>
              <w:fldChar w:fldCharType="separate"/>
            </w:r>
            <w:r>
              <w:rPr>
                <w:noProof/>
                <w:webHidden/>
              </w:rPr>
              <w:t>214</w:t>
            </w:r>
            <w:r>
              <w:rPr>
                <w:noProof/>
                <w:webHidden/>
              </w:rPr>
              <w:fldChar w:fldCharType="end"/>
            </w:r>
          </w:hyperlink>
        </w:p>
        <w:p w14:paraId="33391A58" w14:textId="0B09C3FA" w:rsidR="00516F05" w:rsidRDefault="00516F05">
          <w:pPr>
            <w:pStyle w:val="TOC2"/>
            <w:rPr>
              <w:rFonts w:eastAsiaTheme="minorEastAsia" w:cstheme="minorBidi"/>
              <w:smallCaps w:val="0"/>
              <w:noProof/>
              <w:color w:val="auto"/>
              <w:kern w:val="2"/>
              <w:sz w:val="24"/>
              <w:szCs w:val="24"/>
              <w14:ligatures w14:val="standardContextual"/>
            </w:rPr>
          </w:pPr>
          <w:hyperlink w:anchor="_Toc214874781" w:history="1">
            <w:r w:rsidRPr="00B17D87">
              <w:rPr>
                <w:rStyle w:val="Hyperlink"/>
                <w:rFonts w:ascii="Aptos" w:eastAsia="Aptos" w:hAnsi="Aptos" w:cs="Times New Roman"/>
                <w:b/>
                <w:bCs/>
                <w:noProof/>
              </w:rPr>
              <w:t>MAP / Understanding the AI System / Applying Scientific Methodologies</w:t>
            </w:r>
            <w:r>
              <w:rPr>
                <w:noProof/>
                <w:webHidden/>
              </w:rPr>
              <w:tab/>
            </w:r>
            <w:r>
              <w:rPr>
                <w:noProof/>
                <w:webHidden/>
              </w:rPr>
              <w:fldChar w:fldCharType="begin"/>
            </w:r>
            <w:r>
              <w:rPr>
                <w:noProof/>
                <w:webHidden/>
              </w:rPr>
              <w:instrText xml:space="preserve"> PAGEREF _Toc214874781 \h </w:instrText>
            </w:r>
            <w:r>
              <w:rPr>
                <w:noProof/>
                <w:webHidden/>
              </w:rPr>
            </w:r>
            <w:r>
              <w:rPr>
                <w:noProof/>
                <w:webHidden/>
              </w:rPr>
              <w:fldChar w:fldCharType="separate"/>
            </w:r>
            <w:r>
              <w:rPr>
                <w:noProof/>
                <w:webHidden/>
              </w:rPr>
              <w:t>218</w:t>
            </w:r>
            <w:r>
              <w:rPr>
                <w:noProof/>
                <w:webHidden/>
              </w:rPr>
              <w:fldChar w:fldCharType="end"/>
            </w:r>
          </w:hyperlink>
        </w:p>
        <w:p w14:paraId="30B474D7" w14:textId="4BE969E0" w:rsidR="00516F05" w:rsidRDefault="00516F05">
          <w:pPr>
            <w:pStyle w:val="TOC2"/>
            <w:rPr>
              <w:rFonts w:eastAsiaTheme="minorEastAsia" w:cstheme="minorBidi"/>
              <w:smallCaps w:val="0"/>
              <w:noProof/>
              <w:color w:val="auto"/>
              <w:kern w:val="2"/>
              <w:sz w:val="24"/>
              <w:szCs w:val="24"/>
              <w14:ligatures w14:val="standardContextual"/>
            </w:rPr>
          </w:pPr>
          <w:hyperlink w:anchor="_Toc214874782" w:history="1">
            <w:r w:rsidRPr="00B17D87">
              <w:rPr>
                <w:rStyle w:val="Hyperlink"/>
                <w:rFonts w:ascii="Aptos" w:eastAsia="Aptos" w:hAnsi="Aptos" w:cs="Times New Roman"/>
                <w:b/>
                <w:bCs/>
                <w:noProof/>
              </w:rPr>
              <w:t>MAP / Understanding Costs and Benefits / Understanding Benefits</w:t>
            </w:r>
            <w:r>
              <w:rPr>
                <w:noProof/>
                <w:webHidden/>
              </w:rPr>
              <w:tab/>
            </w:r>
            <w:r>
              <w:rPr>
                <w:noProof/>
                <w:webHidden/>
              </w:rPr>
              <w:fldChar w:fldCharType="begin"/>
            </w:r>
            <w:r>
              <w:rPr>
                <w:noProof/>
                <w:webHidden/>
              </w:rPr>
              <w:instrText xml:space="preserve"> PAGEREF _Toc214874782 \h </w:instrText>
            </w:r>
            <w:r>
              <w:rPr>
                <w:noProof/>
                <w:webHidden/>
              </w:rPr>
            </w:r>
            <w:r>
              <w:rPr>
                <w:noProof/>
                <w:webHidden/>
              </w:rPr>
              <w:fldChar w:fldCharType="separate"/>
            </w:r>
            <w:r>
              <w:rPr>
                <w:noProof/>
                <w:webHidden/>
              </w:rPr>
              <w:t>230</w:t>
            </w:r>
            <w:r>
              <w:rPr>
                <w:noProof/>
                <w:webHidden/>
              </w:rPr>
              <w:fldChar w:fldCharType="end"/>
            </w:r>
          </w:hyperlink>
        </w:p>
        <w:p w14:paraId="15F331E7" w14:textId="22A4FF44" w:rsidR="00516F05" w:rsidRDefault="00516F05">
          <w:pPr>
            <w:pStyle w:val="TOC2"/>
            <w:rPr>
              <w:rFonts w:eastAsiaTheme="minorEastAsia" w:cstheme="minorBidi"/>
              <w:smallCaps w:val="0"/>
              <w:noProof/>
              <w:color w:val="auto"/>
              <w:kern w:val="2"/>
              <w:sz w:val="24"/>
              <w:szCs w:val="24"/>
              <w14:ligatures w14:val="standardContextual"/>
            </w:rPr>
          </w:pPr>
          <w:hyperlink w:anchor="_Toc214874783" w:history="1">
            <w:r w:rsidRPr="00B17D87">
              <w:rPr>
                <w:rStyle w:val="Hyperlink"/>
                <w:rFonts w:ascii="Aptos" w:eastAsia="Aptos" w:hAnsi="Aptos" w:cs="Times New Roman"/>
                <w:b/>
                <w:bCs/>
                <w:noProof/>
              </w:rPr>
              <w:t>MAP / Understanding Costs and Benefits / Understanding Costs and Benefits</w:t>
            </w:r>
            <w:r>
              <w:rPr>
                <w:noProof/>
                <w:webHidden/>
              </w:rPr>
              <w:tab/>
            </w:r>
            <w:r>
              <w:rPr>
                <w:noProof/>
                <w:webHidden/>
              </w:rPr>
              <w:fldChar w:fldCharType="begin"/>
            </w:r>
            <w:r>
              <w:rPr>
                <w:noProof/>
                <w:webHidden/>
              </w:rPr>
              <w:instrText xml:space="preserve"> PAGEREF _Toc214874783 \h </w:instrText>
            </w:r>
            <w:r>
              <w:rPr>
                <w:noProof/>
                <w:webHidden/>
              </w:rPr>
            </w:r>
            <w:r>
              <w:rPr>
                <w:noProof/>
                <w:webHidden/>
              </w:rPr>
              <w:fldChar w:fldCharType="separate"/>
            </w:r>
            <w:r>
              <w:rPr>
                <w:noProof/>
                <w:webHidden/>
              </w:rPr>
              <w:t>236</w:t>
            </w:r>
            <w:r>
              <w:rPr>
                <w:noProof/>
                <w:webHidden/>
              </w:rPr>
              <w:fldChar w:fldCharType="end"/>
            </w:r>
          </w:hyperlink>
        </w:p>
        <w:p w14:paraId="2DCE1D92" w14:textId="20DFF549" w:rsidR="00516F05" w:rsidRDefault="00516F05">
          <w:pPr>
            <w:pStyle w:val="TOC2"/>
            <w:rPr>
              <w:rFonts w:eastAsiaTheme="minorEastAsia" w:cstheme="minorBidi"/>
              <w:smallCaps w:val="0"/>
              <w:noProof/>
              <w:color w:val="auto"/>
              <w:kern w:val="2"/>
              <w:sz w:val="24"/>
              <w:szCs w:val="24"/>
              <w14:ligatures w14:val="standardContextual"/>
            </w:rPr>
          </w:pPr>
          <w:hyperlink w:anchor="_Toc214874784" w:history="1">
            <w:r w:rsidRPr="00B17D87">
              <w:rPr>
                <w:rStyle w:val="Hyperlink"/>
                <w:rFonts w:ascii="Aptos" w:eastAsia="Aptos" w:hAnsi="Aptos" w:cs="Times New Roman"/>
                <w:b/>
                <w:bCs/>
                <w:noProof/>
              </w:rPr>
              <w:t>MAP / Understanding Costs and Benefits / Documenting the Application Scope of the AI System</w:t>
            </w:r>
            <w:r>
              <w:rPr>
                <w:noProof/>
                <w:webHidden/>
              </w:rPr>
              <w:tab/>
            </w:r>
            <w:r>
              <w:rPr>
                <w:noProof/>
                <w:webHidden/>
              </w:rPr>
              <w:fldChar w:fldCharType="begin"/>
            </w:r>
            <w:r>
              <w:rPr>
                <w:noProof/>
                <w:webHidden/>
              </w:rPr>
              <w:instrText xml:space="preserve"> PAGEREF _Toc214874784 \h </w:instrText>
            </w:r>
            <w:r>
              <w:rPr>
                <w:noProof/>
                <w:webHidden/>
              </w:rPr>
            </w:r>
            <w:r>
              <w:rPr>
                <w:noProof/>
                <w:webHidden/>
              </w:rPr>
              <w:fldChar w:fldCharType="separate"/>
            </w:r>
            <w:r>
              <w:rPr>
                <w:noProof/>
                <w:webHidden/>
              </w:rPr>
              <w:t>240</w:t>
            </w:r>
            <w:r>
              <w:rPr>
                <w:noProof/>
                <w:webHidden/>
              </w:rPr>
              <w:fldChar w:fldCharType="end"/>
            </w:r>
          </w:hyperlink>
        </w:p>
        <w:p w14:paraId="57513BC9" w14:textId="69C1A4A4" w:rsidR="00516F05" w:rsidRDefault="00516F05">
          <w:pPr>
            <w:pStyle w:val="TOC2"/>
            <w:rPr>
              <w:rFonts w:eastAsiaTheme="minorEastAsia" w:cstheme="minorBidi"/>
              <w:smallCaps w:val="0"/>
              <w:noProof/>
              <w:color w:val="auto"/>
              <w:kern w:val="2"/>
              <w:sz w:val="24"/>
              <w:szCs w:val="24"/>
              <w14:ligatures w14:val="standardContextual"/>
            </w:rPr>
          </w:pPr>
          <w:hyperlink w:anchor="_Toc214874785" w:history="1">
            <w:r w:rsidRPr="00B17D87">
              <w:rPr>
                <w:rStyle w:val="Hyperlink"/>
                <w:rFonts w:ascii="Aptos" w:eastAsia="Aptos" w:hAnsi="Aptos" w:cs="Times New Roman"/>
                <w:b/>
                <w:bCs/>
                <w:noProof/>
              </w:rPr>
              <w:t>MAP / Understanding Costs and Benefits / Defining Operator Proficiency</w:t>
            </w:r>
            <w:r>
              <w:rPr>
                <w:noProof/>
                <w:webHidden/>
              </w:rPr>
              <w:tab/>
            </w:r>
            <w:r>
              <w:rPr>
                <w:noProof/>
                <w:webHidden/>
              </w:rPr>
              <w:fldChar w:fldCharType="begin"/>
            </w:r>
            <w:r>
              <w:rPr>
                <w:noProof/>
                <w:webHidden/>
              </w:rPr>
              <w:instrText xml:space="preserve"> PAGEREF _Toc214874785 \h </w:instrText>
            </w:r>
            <w:r>
              <w:rPr>
                <w:noProof/>
                <w:webHidden/>
              </w:rPr>
            </w:r>
            <w:r>
              <w:rPr>
                <w:noProof/>
                <w:webHidden/>
              </w:rPr>
              <w:fldChar w:fldCharType="separate"/>
            </w:r>
            <w:r>
              <w:rPr>
                <w:noProof/>
                <w:webHidden/>
              </w:rPr>
              <w:t>242</w:t>
            </w:r>
            <w:r>
              <w:rPr>
                <w:noProof/>
                <w:webHidden/>
              </w:rPr>
              <w:fldChar w:fldCharType="end"/>
            </w:r>
          </w:hyperlink>
        </w:p>
        <w:p w14:paraId="626F6E60" w14:textId="62E701AF" w:rsidR="00516F05" w:rsidRDefault="00516F05">
          <w:pPr>
            <w:pStyle w:val="TOC2"/>
            <w:rPr>
              <w:rFonts w:eastAsiaTheme="minorEastAsia" w:cstheme="minorBidi"/>
              <w:smallCaps w:val="0"/>
              <w:noProof/>
              <w:color w:val="auto"/>
              <w:kern w:val="2"/>
              <w:sz w:val="24"/>
              <w:szCs w:val="24"/>
              <w14:ligatures w14:val="standardContextual"/>
            </w:rPr>
          </w:pPr>
          <w:hyperlink w:anchor="_Toc214874786" w:history="1">
            <w:r w:rsidRPr="00B17D87">
              <w:rPr>
                <w:rStyle w:val="Hyperlink"/>
                <w:rFonts w:ascii="Aptos" w:eastAsia="Aptos" w:hAnsi="Aptos" w:cs="Times New Roman"/>
                <w:b/>
                <w:bCs/>
                <w:noProof/>
              </w:rPr>
              <w:t>MAP / Understanding Costs and Benefits / Establishing Human Oversight Processes</w:t>
            </w:r>
            <w:r>
              <w:rPr>
                <w:noProof/>
                <w:webHidden/>
              </w:rPr>
              <w:tab/>
            </w:r>
            <w:r>
              <w:rPr>
                <w:noProof/>
                <w:webHidden/>
              </w:rPr>
              <w:fldChar w:fldCharType="begin"/>
            </w:r>
            <w:r>
              <w:rPr>
                <w:noProof/>
                <w:webHidden/>
              </w:rPr>
              <w:instrText xml:space="preserve"> PAGEREF _Toc214874786 \h </w:instrText>
            </w:r>
            <w:r>
              <w:rPr>
                <w:noProof/>
                <w:webHidden/>
              </w:rPr>
            </w:r>
            <w:r>
              <w:rPr>
                <w:noProof/>
                <w:webHidden/>
              </w:rPr>
              <w:fldChar w:fldCharType="separate"/>
            </w:r>
            <w:r>
              <w:rPr>
                <w:noProof/>
                <w:webHidden/>
              </w:rPr>
              <w:t>248</w:t>
            </w:r>
            <w:r>
              <w:rPr>
                <w:noProof/>
                <w:webHidden/>
              </w:rPr>
              <w:fldChar w:fldCharType="end"/>
            </w:r>
          </w:hyperlink>
        </w:p>
        <w:p w14:paraId="67EA4957" w14:textId="3C08CCF5" w:rsidR="00516F05" w:rsidRDefault="00516F05">
          <w:pPr>
            <w:pStyle w:val="TOC2"/>
            <w:rPr>
              <w:rFonts w:eastAsiaTheme="minorEastAsia" w:cstheme="minorBidi"/>
              <w:smallCaps w:val="0"/>
              <w:noProof/>
              <w:color w:val="auto"/>
              <w:kern w:val="2"/>
              <w:sz w:val="24"/>
              <w:szCs w:val="24"/>
              <w14:ligatures w14:val="standardContextual"/>
            </w:rPr>
          </w:pPr>
          <w:hyperlink w:anchor="_Toc214874787" w:history="1">
            <w:r w:rsidRPr="00B17D87">
              <w:rPr>
                <w:rStyle w:val="Hyperlink"/>
                <w:rFonts w:ascii="Aptos" w:eastAsia="Aptos" w:hAnsi="Aptos" w:cs="Times New Roman"/>
                <w:b/>
                <w:bCs/>
                <w:noProof/>
              </w:rPr>
              <w:t>MAP / Understanding AI System Components / Understanding the Risk of AI System Components</w:t>
            </w:r>
            <w:r>
              <w:rPr>
                <w:noProof/>
                <w:webHidden/>
              </w:rPr>
              <w:tab/>
            </w:r>
            <w:r>
              <w:rPr>
                <w:noProof/>
                <w:webHidden/>
              </w:rPr>
              <w:fldChar w:fldCharType="begin"/>
            </w:r>
            <w:r>
              <w:rPr>
                <w:noProof/>
                <w:webHidden/>
              </w:rPr>
              <w:instrText xml:space="preserve"> PAGEREF _Toc214874787 \h </w:instrText>
            </w:r>
            <w:r>
              <w:rPr>
                <w:noProof/>
                <w:webHidden/>
              </w:rPr>
            </w:r>
            <w:r>
              <w:rPr>
                <w:noProof/>
                <w:webHidden/>
              </w:rPr>
              <w:fldChar w:fldCharType="separate"/>
            </w:r>
            <w:r>
              <w:rPr>
                <w:noProof/>
                <w:webHidden/>
              </w:rPr>
              <w:t>256</w:t>
            </w:r>
            <w:r>
              <w:rPr>
                <w:noProof/>
                <w:webHidden/>
              </w:rPr>
              <w:fldChar w:fldCharType="end"/>
            </w:r>
          </w:hyperlink>
        </w:p>
        <w:p w14:paraId="220C8119" w14:textId="2DC20441" w:rsidR="00516F05" w:rsidRDefault="00516F05">
          <w:pPr>
            <w:pStyle w:val="TOC2"/>
            <w:rPr>
              <w:rFonts w:eastAsiaTheme="minorEastAsia" w:cstheme="minorBidi"/>
              <w:smallCaps w:val="0"/>
              <w:noProof/>
              <w:color w:val="auto"/>
              <w:kern w:val="2"/>
              <w:sz w:val="24"/>
              <w:szCs w:val="24"/>
              <w14:ligatures w14:val="standardContextual"/>
            </w:rPr>
          </w:pPr>
          <w:hyperlink w:anchor="_Toc214874788" w:history="1">
            <w:r w:rsidRPr="00B17D87">
              <w:rPr>
                <w:rStyle w:val="Hyperlink"/>
                <w:rFonts w:ascii="Aptos" w:eastAsia="Aptos" w:hAnsi="Aptos" w:cs="Times New Roman"/>
                <w:b/>
                <w:bCs/>
                <w:noProof/>
              </w:rPr>
              <w:t>MAP / Understanding AI System Components / Establishing Risk Controls for AI System Components</w:t>
            </w:r>
            <w:r>
              <w:rPr>
                <w:noProof/>
                <w:webHidden/>
              </w:rPr>
              <w:tab/>
            </w:r>
            <w:r>
              <w:rPr>
                <w:noProof/>
                <w:webHidden/>
              </w:rPr>
              <w:fldChar w:fldCharType="begin"/>
            </w:r>
            <w:r>
              <w:rPr>
                <w:noProof/>
                <w:webHidden/>
              </w:rPr>
              <w:instrText xml:space="preserve"> PAGEREF _Toc214874788 \h </w:instrText>
            </w:r>
            <w:r>
              <w:rPr>
                <w:noProof/>
                <w:webHidden/>
              </w:rPr>
            </w:r>
            <w:r>
              <w:rPr>
                <w:noProof/>
                <w:webHidden/>
              </w:rPr>
              <w:fldChar w:fldCharType="separate"/>
            </w:r>
            <w:r>
              <w:rPr>
                <w:noProof/>
                <w:webHidden/>
              </w:rPr>
              <w:t>262</w:t>
            </w:r>
            <w:r>
              <w:rPr>
                <w:noProof/>
                <w:webHidden/>
              </w:rPr>
              <w:fldChar w:fldCharType="end"/>
            </w:r>
          </w:hyperlink>
        </w:p>
        <w:p w14:paraId="54C16489" w14:textId="6FC7782F" w:rsidR="00516F05" w:rsidRDefault="00516F05">
          <w:pPr>
            <w:pStyle w:val="TOC2"/>
            <w:rPr>
              <w:rFonts w:eastAsiaTheme="minorEastAsia" w:cstheme="minorBidi"/>
              <w:smallCaps w:val="0"/>
              <w:noProof/>
              <w:color w:val="auto"/>
              <w:kern w:val="2"/>
              <w:sz w:val="24"/>
              <w:szCs w:val="24"/>
              <w14:ligatures w14:val="standardContextual"/>
            </w:rPr>
          </w:pPr>
          <w:hyperlink w:anchor="_Toc214874789" w:history="1">
            <w:r w:rsidRPr="00B17D87">
              <w:rPr>
                <w:rStyle w:val="Hyperlink"/>
                <w:rFonts w:ascii="Aptos" w:eastAsia="Aptos" w:hAnsi="Aptos" w:cs="Times New Roman"/>
                <w:b/>
                <w:bCs/>
                <w:noProof/>
              </w:rPr>
              <w:t>MAP / Understanding AI System Impacts / Identifying Risk Likelihood and Impacts</w:t>
            </w:r>
            <w:r>
              <w:rPr>
                <w:noProof/>
                <w:webHidden/>
              </w:rPr>
              <w:tab/>
            </w:r>
            <w:r>
              <w:rPr>
                <w:noProof/>
                <w:webHidden/>
              </w:rPr>
              <w:fldChar w:fldCharType="begin"/>
            </w:r>
            <w:r>
              <w:rPr>
                <w:noProof/>
                <w:webHidden/>
              </w:rPr>
              <w:instrText xml:space="preserve"> PAGEREF _Toc214874789 \h </w:instrText>
            </w:r>
            <w:r>
              <w:rPr>
                <w:noProof/>
                <w:webHidden/>
              </w:rPr>
            </w:r>
            <w:r>
              <w:rPr>
                <w:noProof/>
                <w:webHidden/>
              </w:rPr>
              <w:fldChar w:fldCharType="separate"/>
            </w:r>
            <w:r>
              <w:rPr>
                <w:noProof/>
                <w:webHidden/>
              </w:rPr>
              <w:t>266</w:t>
            </w:r>
            <w:r>
              <w:rPr>
                <w:noProof/>
                <w:webHidden/>
              </w:rPr>
              <w:fldChar w:fldCharType="end"/>
            </w:r>
          </w:hyperlink>
        </w:p>
        <w:p w14:paraId="1A3ACE6A" w14:textId="7A678A43" w:rsidR="00516F05" w:rsidRDefault="00516F05">
          <w:pPr>
            <w:pStyle w:val="TOC2"/>
            <w:rPr>
              <w:rFonts w:eastAsiaTheme="minorEastAsia" w:cstheme="minorBidi"/>
              <w:smallCaps w:val="0"/>
              <w:noProof/>
              <w:color w:val="auto"/>
              <w:kern w:val="2"/>
              <w:sz w:val="24"/>
              <w:szCs w:val="24"/>
              <w14:ligatures w14:val="standardContextual"/>
            </w:rPr>
          </w:pPr>
          <w:hyperlink w:anchor="_Toc214874790" w:history="1">
            <w:r w:rsidRPr="00B17D87">
              <w:rPr>
                <w:rStyle w:val="Hyperlink"/>
                <w:rFonts w:ascii="Aptos" w:eastAsia="Aptos" w:hAnsi="Aptos" w:cs="Times New Roman"/>
                <w:b/>
                <w:bCs/>
                <w:noProof/>
              </w:rPr>
              <w:t>MAP / Understanding AI System Impacts / Collecting Feedback on AI System Impacts</w:t>
            </w:r>
            <w:r>
              <w:rPr>
                <w:noProof/>
                <w:webHidden/>
              </w:rPr>
              <w:tab/>
            </w:r>
            <w:r>
              <w:rPr>
                <w:noProof/>
                <w:webHidden/>
              </w:rPr>
              <w:fldChar w:fldCharType="begin"/>
            </w:r>
            <w:r>
              <w:rPr>
                <w:noProof/>
                <w:webHidden/>
              </w:rPr>
              <w:instrText xml:space="preserve"> PAGEREF _Toc214874790 \h </w:instrText>
            </w:r>
            <w:r>
              <w:rPr>
                <w:noProof/>
                <w:webHidden/>
              </w:rPr>
            </w:r>
            <w:r>
              <w:rPr>
                <w:noProof/>
                <w:webHidden/>
              </w:rPr>
              <w:fldChar w:fldCharType="separate"/>
            </w:r>
            <w:r>
              <w:rPr>
                <w:noProof/>
                <w:webHidden/>
              </w:rPr>
              <w:t>273</w:t>
            </w:r>
            <w:r>
              <w:rPr>
                <w:noProof/>
                <w:webHidden/>
              </w:rPr>
              <w:fldChar w:fldCharType="end"/>
            </w:r>
          </w:hyperlink>
        </w:p>
        <w:p w14:paraId="5D0D6889" w14:textId="61183795" w:rsidR="00516F05" w:rsidRDefault="00516F05">
          <w:pPr>
            <w:pStyle w:val="TOC2"/>
            <w:rPr>
              <w:rFonts w:eastAsiaTheme="minorEastAsia" w:cstheme="minorBidi"/>
              <w:smallCaps w:val="0"/>
              <w:noProof/>
              <w:color w:val="auto"/>
              <w:kern w:val="2"/>
              <w:sz w:val="24"/>
              <w:szCs w:val="24"/>
              <w14:ligatures w14:val="standardContextual"/>
            </w:rPr>
          </w:pPr>
          <w:hyperlink w:anchor="_Toc214874791" w:history="1">
            <w:r w:rsidRPr="00B17D87">
              <w:rPr>
                <w:rStyle w:val="Hyperlink"/>
                <w:rFonts w:ascii="Aptos" w:eastAsia="Aptos" w:hAnsi="Aptos" w:cs="Times New Roman"/>
                <w:b/>
                <w:bCs/>
                <w:noProof/>
              </w:rPr>
              <w:t>MEASURE / Methods and Metrics / Selecting and Prioritizing Measurements</w:t>
            </w:r>
            <w:r>
              <w:rPr>
                <w:noProof/>
                <w:webHidden/>
              </w:rPr>
              <w:tab/>
            </w:r>
            <w:r>
              <w:rPr>
                <w:noProof/>
                <w:webHidden/>
              </w:rPr>
              <w:fldChar w:fldCharType="begin"/>
            </w:r>
            <w:r>
              <w:rPr>
                <w:noProof/>
                <w:webHidden/>
              </w:rPr>
              <w:instrText xml:space="preserve"> PAGEREF _Toc214874791 \h </w:instrText>
            </w:r>
            <w:r>
              <w:rPr>
                <w:noProof/>
                <w:webHidden/>
              </w:rPr>
            </w:r>
            <w:r>
              <w:rPr>
                <w:noProof/>
                <w:webHidden/>
              </w:rPr>
              <w:fldChar w:fldCharType="separate"/>
            </w:r>
            <w:r>
              <w:rPr>
                <w:noProof/>
                <w:webHidden/>
              </w:rPr>
              <w:t>277</w:t>
            </w:r>
            <w:r>
              <w:rPr>
                <w:noProof/>
                <w:webHidden/>
              </w:rPr>
              <w:fldChar w:fldCharType="end"/>
            </w:r>
          </w:hyperlink>
        </w:p>
        <w:p w14:paraId="66703A2A" w14:textId="57C966CC" w:rsidR="00516F05" w:rsidRDefault="00516F05">
          <w:pPr>
            <w:pStyle w:val="TOC2"/>
            <w:rPr>
              <w:rFonts w:eastAsiaTheme="minorEastAsia" w:cstheme="minorBidi"/>
              <w:smallCaps w:val="0"/>
              <w:noProof/>
              <w:color w:val="auto"/>
              <w:kern w:val="2"/>
              <w:sz w:val="24"/>
              <w:szCs w:val="24"/>
              <w14:ligatures w14:val="standardContextual"/>
            </w:rPr>
          </w:pPr>
          <w:hyperlink w:anchor="_Toc214874792" w:history="1">
            <w:r w:rsidRPr="00B17D87">
              <w:rPr>
                <w:rStyle w:val="Hyperlink"/>
                <w:rFonts w:ascii="Aptos" w:eastAsia="Aptos" w:hAnsi="Aptos" w:cs="Times New Roman"/>
                <w:b/>
                <w:bCs/>
                <w:noProof/>
              </w:rPr>
              <w:t>MEASURE / Methods and Metrics / Continuously Improving Measurement</w:t>
            </w:r>
            <w:r>
              <w:rPr>
                <w:noProof/>
                <w:webHidden/>
              </w:rPr>
              <w:tab/>
            </w:r>
            <w:r>
              <w:rPr>
                <w:noProof/>
                <w:webHidden/>
              </w:rPr>
              <w:fldChar w:fldCharType="begin"/>
            </w:r>
            <w:r>
              <w:rPr>
                <w:noProof/>
                <w:webHidden/>
              </w:rPr>
              <w:instrText xml:space="preserve"> PAGEREF _Toc214874792 \h </w:instrText>
            </w:r>
            <w:r>
              <w:rPr>
                <w:noProof/>
                <w:webHidden/>
              </w:rPr>
            </w:r>
            <w:r>
              <w:rPr>
                <w:noProof/>
                <w:webHidden/>
              </w:rPr>
              <w:fldChar w:fldCharType="separate"/>
            </w:r>
            <w:r>
              <w:rPr>
                <w:noProof/>
                <w:webHidden/>
              </w:rPr>
              <w:t>281</w:t>
            </w:r>
            <w:r>
              <w:rPr>
                <w:noProof/>
                <w:webHidden/>
              </w:rPr>
              <w:fldChar w:fldCharType="end"/>
            </w:r>
          </w:hyperlink>
        </w:p>
        <w:p w14:paraId="7A745AC2" w14:textId="22E0B59B" w:rsidR="00516F05" w:rsidRDefault="00516F05">
          <w:pPr>
            <w:pStyle w:val="TOC2"/>
            <w:rPr>
              <w:rFonts w:eastAsiaTheme="minorEastAsia" w:cstheme="minorBidi"/>
              <w:smallCaps w:val="0"/>
              <w:noProof/>
              <w:color w:val="auto"/>
              <w:kern w:val="2"/>
              <w:sz w:val="24"/>
              <w:szCs w:val="24"/>
              <w14:ligatures w14:val="standardContextual"/>
            </w:rPr>
          </w:pPr>
          <w:hyperlink w:anchor="_Toc214874793" w:history="1">
            <w:r w:rsidRPr="00B17D87">
              <w:rPr>
                <w:rStyle w:val="Hyperlink"/>
                <w:rFonts w:ascii="Aptos" w:eastAsia="Aptos" w:hAnsi="Aptos" w:cs="Times New Roman"/>
                <w:b/>
                <w:bCs/>
                <w:noProof/>
              </w:rPr>
              <w:t>MEASURE / Methods and Metrics / External Assessment of Measurement Approaches</w:t>
            </w:r>
            <w:r>
              <w:rPr>
                <w:noProof/>
                <w:webHidden/>
              </w:rPr>
              <w:tab/>
            </w:r>
            <w:r>
              <w:rPr>
                <w:noProof/>
                <w:webHidden/>
              </w:rPr>
              <w:fldChar w:fldCharType="begin"/>
            </w:r>
            <w:r>
              <w:rPr>
                <w:noProof/>
                <w:webHidden/>
              </w:rPr>
              <w:instrText xml:space="preserve"> PAGEREF _Toc214874793 \h </w:instrText>
            </w:r>
            <w:r>
              <w:rPr>
                <w:noProof/>
                <w:webHidden/>
              </w:rPr>
            </w:r>
            <w:r>
              <w:rPr>
                <w:noProof/>
                <w:webHidden/>
              </w:rPr>
              <w:fldChar w:fldCharType="separate"/>
            </w:r>
            <w:r>
              <w:rPr>
                <w:noProof/>
                <w:webHidden/>
              </w:rPr>
              <w:t>284</w:t>
            </w:r>
            <w:r>
              <w:rPr>
                <w:noProof/>
                <w:webHidden/>
              </w:rPr>
              <w:fldChar w:fldCharType="end"/>
            </w:r>
          </w:hyperlink>
        </w:p>
        <w:p w14:paraId="5CCACE31" w14:textId="24602E0C" w:rsidR="00516F05" w:rsidRDefault="00516F05">
          <w:pPr>
            <w:pStyle w:val="TOC2"/>
            <w:rPr>
              <w:rFonts w:eastAsiaTheme="minorEastAsia" w:cstheme="minorBidi"/>
              <w:smallCaps w:val="0"/>
              <w:noProof/>
              <w:color w:val="auto"/>
              <w:kern w:val="2"/>
              <w:sz w:val="24"/>
              <w:szCs w:val="24"/>
              <w14:ligatures w14:val="standardContextual"/>
            </w:rPr>
          </w:pPr>
          <w:hyperlink w:anchor="_Toc214874794" w:history="1">
            <w:r w:rsidRPr="00B17D87">
              <w:rPr>
                <w:rStyle w:val="Hyperlink"/>
                <w:rFonts w:ascii="Aptos" w:eastAsia="Aptos" w:hAnsi="Aptos" w:cs="Times New Roman"/>
                <w:b/>
                <w:bCs/>
                <w:noProof/>
              </w:rPr>
              <w:t>MEASURE / Evaluating AI Systems / Documenting Measurement Approaches</w:t>
            </w:r>
            <w:r>
              <w:rPr>
                <w:noProof/>
                <w:webHidden/>
              </w:rPr>
              <w:tab/>
            </w:r>
            <w:r>
              <w:rPr>
                <w:noProof/>
                <w:webHidden/>
              </w:rPr>
              <w:fldChar w:fldCharType="begin"/>
            </w:r>
            <w:r>
              <w:rPr>
                <w:noProof/>
                <w:webHidden/>
              </w:rPr>
              <w:instrText xml:space="preserve"> PAGEREF _Toc214874794 \h </w:instrText>
            </w:r>
            <w:r>
              <w:rPr>
                <w:noProof/>
                <w:webHidden/>
              </w:rPr>
            </w:r>
            <w:r>
              <w:rPr>
                <w:noProof/>
                <w:webHidden/>
              </w:rPr>
              <w:fldChar w:fldCharType="separate"/>
            </w:r>
            <w:r>
              <w:rPr>
                <w:noProof/>
                <w:webHidden/>
              </w:rPr>
              <w:t>286</w:t>
            </w:r>
            <w:r>
              <w:rPr>
                <w:noProof/>
                <w:webHidden/>
              </w:rPr>
              <w:fldChar w:fldCharType="end"/>
            </w:r>
          </w:hyperlink>
        </w:p>
        <w:p w14:paraId="6B55289B" w14:textId="7F28E656" w:rsidR="00516F05" w:rsidRDefault="00516F05">
          <w:pPr>
            <w:pStyle w:val="TOC2"/>
            <w:rPr>
              <w:rFonts w:eastAsiaTheme="minorEastAsia" w:cstheme="minorBidi"/>
              <w:smallCaps w:val="0"/>
              <w:noProof/>
              <w:color w:val="auto"/>
              <w:kern w:val="2"/>
              <w:sz w:val="24"/>
              <w:szCs w:val="24"/>
              <w14:ligatures w14:val="standardContextual"/>
            </w:rPr>
          </w:pPr>
          <w:hyperlink w:anchor="_Toc214874795" w:history="1">
            <w:r w:rsidRPr="00B17D87">
              <w:rPr>
                <w:rStyle w:val="Hyperlink"/>
                <w:rFonts w:ascii="Aptos" w:eastAsia="Aptos" w:hAnsi="Aptos" w:cs="Times New Roman"/>
                <w:b/>
                <w:bCs/>
                <w:noProof/>
              </w:rPr>
              <w:t>MEASURE / Evaluating AI Systems / Evaluating AI Systems on Human Subjects</w:t>
            </w:r>
            <w:r>
              <w:rPr>
                <w:noProof/>
                <w:webHidden/>
              </w:rPr>
              <w:tab/>
            </w:r>
            <w:r>
              <w:rPr>
                <w:noProof/>
                <w:webHidden/>
              </w:rPr>
              <w:fldChar w:fldCharType="begin"/>
            </w:r>
            <w:r>
              <w:rPr>
                <w:noProof/>
                <w:webHidden/>
              </w:rPr>
              <w:instrText xml:space="preserve"> PAGEREF _Toc214874795 \h </w:instrText>
            </w:r>
            <w:r>
              <w:rPr>
                <w:noProof/>
                <w:webHidden/>
              </w:rPr>
            </w:r>
            <w:r>
              <w:rPr>
                <w:noProof/>
                <w:webHidden/>
              </w:rPr>
              <w:fldChar w:fldCharType="separate"/>
            </w:r>
            <w:r>
              <w:rPr>
                <w:noProof/>
                <w:webHidden/>
              </w:rPr>
              <w:t>293</w:t>
            </w:r>
            <w:r>
              <w:rPr>
                <w:noProof/>
                <w:webHidden/>
              </w:rPr>
              <w:fldChar w:fldCharType="end"/>
            </w:r>
          </w:hyperlink>
        </w:p>
        <w:p w14:paraId="3D03B759" w14:textId="6AD4DA2E" w:rsidR="00516F05" w:rsidRDefault="00516F05">
          <w:pPr>
            <w:pStyle w:val="TOC2"/>
            <w:rPr>
              <w:rFonts w:eastAsiaTheme="minorEastAsia" w:cstheme="minorBidi"/>
              <w:smallCaps w:val="0"/>
              <w:noProof/>
              <w:color w:val="auto"/>
              <w:kern w:val="2"/>
              <w:sz w:val="24"/>
              <w:szCs w:val="24"/>
              <w14:ligatures w14:val="standardContextual"/>
            </w:rPr>
          </w:pPr>
          <w:hyperlink w:anchor="_Toc214874796" w:history="1">
            <w:r w:rsidRPr="00B17D87">
              <w:rPr>
                <w:rStyle w:val="Hyperlink"/>
                <w:rFonts w:ascii="Aptos" w:eastAsia="Aptos" w:hAnsi="Aptos" w:cs="Times New Roman"/>
                <w:b/>
                <w:bCs/>
                <w:noProof/>
              </w:rPr>
              <w:t>MEASURE / Evaluating AI Systems / Ensuring Realistic Measurement</w:t>
            </w:r>
            <w:r>
              <w:rPr>
                <w:noProof/>
                <w:webHidden/>
              </w:rPr>
              <w:tab/>
            </w:r>
            <w:r>
              <w:rPr>
                <w:noProof/>
                <w:webHidden/>
              </w:rPr>
              <w:fldChar w:fldCharType="begin"/>
            </w:r>
            <w:r>
              <w:rPr>
                <w:noProof/>
                <w:webHidden/>
              </w:rPr>
              <w:instrText xml:space="preserve"> PAGEREF _Toc214874796 \h </w:instrText>
            </w:r>
            <w:r>
              <w:rPr>
                <w:noProof/>
                <w:webHidden/>
              </w:rPr>
            </w:r>
            <w:r>
              <w:rPr>
                <w:noProof/>
                <w:webHidden/>
              </w:rPr>
              <w:fldChar w:fldCharType="separate"/>
            </w:r>
            <w:r>
              <w:rPr>
                <w:noProof/>
                <w:webHidden/>
              </w:rPr>
              <w:t>300</w:t>
            </w:r>
            <w:r>
              <w:rPr>
                <w:noProof/>
                <w:webHidden/>
              </w:rPr>
              <w:fldChar w:fldCharType="end"/>
            </w:r>
          </w:hyperlink>
        </w:p>
        <w:p w14:paraId="529DA0AE" w14:textId="0FE5D11B" w:rsidR="00516F05" w:rsidRDefault="00516F05">
          <w:pPr>
            <w:pStyle w:val="TOC2"/>
            <w:rPr>
              <w:rFonts w:eastAsiaTheme="minorEastAsia" w:cstheme="minorBidi"/>
              <w:smallCaps w:val="0"/>
              <w:noProof/>
              <w:color w:val="auto"/>
              <w:kern w:val="2"/>
              <w:sz w:val="24"/>
              <w:szCs w:val="24"/>
              <w14:ligatures w14:val="standardContextual"/>
            </w:rPr>
          </w:pPr>
          <w:hyperlink w:anchor="_Toc214874797" w:history="1">
            <w:r w:rsidRPr="00B17D87">
              <w:rPr>
                <w:rStyle w:val="Hyperlink"/>
                <w:rFonts w:ascii="Aptos" w:eastAsia="Aptos" w:hAnsi="Aptos" w:cs="Times New Roman"/>
                <w:b/>
                <w:bCs/>
                <w:noProof/>
              </w:rPr>
              <w:t>MEASURE / Evaluating AI Systems / Monitoring Deployed AI Systems</w:t>
            </w:r>
            <w:r>
              <w:rPr>
                <w:noProof/>
                <w:webHidden/>
              </w:rPr>
              <w:tab/>
            </w:r>
            <w:r>
              <w:rPr>
                <w:noProof/>
                <w:webHidden/>
              </w:rPr>
              <w:fldChar w:fldCharType="begin"/>
            </w:r>
            <w:r>
              <w:rPr>
                <w:noProof/>
                <w:webHidden/>
              </w:rPr>
              <w:instrText xml:space="preserve"> PAGEREF _Toc214874797 \h </w:instrText>
            </w:r>
            <w:r>
              <w:rPr>
                <w:noProof/>
                <w:webHidden/>
              </w:rPr>
            </w:r>
            <w:r>
              <w:rPr>
                <w:noProof/>
                <w:webHidden/>
              </w:rPr>
              <w:fldChar w:fldCharType="separate"/>
            </w:r>
            <w:r>
              <w:rPr>
                <w:noProof/>
                <w:webHidden/>
              </w:rPr>
              <w:t>309</w:t>
            </w:r>
            <w:r>
              <w:rPr>
                <w:noProof/>
                <w:webHidden/>
              </w:rPr>
              <w:fldChar w:fldCharType="end"/>
            </w:r>
          </w:hyperlink>
        </w:p>
        <w:p w14:paraId="042A1AC4" w14:textId="05E5CB6D" w:rsidR="00516F05" w:rsidRDefault="00516F05">
          <w:pPr>
            <w:pStyle w:val="TOC2"/>
            <w:rPr>
              <w:rFonts w:eastAsiaTheme="minorEastAsia" w:cstheme="minorBidi"/>
              <w:smallCaps w:val="0"/>
              <w:noProof/>
              <w:color w:val="auto"/>
              <w:kern w:val="2"/>
              <w:sz w:val="24"/>
              <w:szCs w:val="24"/>
              <w14:ligatures w14:val="standardContextual"/>
            </w:rPr>
          </w:pPr>
          <w:hyperlink w:anchor="_Toc214874798" w:history="1">
            <w:r w:rsidRPr="00B17D87">
              <w:rPr>
                <w:rStyle w:val="Hyperlink"/>
                <w:rFonts w:ascii="Aptos" w:eastAsia="Aptos" w:hAnsi="Aptos" w:cs="Times New Roman"/>
                <w:b/>
                <w:bCs/>
                <w:noProof/>
              </w:rPr>
              <w:t>MEASURE / Evaluating AI Systems / Measuring Validity and Reliability</w:t>
            </w:r>
            <w:r>
              <w:rPr>
                <w:noProof/>
                <w:webHidden/>
              </w:rPr>
              <w:tab/>
            </w:r>
            <w:r>
              <w:rPr>
                <w:noProof/>
                <w:webHidden/>
              </w:rPr>
              <w:fldChar w:fldCharType="begin"/>
            </w:r>
            <w:r>
              <w:rPr>
                <w:noProof/>
                <w:webHidden/>
              </w:rPr>
              <w:instrText xml:space="preserve"> PAGEREF _Toc214874798 \h </w:instrText>
            </w:r>
            <w:r>
              <w:rPr>
                <w:noProof/>
                <w:webHidden/>
              </w:rPr>
            </w:r>
            <w:r>
              <w:rPr>
                <w:noProof/>
                <w:webHidden/>
              </w:rPr>
              <w:fldChar w:fldCharType="separate"/>
            </w:r>
            <w:r>
              <w:rPr>
                <w:noProof/>
                <w:webHidden/>
              </w:rPr>
              <w:t>318</w:t>
            </w:r>
            <w:r>
              <w:rPr>
                <w:noProof/>
                <w:webHidden/>
              </w:rPr>
              <w:fldChar w:fldCharType="end"/>
            </w:r>
          </w:hyperlink>
        </w:p>
        <w:p w14:paraId="5E5185BA" w14:textId="018DCEF5" w:rsidR="00516F05" w:rsidRDefault="00516F05">
          <w:pPr>
            <w:pStyle w:val="TOC2"/>
            <w:rPr>
              <w:rFonts w:eastAsiaTheme="minorEastAsia" w:cstheme="minorBidi"/>
              <w:smallCaps w:val="0"/>
              <w:noProof/>
              <w:color w:val="auto"/>
              <w:kern w:val="2"/>
              <w:sz w:val="24"/>
              <w:szCs w:val="24"/>
              <w14:ligatures w14:val="standardContextual"/>
            </w:rPr>
          </w:pPr>
          <w:hyperlink w:anchor="_Toc214874799" w:history="1">
            <w:r w:rsidRPr="00B17D87">
              <w:rPr>
                <w:rStyle w:val="Hyperlink"/>
                <w:rFonts w:ascii="Aptos" w:eastAsia="Aptos" w:hAnsi="Aptos" w:cs="Times New Roman"/>
                <w:b/>
                <w:bCs/>
                <w:noProof/>
              </w:rPr>
              <w:t>MEASURE / Evaluating AI Systems / Measuring Safety</w:t>
            </w:r>
            <w:r>
              <w:rPr>
                <w:noProof/>
                <w:webHidden/>
              </w:rPr>
              <w:tab/>
            </w:r>
            <w:r>
              <w:rPr>
                <w:noProof/>
                <w:webHidden/>
              </w:rPr>
              <w:fldChar w:fldCharType="begin"/>
            </w:r>
            <w:r>
              <w:rPr>
                <w:noProof/>
                <w:webHidden/>
              </w:rPr>
              <w:instrText xml:space="preserve"> PAGEREF _Toc214874799 \h </w:instrText>
            </w:r>
            <w:r>
              <w:rPr>
                <w:noProof/>
                <w:webHidden/>
              </w:rPr>
            </w:r>
            <w:r>
              <w:rPr>
                <w:noProof/>
                <w:webHidden/>
              </w:rPr>
              <w:fldChar w:fldCharType="separate"/>
            </w:r>
            <w:r>
              <w:rPr>
                <w:noProof/>
                <w:webHidden/>
              </w:rPr>
              <w:t>324</w:t>
            </w:r>
            <w:r>
              <w:rPr>
                <w:noProof/>
                <w:webHidden/>
              </w:rPr>
              <w:fldChar w:fldCharType="end"/>
            </w:r>
          </w:hyperlink>
        </w:p>
        <w:p w14:paraId="78841712" w14:textId="6D1EC1A6" w:rsidR="00516F05" w:rsidRDefault="00516F05">
          <w:pPr>
            <w:pStyle w:val="TOC2"/>
            <w:rPr>
              <w:rFonts w:eastAsiaTheme="minorEastAsia" w:cstheme="minorBidi"/>
              <w:smallCaps w:val="0"/>
              <w:noProof/>
              <w:color w:val="auto"/>
              <w:kern w:val="2"/>
              <w:sz w:val="24"/>
              <w:szCs w:val="24"/>
              <w14:ligatures w14:val="standardContextual"/>
            </w:rPr>
          </w:pPr>
          <w:hyperlink w:anchor="_Toc214874800" w:history="1">
            <w:r w:rsidRPr="00B17D87">
              <w:rPr>
                <w:rStyle w:val="Hyperlink"/>
                <w:rFonts w:ascii="Aptos" w:eastAsia="Aptos" w:hAnsi="Aptos" w:cs="Times New Roman"/>
                <w:b/>
                <w:bCs/>
                <w:noProof/>
              </w:rPr>
              <w:t>MEASURE / Evaluating AI Systems / Measuring Security and Resiliency</w:t>
            </w:r>
            <w:r>
              <w:rPr>
                <w:noProof/>
                <w:webHidden/>
              </w:rPr>
              <w:tab/>
            </w:r>
            <w:r>
              <w:rPr>
                <w:noProof/>
                <w:webHidden/>
              </w:rPr>
              <w:fldChar w:fldCharType="begin"/>
            </w:r>
            <w:r>
              <w:rPr>
                <w:noProof/>
                <w:webHidden/>
              </w:rPr>
              <w:instrText xml:space="preserve"> PAGEREF _Toc214874800 \h </w:instrText>
            </w:r>
            <w:r>
              <w:rPr>
                <w:noProof/>
                <w:webHidden/>
              </w:rPr>
            </w:r>
            <w:r>
              <w:rPr>
                <w:noProof/>
                <w:webHidden/>
              </w:rPr>
              <w:fldChar w:fldCharType="separate"/>
            </w:r>
            <w:r>
              <w:rPr>
                <w:noProof/>
                <w:webHidden/>
              </w:rPr>
              <w:t>328</w:t>
            </w:r>
            <w:r>
              <w:rPr>
                <w:noProof/>
                <w:webHidden/>
              </w:rPr>
              <w:fldChar w:fldCharType="end"/>
            </w:r>
          </w:hyperlink>
        </w:p>
        <w:p w14:paraId="7E75F9F5" w14:textId="7419402F" w:rsidR="00516F05" w:rsidRDefault="00516F05">
          <w:pPr>
            <w:pStyle w:val="TOC2"/>
            <w:rPr>
              <w:rFonts w:eastAsiaTheme="minorEastAsia" w:cstheme="minorBidi"/>
              <w:smallCaps w:val="0"/>
              <w:noProof/>
              <w:color w:val="auto"/>
              <w:kern w:val="2"/>
              <w:sz w:val="24"/>
              <w:szCs w:val="24"/>
              <w14:ligatures w14:val="standardContextual"/>
            </w:rPr>
          </w:pPr>
          <w:hyperlink w:anchor="_Toc214874801" w:history="1">
            <w:r w:rsidRPr="00B17D87">
              <w:rPr>
                <w:rStyle w:val="Hyperlink"/>
                <w:rFonts w:ascii="Aptos" w:eastAsia="Aptos" w:hAnsi="Aptos" w:cs="Times New Roman"/>
                <w:b/>
                <w:bCs/>
                <w:noProof/>
              </w:rPr>
              <w:t>MEASURE / Evaluating AI Systems / Measuring Accountability and Transparency</w:t>
            </w:r>
            <w:r>
              <w:rPr>
                <w:noProof/>
                <w:webHidden/>
              </w:rPr>
              <w:tab/>
            </w:r>
            <w:r>
              <w:rPr>
                <w:noProof/>
                <w:webHidden/>
              </w:rPr>
              <w:fldChar w:fldCharType="begin"/>
            </w:r>
            <w:r>
              <w:rPr>
                <w:noProof/>
                <w:webHidden/>
              </w:rPr>
              <w:instrText xml:space="preserve"> PAGEREF _Toc214874801 \h </w:instrText>
            </w:r>
            <w:r>
              <w:rPr>
                <w:noProof/>
                <w:webHidden/>
              </w:rPr>
            </w:r>
            <w:r>
              <w:rPr>
                <w:noProof/>
                <w:webHidden/>
              </w:rPr>
              <w:fldChar w:fldCharType="separate"/>
            </w:r>
            <w:r>
              <w:rPr>
                <w:noProof/>
                <w:webHidden/>
              </w:rPr>
              <w:t>337</w:t>
            </w:r>
            <w:r>
              <w:rPr>
                <w:noProof/>
                <w:webHidden/>
              </w:rPr>
              <w:fldChar w:fldCharType="end"/>
            </w:r>
          </w:hyperlink>
        </w:p>
        <w:p w14:paraId="0F0325EA" w14:textId="77BE4CFB" w:rsidR="00516F05" w:rsidRDefault="00516F05">
          <w:pPr>
            <w:pStyle w:val="TOC2"/>
            <w:rPr>
              <w:rFonts w:eastAsiaTheme="minorEastAsia" w:cstheme="minorBidi"/>
              <w:smallCaps w:val="0"/>
              <w:noProof/>
              <w:color w:val="auto"/>
              <w:kern w:val="2"/>
              <w:sz w:val="24"/>
              <w:szCs w:val="24"/>
              <w14:ligatures w14:val="standardContextual"/>
            </w:rPr>
          </w:pPr>
          <w:hyperlink w:anchor="_Toc214874802" w:history="1">
            <w:r w:rsidRPr="00B17D87">
              <w:rPr>
                <w:rStyle w:val="Hyperlink"/>
                <w:rFonts w:ascii="Aptos" w:eastAsia="Aptos" w:hAnsi="Aptos" w:cs="Times New Roman"/>
                <w:b/>
                <w:bCs/>
                <w:noProof/>
              </w:rPr>
              <w:t>MEASURE / Evaluating AI Systems / Measuring Interpretability and Explainability</w:t>
            </w:r>
            <w:r>
              <w:rPr>
                <w:noProof/>
                <w:webHidden/>
              </w:rPr>
              <w:tab/>
            </w:r>
            <w:r>
              <w:rPr>
                <w:noProof/>
                <w:webHidden/>
              </w:rPr>
              <w:fldChar w:fldCharType="begin"/>
            </w:r>
            <w:r>
              <w:rPr>
                <w:noProof/>
                <w:webHidden/>
              </w:rPr>
              <w:instrText xml:space="preserve"> PAGEREF _Toc214874802 \h </w:instrText>
            </w:r>
            <w:r>
              <w:rPr>
                <w:noProof/>
                <w:webHidden/>
              </w:rPr>
            </w:r>
            <w:r>
              <w:rPr>
                <w:noProof/>
                <w:webHidden/>
              </w:rPr>
              <w:fldChar w:fldCharType="separate"/>
            </w:r>
            <w:r>
              <w:rPr>
                <w:noProof/>
                <w:webHidden/>
              </w:rPr>
              <w:t>342</w:t>
            </w:r>
            <w:r>
              <w:rPr>
                <w:noProof/>
                <w:webHidden/>
              </w:rPr>
              <w:fldChar w:fldCharType="end"/>
            </w:r>
          </w:hyperlink>
        </w:p>
        <w:p w14:paraId="06D249DE" w14:textId="36667BE2" w:rsidR="00516F05" w:rsidRDefault="00516F05">
          <w:pPr>
            <w:pStyle w:val="TOC2"/>
            <w:rPr>
              <w:rFonts w:eastAsiaTheme="minorEastAsia" w:cstheme="minorBidi"/>
              <w:smallCaps w:val="0"/>
              <w:noProof/>
              <w:color w:val="auto"/>
              <w:kern w:val="2"/>
              <w:sz w:val="24"/>
              <w:szCs w:val="24"/>
              <w14:ligatures w14:val="standardContextual"/>
            </w:rPr>
          </w:pPr>
          <w:hyperlink w:anchor="_Toc214874803" w:history="1">
            <w:r w:rsidRPr="00B17D87">
              <w:rPr>
                <w:rStyle w:val="Hyperlink"/>
                <w:rFonts w:ascii="Aptos" w:eastAsia="Aptos" w:hAnsi="Aptos" w:cs="Times New Roman"/>
                <w:b/>
                <w:bCs/>
                <w:noProof/>
              </w:rPr>
              <w:t>MEASURE / Evaluating AI Systems / Measuring Privacy</w:t>
            </w:r>
            <w:r>
              <w:rPr>
                <w:noProof/>
                <w:webHidden/>
              </w:rPr>
              <w:tab/>
            </w:r>
            <w:r>
              <w:rPr>
                <w:noProof/>
                <w:webHidden/>
              </w:rPr>
              <w:fldChar w:fldCharType="begin"/>
            </w:r>
            <w:r>
              <w:rPr>
                <w:noProof/>
                <w:webHidden/>
              </w:rPr>
              <w:instrText xml:space="preserve"> PAGEREF _Toc214874803 \h </w:instrText>
            </w:r>
            <w:r>
              <w:rPr>
                <w:noProof/>
                <w:webHidden/>
              </w:rPr>
            </w:r>
            <w:r>
              <w:rPr>
                <w:noProof/>
                <w:webHidden/>
              </w:rPr>
              <w:fldChar w:fldCharType="separate"/>
            </w:r>
            <w:r>
              <w:rPr>
                <w:noProof/>
                <w:webHidden/>
              </w:rPr>
              <w:t>347</w:t>
            </w:r>
            <w:r>
              <w:rPr>
                <w:noProof/>
                <w:webHidden/>
              </w:rPr>
              <w:fldChar w:fldCharType="end"/>
            </w:r>
          </w:hyperlink>
        </w:p>
        <w:p w14:paraId="4C68848B" w14:textId="0C4BB7BD" w:rsidR="00516F05" w:rsidRDefault="00516F05">
          <w:pPr>
            <w:pStyle w:val="TOC2"/>
            <w:rPr>
              <w:rFonts w:eastAsiaTheme="minorEastAsia" w:cstheme="minorBidi"/>
              <w:smallCaps w:val="0"/>
              <w:noProof/>
              <w:color w:val="auto"/>
              <w:kern w:val="2"/>
              <w:sz w:val="24"/>
              <w:szCs w:val="24"/>
              <w14:ligatures w14:val="standardContextual"/>
            </w:rPr>
          </w:pPr>
          <w:hyperlink w:anchor="_Toc214874804" w:history="1">
            <w:r w:rsidRPr="00B17D87">
              <w:rPr>
                <w:rStyle w:val="Hyperlink"/>
                <w:rFonts w:ascii="Aptos" w:eastAsia="Aptos" w:hAnsi="Aptos" w:cs="Times New Roman"/>
                <w:b/>
                <w:bCs/>
                <w:noProof/>
              </w:rPr>
              <w:t>MEASURE / Evaluating AI Systems / Measuring Nondiscrimination</w:t>
            </w:r>
            <w:r>
              <w:rPr>
                <w:noProof/>
                <w:webHidden/>
              </w:rPr>
              <w:tab/>
            </w:r>
            <w:r>
              <w:rPr>
                <w:noProof/>
                <w:webHidden/>
              </w:rPr>
              <w:fldChar w:fldCharType="begin"/>
            </w:r>
            <w:r>
              <w:rPr>
                <w:noProof/>
                <w:webHidden/>
              </w:rPr>
              <w:instrText xml:space="preserve"> PAGEREF _Toc214874804 \h </w:instrText>
            </w:r>
            <w:r>
              <w:rPr>
                <w:noProof/>
                <w:webHidden/>
              </w:rPr>
            </w:r>
            <w:r>
              <w:rPr>
                <w:noProof/>
                <w:webHidden/>
              </w:rPr>
              <w:fldChar w:fldCharType="separate"/>
            </w:r>
            <w:r>
              <w:rPr>
                <w:noProof/>
                <w:webHidden/>
              </w:rPr>
              <w:t>354</w:t>
            </w:r>
            <w:r>
              <w:rPr>
                <w:noProof/>
                <w:webHidden/>
              </w:rPr>
              <w:fldChar w:fldCharType="end"/>
            </w:r>
          </w:hyperlink>
        </w:p>
        <w:p w14:paraId="60B1997E" w14:textId="26794CBE" w:rsidR="00516F05" w:rsidRDefault="00516F05">
          <w:pPr>
            <w:pStyle w:val="TOC2"/>
            <w:rPr>
              <w:rFonts w:eastAsiaTheme="minorEastAsia" w:cstheme="minorBidi"/>
              <w:smallCaps w:val="0"/>
              <w:noProof/>
              <w:color w:val="auto"/>
              <w:kern w:val="2"/>
              <w:sz w:val="24"/>
              <w:szCs w:val="24"/>
              <w14:ligatures w14:val="standardContextual"/>
            </w:rPr>
          </w:pPr>
          <w:hyperlink w:anchor="_Toc214874805" w:history="1">
            <w:r w:rsidRPr="00B17D87">
              <w:rPr>
                <w:rStyle w:val="Hyperlink"/>
                <w:rFonts w:ascii="Aptos" w:eastAsia="Aptos" w:hAnsi="Aptos" w:cs="Times New Roman"/>
                <w:b/>
                <w:bCs/>
                <w:noProof/>
              </w:rPr>
              <w:t>MEASURE / Evaluating AI Systems / Measuring Resource Efficiency</w:t>
            </w:r>
            <w:r>
              <w:rPr>
                <w:noProof/>
                <w:webHidden/>
              </w:rPr>
              <w:tab/>
            </w:r>
            <w:r>
              <w:rPr>
                <w:noProof/>
                <w:webHidden/>
              </w:rPr>
              <w:fldChar w:fldCharType="begin"/>
            </w:r>
            <w:r>
              <w:rPr>
                <w:noProof/>
                <w:webHidden/>
              </w:rPr>
              <w:instrText xml:space="preserve"> PAGEREF _Toc214874805 \h </w:instrText>
            </w:r>
            <w:r>
              <w:rPr>
                <w:noProof/>
                <w:webHidden/>
              </w:rPr>
            </w:r>
            <w:r>
              <w:rPr>
                <w:noProof/>
                <w:webHidden/>
              </w:rPr>
              <w:fldChar w:fldCharType="separate"/>
            </w:r>
            <w:r>
              <w:rPr>
                <w:noProof/>
                <w:webHidden/>
              </w:rPr>
              <w:t>357</w:t>
            </w:r>
            <w:r>
              <w:rPr>
                <w:noProof/>
                <w:webHidden/>
              </w:rPr>
              <w:fldChar w:fldCharType="end"/>
            </w:r>
          </w:hyperlink>
        </w:p>
        <w:p w14:paraId="185A5E2D" w14:textId="0E8DAA4D" w:rsidR="00516F05" w:rsidRDefault="00516F05">
          <w:pPr>
            <w:pStyle w:val="TOC2"/>
            <w:rPr>
              <w:rFonts w:eastAsiaTheme="minorEastAsia" w:cstheme="minorBidi"/>
              <w:smallCaps w:val="0"/>
              <w:noProof/>
              <w:color w:val="auto"/>
              <w:kern w:val="2"/>
              <w:sz w:val="24"/>
              <w:szCs w:val="24"/>
              <w14:ligatures w14:val="standardContextual"/>
            </w:rPr>
          </w:pPr>
          <w:hyperlink w:anchor="_Toc214874806" w:history="1">
            <w:r w:rsidRPr="00B17D87">
              <w:rPr>
                <w:rStyle w:val="Hyperlink"/>
                <w:rFonts w:ascii="Aptos" w:eastAsia="Aptos" w:hAnsi="Aptos" w:cs="Times New Roman"/>
                <w:b/>
                <w:bCs/>
                <w:noProof/>
              </w:rPr>
              <w:t>MEASURE / Evaluating AI Systems / Measuring AI Metrics</w:t>
            </w:r>
            <w:r>
              <w:rPr>
                <w:noProof/>
                <w:webHidden/>
              </w:rPr>
              <w:tab/>
            </w:r>
            <w:r>
              <w:rPr>
                <w:noProof/>
                <w:webHidden/>
              </w:rPr>
              <w:fldChar w:fldCharType="begin"/>
            </w:r>
            <w:r>
              <w:rPr>
                <w:noProof/>
                <w:webHidden/>
              </w:rPr>
              <w:instrText xml:space="preserve"> PAGEREF _Toc214874806 \h </w:instrText>
            </w:r>
            <w:r>
              <w:rPr>
                <w:noProof/>
                <w:webHidden/>
              </w:rPr>
            </w:r>
            <w:r>
              <w:rPr>
                <w:noProof/>
                <w:webHidden/>
              </w:rPr>
              <w:fldChar w:fldCharType="separate"/>
            </w:r>
            <w:r>
              <w:rPr>
                <w:noProof/>
                <w:webHidden/>
              </w:rPr>
              <w:t>363</w:t>
            </w:r>
            <w:r>
              <w:rPr>
                <w:noProof/>
                <w:webHidden/>
              </w:rPr>
              <w:fldChar w:fldCharType="end"/>
            </w:r>
          </w:hyperlink>
        </w:p>
        <w:p w14:paraId="5DDBB14C" w14:textId="66B684F0" w:rsidR="00516F05" w:rsidRDefault="00516F05">
          <w:pPr>
            <w:pStyle w:val="TOC2"/>
            <w:rPr>
              <w:rFonts w:eastAsiaTheme="minorEastAsia" w:cstheme="minorBidi"/>
              <w:smallCaps w:val="0"/>
              <w:noProof/>
              <w:color w:val="auto"/>
              <w:kern w:val="2"/>
              <w:sz w:val="24"/>
              <w:szCs w:val="24"/>
              <w14:ligatures w14:val="standardContextual"/>
            </w:rPr>
          </w:pPr>
          <w:hyperlink w:anchor="_Toc214874807" w:history="1">
            <w:r w:rsidRPr="00B17D87">
              <w:rPr>
                <w:rStyle w:val="Hyperlink"/>
                <w:rFonts w:ascii="Aptos" w:eastAsia="Aptos" w:hAnsi="Aptos" w:cs="Times New Roman"/>
                <w:b/>
                <w:bCs/>
                <w:noProof/>
              </w:rPr>
              <w:t>MEASURE / Tracking AI Risks / Tracking Known and Emergent Risks</w:t>
            </w:r>
            <w:r>
              <w:rPr>
                <w:noProof/>
                <w:webHidden/>
              </w:rPr>
              <w:tab/>
            </w:r>
            <w:r>
              <w:rPr>
                <w:noProof/>
                <w:webHidden/>
              </w:rPr>
              <w:fldChar w:fldCharType="begin"/>
            </w:r>
            <w:r>
              <w:rPr>
                <w:noProof/>
                <w:webHidden/>
              </w:rPr>
              <w:instrText xml:space="preserve"> PAGEREF _Toc214874807 \h </w:instrText>
            </w:r>
            <w:r>
              <w:rPr>
                <w:noProof/>
                <w:webHidden/>
              </w:rPr>
            </w:r>
            <w:r>
              <w:rPr>
                <w:noProof/>
                <w:webHidden/>
              </w:rPr>
              <w:fldChar w:fldCharType="separate"/>
            </w:r>
            <w:r>
              <w:rPr>
                <w:noProof/>
                <w:webHidden/>
              </w:rPr>
              <w:t>370</w:t>
            </w:r>
            <w:r>
              <w:rPr>
                <w:noProof/>
                <w:webHidden/>
              </w:rPr>
              <w:fldChar w:fldCharType="end"/>
            </w:r>
          </w:hyperlink>
        </w:p>
        <w:p w14:paraId="502D9F5A" w14:textId="1E09D2C4" w:rsidR="00516F05" w:rsidRDefault="00516F05">
          <w:pPr>
            <w:pStyle w:val="TOC2"/>
            <w:rPr>
              <w:rFonts w:eastAsiaTheme="minorEastAsia" w:cstheme="minorBidi"/>
              <w:smallCaps w:val="0"/>
              <w:noProof/>
              <w:color w:val="auto"/>
              <w:kern w:val="2"/>
              <w:sz w:val="24"/>
              <w:szCs w:val="24"/>
              <w14:ligatures w14:val="standardContextual"/>
            </w:rPr>
          </w:pPr>
          <w:hyperlink w:anchor="_Toc214874808" w:history="1">
            <w:r w:rsidRPr="00B17D87">
              <w:rPr>
                <w:rStyle w:val="Hyperlink"/>
                <w:rFonts w:ascii="Aptos" w:eastAsia="Aptos" w:hAnsi="Aptos" w:cs="Times New Roman"/>
                <w:b/>
                <w:bCs/>
                <w:noProof/>
              </w:rPr>
              <w:t>MEASURE / Tracking AI Risks / Qualitative Risk Tracking</w:t>
            </w:r>
            <w:r>
              <w:rPr>
                <w:noProof/>
                <w:webHidden/>
              </w:rPr>
              <w:tab/>
            </w:r>
            <w:r>
              <w:rPr>
                <w:noProof/>
                <w:webHidden/>
              </w:rPr>
              <w:fldChar w:fldCharType="begin"/>
            </w:r>
            <w:r>
              <w:rPr>
                <w:noProof/>
                <w:webHidden/>
              </w:rPr>
              <w:instrText xml:space="preserve"> PAGEREF _Toc214874808 \h </w:instrText>
            </w:r>
            <w:r>
              <w:rPr>
                <w:noProof/>
                <w:webHidden/>
              </w:rPr>
            </w:r>
            <w:r>
              <w:rPr>
                <w:noProof/>
                <w:webHidden/>
              </w:rPr>
              <w:fldChar w:fldCharType="separate"/>
            </w:r>
            <w:r>
              <w:rPr>
                <w:noProof/>
                <w:webHidden/>
              </w:rPr>
              <w:t>375</w:t>
            </w:r>
            <w:r>
              <w:rPr>
                <w:noProof/>
                <w:webHidden/>
              </w:rPr>
              <w:fldChar w:fldCharType="end"/>
            </w:r>
          </w:hyperlink>
        </w:p>
        <w:p w14:paraId="01472B5F" w14:textId="3DE69059" w:rsidR="00516F05" w:rsidRDefault="00516F05">
          <w:pPr>
            <w:pStyle w:val="TOC2"/>
            <w:rPr>
              <w:rFonts w:eastAsiaTheme="minorEastAsia" w:cstheme="minorBidi"/>
              <w:smallCaps w:val="0"/>
              <w:noProof/>
              <w:color w:val="auto"/>
              <w:kern w:val="2"/>
              <w:sz w:val="24"/>
              <w:szCs w:val="24"/>
              <w14:ligatures w14:val="standardContextual"/>
            </w:rPr>
          </w:pPr>
          <w:hyperlink w:anchor="_Toc214874809" w:history="1">
            <w:r w:rsidRPr="00B17D87">
              <w:rPr>
                <w:rStyle w:val="Hyperlink"/>
                <w:rFonts w:ascii="Aptos" w:eastAsia="Aptos" w:hAnsi="Aptos" w:cs="Times New Roman"/>
                <w:b/>
                <w:bCs/>
                <w:noProof/>
              </w:rPr>
              <w:t>MEASURE / Tracking AI Risks / Enabling Feedback, Appeal, and Override</w:t>
            </w:r>
            <w:r>
              <w:rPr>
                <w:noProof/>
                <w:webHidden/>
              </w:rPr>
              <w:tab/>
            </w:r>
            <w:r>
              <w:rPr>
                <w:noProof/>
                <w:webHidden/>
              </w:rPr>
              <w:fldChar w:fldCharType="begin"/>
            </w:r>
            <w:r>
              <w:rPr>
                <w:noProof/>
                <w:webHidden/>
              </w:rPr>
              <w:instrText xml:space="preserve"> PAGEREF _Toc214874809 \h </w:instrText>
            </w:r>
            <w:r>
              <w:rPr>
                <w:noProof/>
                <w:webHidden/>
              </w:rPr>
            </w:r>
            <w:r>
              <w:rPr>
                <w:noProof/>
                <w:webHidden/>
              </w:rPr>
              <w:fldChar w:fldCharType="separate"/>
            </w:r>
            <w:r>
              <w:rPr>
                <w:noProof/>
                <w:webHidden/>
              </w:rPr>
              <w:t>382</w:t>
            </w:r>
            <w:r>
              <w:rPr>
                <w:noProof/>
                <w:webHidden/>
              </w:rPr>
              <w:fldChar w:fldCharType="end"/>
            </w:r>
          </w:hyperlink>
        </w:p>
        <w:p w14:paraId="22578FAA" w14:textId="1A38DC35" w:rsidR="00516F05" w:rsidRDefault="00516F05">
          <w:pPr>
            <w:pStyle w:val="TOC2"/>
            <w:rPr>
              <w:rFonts w:eastAsiaTheme="minorEastAsia" w:cstheme="minorBidi"/>
              <w:smallCaps w:val="0"/>
              <w:noProof/>
              <w:color w:val="auto"/>
              <w:kern w:val="2"/>
              <w:sz w:val="24"/>
              <w:szCs w:val="24"/>
              <w14:ligatures w14:val="standardContextual"/>
            </w:rPr>
          </w:pPr>
          <w:hyperlink w:anchor="_Toc214874810" w:history="1">
            <w:r w:rsidRPr="00B17D87">
              <w:rPr>
                <w:rStyle w:val="Hyperlink"/>
                <w:rFonts w:ascii="Aptos" w:eastAsia="Aptos" w:hAnsi="Aptos" w:cs="Times New Roman"/>
                <w:b/>
                <w:bCs/>
                <w:noProof/>
              </w:rPr>
              <w:t>MEASURE / Gathering Feedback on AI Measurement / Gathering Feedback on Measurement Approaches</w:t>
            </w:r>
            <w:r>
              <w:rPr>
                <w:noProof/>
                <w:webHidden/>
              </w:rPr>
              <w:tab/>
            </w:r>
            <w:r>
              <w:rPr>
                <w:noProof/>
                <w:webHidden/>
              </w:rPr>
              <w:fldChar w:fldCharType="begin"/>
            </w:r>
            <w:r>
              <w:rPr>
                <w:noProof/>
                <w:webHidden/>
              </w:rPr>
              <w:instrText xml:space="preserve"> PAGEREF _Toc214874810 \h </w:instrText>
            </w:r>
            <w:r>
              <w:rPr>
                <w:noProof/>
                <w:webHidden/>
              </w:rPr>
            </w:r>
            <w:r>
              <w:rPr>
                <w:noProof/>
                <w:webHidden/>
              </w:rPr>
              <w:fldChar w:fldCharType="separate"/>
            </w:r>
            <w:r>
              <w:rPr>
                <w:noProof/>
                <w:webHidden/>
              </w:rPr>
              <w:t>387</w:t>
            </w:r>
            <w:r>
              <w:rPr>
                <w:noProof/>
                <w:webHidden/>
              </w:rPr>
              <w:fldChar w:fldCharType="end"/>
            </w:r>
          </w:hyperlink>
        </w:p>
        <w:p w14:paraId="142F306C" w14:textId="3BC2B18C" w:rsidR="00516F05" w:rsidRDefault="00516F05">
          <w:pPr>
            <w:pStyle w:val="TOC2"/>
            <w:rPr>
              <w:rFonts w:eastAsiaTheme="minorEastAsia" w:cstheme="minorBidi"/>
              <w:smallCaps w:val="0"/>
              <w:noProof/>
              <w:color w:val="auto"/>
              <w:kern w:val="2"/>
              <w:sz w:val="24"/>
              <w:szCs w:val="24"/>
              <w14:ligatures w14:val="standardContextual"/>
            </w:rPr>
          </w:pPr>
          <w:hyperlink w:anchor="_Toc214874811" w:history="1">
            <w:r w:rsidRPr="00B17D87">
              <w:rPr>
                <w:rStyle w:val="Hyperlink"/>
                <w:rFonts w:ascii="Aptos" w:eastAsia="Aptos" w:hAnsi="Aptos" w:cs="Times New Roman"/>
                <w:b/>
                <w:bCs/>
                <w:noProof/>
              </w:rPr>
              <w:t>MEASURE / Gathering Feedback on AI Measurement / Gathering Feedback on Measurement Results</w:t>
            </w:r>
            <w:r>
              <w:rPr>
                <w:noProof/>
                <w:webHidden/>
              </w:rPr>
              <w:tab/>
            </w:r>
            <w:r>
              <w:rPr>
                <w:noProof/>
                <w:webHidden/>
              </w:rPr>
              <w:fldChar w:fldCharType="begin"/>
            </w:r>
            <w:r>
              <w:rPr>
                <w:noProof/>
                <w:webHidden/>
              </w:rPr>
              <w:instrText xml:space="preserve"> PAGEREF _Toc214874811 \h </w:instrText>
            </w:r>
            <w:r>
              <w:rPr>
                <w:noProof/>
                <w:webHidden/>
              </w:rPr>
            </w:r>
            <w:r>
              <w:rPr>
                <w:noProof/>
                <w:webHidden/>
              </w:rPr>
              <w:fldChar w:fldCharType="separate"/>
            </w:r>
            <w:r>
              <w:rPr>
                <w:noProof/>
                <w:webHidden/>
              </w:rPr>
              <w:t>397</w:t>
            </w:r>
            <w:r>
              <w:rPr>
                <w:noProof/>
                <w:webHidden/>
              </w:rPr>
              <w:fldChar w:fldCharType="end"/>
            </w:r>
          </w:hyperlink>
        </w:p>
        <w:p w14:paraId="71615F08" w14:textId="33F21C03" w:rsidR="00516F05" w:rsidRDefault="00516F05">
          <w:pPr>
            <w:pStyle w:val="TOC2"/>
            <w:rPr>
              <w:rFonts w:eastAsiaTheme="minorEastAsia" w:cstheme="minorBidi"/>
              <w:smallCaps w:val="0"/>
              <w:noProof/>
              <w:color w:val="auto"/>
              <w:kern w:val="2"/>
              <w:sz w:val="24"/>
              <w:szCs w:val="24"/>
              <w14:ligatures w14:val="standardContextual"/>
            </w:rPr>
          </w:pPr>
          <w:hyperlink w:anchor="_Toc214874812" w:history="1">
            <w:r w:rsidRPr="00B17D87">
              <w:rPr>
                <w:rStyle w:val="Hyperlink"/>
                <w:rFonts w:ascii="Aptos" w:eastAsia="Aptos" w:hAnsi="Aptos" w:cs="Times New Roman"/>
                <w:b/>
                <w:bCs/>
                <w:noProof/>
              </w:rPr>
              <w:t>MEASURE / Gathering Feedback on AI Measurement / Gathering Feedback on Real-World Performance</w:t>
            </w:r>
            <w:r>
              <w:rPr>
                <w:noProof/>
                <w:webHidden/>
              </w:rPr>
              <w:tab/>
            </w:r>
            <w:r>
              <w:rPr>
                <w:noProof/>
                <w:webHidden/>
              </w:rPr>
              <w:fldChar w:fldCharType="begin"/>
            </w:r>
            <w:r>
              <w:rPr>
                <w:noProof/>
                <w:webHidden/>
              </w:rPr>
              <w:instrText xml:space="preserve"> PAGEREF _Toc214874812 \h </w:instrText>
            </w:r>
            <w:r>
              <w:rPr>
                <w:noProof/>
                <w:webHidden/>
              </w:rPr>
            </w:r>
            <w:r>
              <w:rPr>
                <w:noProof/>
                <w:webHidden/>
              </w:rPr>
              <w:fldChar w:fldCharType="separate"/>
            </w:r>
            <w:r>
              <w:rPr>
                <w:noProof/>
                <w:webHidden/>
              </w:rPr>
              <w:t>405</w:t>
            </w:r>
            <w:r>
              <w:rPr>
                <w:noProof/>
                <w:webHidden/>
              </w:rPr>
              <w:fldChar w:fldCharType="end"/>
            </w:r>
          </w:hyperlink>
        </w:p>
        <w:p w14:paraId="3F87BC84" w14:textId="4FD28504" w:rsidR="00516F05" w:rsidRDefault="00516F05">
          <w:pPr>
            <w:pStyle w:val="TOC2"/>
            <w:rPr>
              <w:rFonts w:eastAsiaTheme="minorEastAsia" w:cstheme="minorBidi"/>
              <w:smallCaps w:val="0"/>
              <w:noProof/>
              <w:color w:val="auto"/>
              <w:kern w:val="2"/>
              <w:sz w:val="24"/>
              <w:szCs w:val="24"/>
              <w14:ligatures w14:val="standardContextual"/>
            </w:rPr>
          </w:pPr>
          <w:hyperlink w:anchor="_Toc214874813" w:history="1">
            <w:r w:rsidRPr="00B17D87">
              <w:rPr>
                <w:rStyle w:val="Hyperlink"/>
                <w:rFonts w:ascii="Aptos" w:eastAsia="Aptos" w:hAnsi="Aptos" w:cs="Times New Roman"/>
                <w:b/>
                <w:bCs/>
                <w:noProof/>
              </w:rPr>
              <w:t>MANAGE / Prioritizing and Responding to Risks / Deciding to Deploy</w:t>
            </w:r>
            <w:r>
              <w:rPr>
                <w:noProof/>
                <w:webHidden/>
              </w:rPr>
              <w:tab/>
            </w:r>
            <w:r>
              <w:rPr>
                <w:noProof/>
                <w:webHidden/>
              </w:rPr>
              <w:fldChar w:fldCharType="begin"/>
            </w:r>
            <w:r>
              <w:rPr>
                <w:noProof/>
                <w:webHidden/>
              </w:rPr>
              <w:instrText xml:space="preserve"> PAGEREF _Toc214874813 \h </w:instrText>
            </w:r>
            <w:r>
              <w:rPr>
                <w:noProof/>
                <w:webHidden/>
              </w:rPr>
            </w:r>
            <w:r>
              <w:rPr>
                <w:noProof/>
                <w:webHidden/>
              </w:rPr>
              <w:fldChar w:fldCharType="separate"/>
            </w:r>
            <w:r>
              <w:rPr>
                <w:noProof/>
                <w:webHidden/>
              </w:rPr>
              <w:t>412</w:t>
            </w:r>
            <w:r>
              <w:rPr>
                <w:noProof/>
                <w:webHidden/>
              </w:rPr>
              <w:fldChar w:fldCharType="end"/>
            </w:r>
          </w:hyperlink>
        </w:p>
        <w:p w14:paraId="5557E6E6" w14:textId="44F21B9A" w:rsidR="00516F05" w:rsidRDefault="00516F05">
          <w:pPr>
            <w:pStyle w:val="TOC2"/>
            <w:rPr>
              <w:rFonts w:eastAsiaTheme="minorEastAsia" w:cstheme="minorBidi"/>
              <w:smallCaps w:val="0"/>
              <w:noProof/>
              <w:color w:val="auto"/>
              <w:kern w:val="2"/>
              <w:sz w:val="24"/>
              <w:szCs w:val="24"/>
              <w14:ligatures w14:val="standardContextual"/>
            </w:rPr>
          </w:pPr>
          <w:hyperlink w:anchor="_Toc214874814" w:history="1">
            <w:r w:rsidRPr="00B17D87">
              <w:rPr>
                <w:rStyle w:val="Hyperlink"/>
                <w:rFonts w:ascii="Aptos" w:eastAsia="Aptos" w:hAnsi="Aptos" w:cs="Times New Roman"/>
                <w:b/>
                <w:bCs/>
                <w:noProof/>
              </w:rPr>
              <w:t>MANAGE / Prioritizing and Responding to Risks / Prioritizing Risk Responses</w:t>
            </w:r>
            <w:r>
              <w:rPr>
                <w:noProof/>
                <w:webHidden/>
              </w:rPr>
              <w:tab/>
            </w:r>
            <w:r>
              <w:rPr>
                <w:noProof/>
                <w:webHidden/>
              </w:rPr>
              <w:fldChar w:fldCharType="begin"/>
            </w:r>
            <w:r>
              <w:rPr>
                <w:noProof/>
                <w:webHidden/>
              </w:rPr>
              <w:instrText xml:space="preserve"> PAGEREF _Toc214874814 \h </w:instrText>
            </w:r>
            <w:r>
              <w:rPr>
                <w:noProof/>
                <w:webHidden/>
              </w:rPr>
            </w:r>
            <w:r>
              <w:rPr>
                <w:noProof/>
                <w:webHidden/>
              </w:rPr>
              <w:fldChar w:fldCharType="separate"/>
            </w:r>
            <w:r>
              <w:rPr>
                <w:noProof/>
                <w:webHidden/>
              </w:rPr>
              <w:t>416</w:t>
            </w:r>
            <w:r>
              <w:rPr>
                <w:noProof/>
                <w:webHidden/>
              </w:rPr>
              <w:fldChar w:fldCharType="end"/>
            </w:r>
          </w:hyperlink>
        </w:p>
        <w:p w14:paraId="2841E251" w14:textId="5354E6B5" w:rsidR="00516F05" w:rsidRDefault="00516F05">
          <w:pPr>
            <w:pStyle w:val="TOC2"/>
            <w:rPr>
              <w:rFonts w:eastAsiaTheme="minorEastAsia" w:cstheme="minorBidi"/>
              <w:smallCaps w:val="0"/>
              <w:noProof/>
              <w:color w:val="auto"/>
              <w:kern w:val="2"/>
              <w:sz w:val="24"/>
              <w:szCs w:val="24"/>
              <w14:ligatures w14:val="standardContextual"/>
            </w:rPr>
          </w:pPr>
          <w:hyperlink w:anchor="_Toc214874815" w:history="1">
            <w:r w:rsidRPr="00B17D87">
              <w:rPr>
                <w:rStyle w:val="Hyperlink"/>
                <w:rFonts w:ascii="Aptos" w:eastAsia="Aptos" w:hAnsi="Aptos" w:cs="Times New Roman"/>
                <w:b/>
                <w:bCs/>
                <w:noProof/>
              </w:rPr>
              <w:t>MANAGE / Prioritizing and Responding to Risks / Responding to High-Priority Risks</w:t>
            </w:r>
            <w:r>
              <w:rPr>
                <w:noProof/>
                <w:webHidden/>
              </w:rPr>
              <w:tab/>
            </w:r>
            <w:r>
              <w:rPr>
                <w:noProof/>
                <w:webHidden/>
              </w:rPr>
              <w:fldChar w:fldCharType="begin"/>
            </w:r>
            <w:r>
              <w:rPr>
                <w:noProof/>
                <w:webHidden/>
              </w:rPr>
              <w:instrText xml:space="preserve"> PAGEREF _Toc214874815 \h </w:instrText>
            </w:r>
            <w:r>
              <w:rPr>
                <w:noProof/>
                <w:webHidden/>
              </w:rPr>
            </w:r>
            <w:r>
              <w:rPr>
                <w:noProof/>
                <w:webHidden/>
              </w:rPr>
              <w:fldChar w:fldCharType="separate"/>
            </w:r>
            <w:r>
              <w:rPr>
                <w:noProof/>
                <w:webHidden/>
              </w:rPr>
              <w:t>420</w:t>
            </w:r>
            <w:r>
              <w:rPr>
                <w:noProof/>
                <w:webHidden/>
              </w:rPr>
              <w:fldChar w:fldCharType="end"/>
            </w:r>
          </w:hyperlink>
        </w:p>
        <w:p w14:paraId="02941253" w14:textId="1B833600" w:rsidR="00516F05" w:rsidRDefault="00516F05">
          <w:pPr>
            <w:pStyle w:val="TOC2"/>
            <w:rPr>
              <w:rFonts w:eastAsiaTheme="minorEastAsia" w:cstheme="minorBidi"/>
              <w:smallCaps w:val="0"/>
              <w:noProof/>
              <w:color w:val="auto"/>
              <w:kern w:val="2"/>
              <w:sz w:val="24"/>
              <w:szCs w:val="24"/>
              <w14:ligatures w14:val="standardContextual"/>
            </w:rPr>
          </w:pPr>
          <w:hyperlink w:anchor="_Toc214874816" w:history="1">
            <w:r w:rsidRPr="00B17D87">
              <w:rPr>
                <w:rStyle w:val="Hyperlink"/>
                <w:rFonts w:ascii="Aptos" w:eastAsia="Aptos" w:hAnsi="Aptos" w:cs="Times New Roman"/>
                <w:b/>
                <w:bCs/>
                <w:noProof/>
              </w:rPr>
              <w:t>MANAGE / Prioritizing and Responding to Risks / Managing Residual Risk</w:t>
            </w:r>
            <w:r>
              <w:rPr>
                <w:noProof/>
                <w:webHidden/>
              </w:rPr>
              <w:tab/>
            </w:r>
            <w:r>
              <w:rPr>
                <w:noProof/>
                <w:webHidden/>
              </w:rPr>
              <w:fldChar w:fldCharType="begin"/>
            </w:r>
            <w:r>
              <w:rPr>
                <w:noProof/>
                <w:webHidden/>
              </w:rPr>
              <w:instrText xml:space="preserve"> PAGEREF _Toc214874816 \h </w:instrText>
            </w:r>
            <w:r>
              <w:rPr>
                <w:noProof/>
                <w:webHidden/>
              </w:rPr>
            </w:r>
            <w:r>
              <w:rPr>
                <w:noProof/>
                <w:webHidden/>
              </w:rPr>
              <w:fldChar w:fldCharType="separate"/>
            </w:r>
            <w:r>
              <w:rPr>
                <w:noProof/>
                <w:webHidden/>
              </w:rPr>
              <w:t>424</w:t>
            </w:r>
            <w:r>
              <w:rPr>
                <w:noProof/>
                <w:webHidden/>
              </w:rPr>
              <w:fldChar w:fldCharType="end"/>
            </w:r>
          </w:hyperlink>
        </w:p>
        <w:p w14:paraId="058FA5EA" w14:textId="145F84ED" w:rsidR="00516F05" w:rsidRDefault="00516F05">
          <w:pPr>
            <w:pStyle w:val="TOC2"/>
            <w:rPr>
              <w:rFonts w:eastAsiaTheme="minorEastAsia" w:cstheme="minorBidi"/>
              <w:smallCaps w:val="0"/>
              <w:noProof/>
              <w:color w:val="auto"/>
              <w:kern w:val="2"/>
              <w:sz w:val="24"/>
              <w:szCs w:val="24"/>
              <w14:ligatures w14:val="standardContextual"/>
            </w:rPr>
          </w:pPr>
          <w:hyperlink w:anchor="_Toc214874817" w:history="1">
            <w:r w:rsidRPr="00B17D87">
              <w:rPr>
                <w:rStyle w:val="Hyperlink"/>
                <w:rFonts w:ascii="Aptos" w:eastAsia="Aptos" w:hAnsi="Aptos" w:cs="Times New Roman"/>
                <w:b/>
                <w:bCs/>
                <w:noProof/>
              </w:rPr>
              <w:t>MANAGE / Maximizing Benefits / Allocating Resources</w:t>
            </w:r>
            <w:r>
              <w:rPr>
                <w:noProof/>
                <w:webHidden/>
              </w:rPr>
              <w:tab/>
            </w:r>
            <w:r>
              <w:rPr>
                <w:noProof/>
                <w:webHidden/>
              </w:rPr>
              <w:fldChar w:fldCharType="begin"/>
            </w:r>
            <w:r>
              <w:rPr>
                <w:noProof/>
                <w:webHidden/>
              </w:rPr>
              <w:instrText xml:space="preserve"> PAGEREF _Toc214874817 \h </w:instrText>
            </w:r>
            <w:r>
              <w:rPr>
                <w:noProof/>
                <w:webHidden/>
              </w:rPr>
            </w:r>
            <w:r>
              <w:rPr>
                <w:noProof/>
                <w:webHidden/>
              </w:rPr>
              <w:fldChar w:fldCharType="separate"/>
            </w:r>
            <w:r>
              <w:rPr>
                <w:noProof/>
                <w:webHidden/>
              </w:rPr>
              <w:t>432</w:t>
            </w:r>
            <w:r>
              <w:rPr>
                <w:noProof/>
                <w:webHidden/>
              </w:rPr>
              <w:fldChar w:fldCharType="end"/>
            </w:r>
          </w:hyperlink>
        </w:p>
        <w:p w14:paraId="72DCB87B" w14:textId="24D0263B" w:rsidR="00516F05" w:rsidRDefault="00516F05">
          <w:pPr>
            <w:pStyle w:val="TOC2"/>
            <w:rPr>
              <w:rFonts w:eastAsiaTheme="minorEastAsia" w:cstheme="minorBidi"/>
              <w:smallCaps w:val="0"/>
              <w:noProof/>
              <w:color w:val="auto"/>
              <w:kern w:val="2"/>
              <w:sz w:val="24"/>
              <w:szCs w:val="24"/>
              <w14:ligatures w14:val="standardContextual"/>
            </w:rPr>
          </w:pPr>
          <w:hyperlink w:anchor="_Toc214874818" w:history="1">
            <w:r w:rsidRPr="00B17D87">
              <w:rPr>
                <w:rStyle w:val="Hyperlink"/>
                <w:rFonts w:ascii="Aptos" w:eastAsia="Aptos" w:hAnsi="Aptos" w:cs="Times New Roman"/>
                <w:b/>
                <w:bCs/>
                <w:noProof/>
              </w:rPr>
              <w:t>MANAGE / Maximizing Benefits / Ensuring Sustained Value</w:t>
            </w:r>
            <w:r>
              <w:rPr>
                <w:noProof/>
                <w:webHidden/>
              </w:rPr>
              <w:tab/>
            </w:r>
            <w:r>
              <w:rPr>
                <w:noProof/>
                <w:webHidden/>
              </w:rPr>
              <w:fldChar w:fldCharType="begin"/>
            </w:r>
            <w:r>
              <w:rPr>
                <w:noProof/>
                <w:webHidden/>
              </w:rPr>
              <w:instrText xml:space="preserve"> PAGEREF _Toc214874818 \h </w:instrText>
            </w:r>
            <w:r>
              <w:rPr>
                <w:noProof/>
                <w:webHidden/>
              </w:rPr>
            </w:r>
            <w:r>
              <w:rPr>
                <w:noProof/>
                <w:webHidden/>
              </w:rPr>
              <w:fldChar w:fldCharType="separate"/>
            </w:r>
            <w:r>
              <w:rPr>
                <w:noProof/>
                <w:webHidden/>
              </w:rPr>
              <w:t>438</w:t>
            </w:r>
            <w:r>
              <w:rPr>
                <w:noProof/>
                <w:webHidden/>
              </w:rPr>
              <w:fldChar w:fldCharType="end"/>
            </w:r>
          </w:hyperlink>
        </w:p>
        <w:p w14:paraId="189E398B" w14:textId="12EC2975" w:rsidR="00516F05" w:rsidRDefault="00516F05">
          <w:pPr>
            <w:pStyle w:val="TOC2"/>
            <w:rPr>
              <w:rFonts w:eastAsiaTheme="minorEastAsia" w:cstheme="minorBidi"/>
              <w:smallCaps w:val="0"/>
              <w:noProof/>
              <w:color w:val="auto"/>
              <w:kern w:val="2"/>
              <w:sz w:val="24"/>
              <w:szCs w:val="24"/>
              <w14:ligatures w14:val="standardContextual"/>
            </w:rPr>
          </w:pPr>
          <w:hyperlink w:anchor="_Toc214874819" w:history="1">
            <w:r w:rsidRPr="00B17D87">
              <w:rPr>
                <w:rStyle w:val="Hyperlink"/>
                <w:rFonts w:ascii="Aptos" w:eastAsia="Aptos" w:hAnsi="Aptos" w:cs="Times New Roman"/>
                <w:b/>
                <w:bCs/>
                <w:noProof/>
              </w:rPr>
              <w:t>MANAGE / Maximizing Benefits / Responding to Emergent Risks</w:t>
            </w:r>
            <w:r>
              <w:rPr>
                <w:noProof/>
                <w:webHidden/>
              </w:rPr>
              <w:tab/>
            </w:r>
            <w:r>
              <w:rPr>
                <w:noProof/>
                <w:webHidden/>
              </w:rPr>
              <w:fldChar w:fldCharType="begin"/>
            </w:r>
            <w:r>
              <w:rPr>
                <w:noProof/>
                <w:webHidden/>
              </w:rPr>
              <w:instrText xml:space="preserve"> PAGEREF _Toc214874819 \h </w:instrText>
            </w:r>
            <w:r>
              <w:rPr>
                <w:noProof/>
                <w:webHidden/>
              </w:rPr>
            </w:r>
            <w:r>
              <w:rPr>
                <w:noProof/>
                <w:webHidden/>
              </w:rPr>
              <w:fldChar w:fldCharType="separate"/>
            </w:r>
            <w:r>
              <w:rPr>
                <w:noProof/>
                <w:webHidden/>
              </w:rPr>
              <w:t>444</w:t>
            </w:r>
            <w:r>
              <w:rPr>
                <w:noProof/>
                <w:webHidden/>
              </w:rPr>
              <w:fldChar w:fldCharType="end"/>
            </w:r>
          </w:hyperlink>
        </w:p>
        <w:p w14:paraId="09123F39" w14:textId="3E6D512F" w:rsidR="00516F05" w:rsidRDefault="00516F05">
          <w:pPr>
            <w:pStyle w:val="TOC2"/>
            <w:rPr>
              <w:rFonts w:eastAsiaTheme="minorEastAsia" w:cstheme="minorBidi"/>
              <w:smallCaps w:val="0"/>
              <w:noProof/>
              <w:color w:val="auto"/>
              <w:kern w:val="2"/>
              <w:sz w:val="24"/>
              <w:szCs w:val="24"/>
              <w14:ligatures w14:val="standardContextual"/>
            </w:rPr>
          </w:pPr>
          <w:hyperlink w:anchor="_Toc214874820" w:history="1">
            <w:r w:rsidRPr="00B17D87">
              <w:rPr>
                <w:rStyle w:val="Hyperlink"/>
                <w:rFonts w:ascii="Aptos" w:eastAsia="Aptos" w:hAnsi="Aptos" w:cs="Times New Roman"/>
                <w:b/>
                <w:bCs/>
                <w:noProof/>
              </w:rPr>
              <w:t>MANAGE / Maximizing Benefits / Decommissioning or Superseding AI Systems</w:t>
            </w:r>
            <w:r>
              <w:rPr>
                <w:noProof/>
                <w:webHidden/>
              </w:rPr>
              <w:tab/>
            </w:r>
            <w:r>
              <w:rPr>
                <w:noProof/>
                <w:webHidden/>
              </w:rPr>
              <w:fldChar w:fldCharType="begin"/>
            </w:r>
            <w:r>
              <w:rPr>
                <w:noProof/>
                <w:webHidden/>
              </w:rPr>
              <w:instrText xml:space="preserve"> PAGEREF _Toc214874820 \h </w:instrText>
            </w:r>
            <w:r>
              <w:rPr>
                <w:noProof/>
                <w:webHidden/>
              </w:rPr>
            </w:r>
            <w:r>
              <w:rPr>
                <w:noProof/>
                <w:webHidden/>
              </w:rPr>
              <w:fldChar w:fldCharType="separate"/>
            </w:r>
            <w:r>
              <w:rPr>
                <w:noProof/>
                <w:webHidden/>
              </w:rPr>
              <w:t>451</w:t>
            </w:r>
            <w:r>
              <w:rPr>
                <w:noProof/>
                <w:webHidden/>
              </w:rPr>
              <w:fldChar w:fldCharType="end"/>
            </w:r>
          </w:hyperlink>
        </w:p>
        <w:p w14:paraId="1C102A40" w14:textId="0C7054DB" w:rsidR="00516F05" w:rsidRDefault="00516F05">
          <w:pPr>
            <w:pStyle w:val="TOC2"/>
            <w:rPr>
              <w:rFonts w:eastAsiaTheme="minorEastAsia" w:cstheme="minorBidi"/>
              <w:smallCaps w:val="0"/>
              <w:noProof/>
              <w:color w:val="auto"/>
              <w:kern w:val="2"/>
              <w:sz w:val="24"/>
              <w:szCs w:val="24"/>
              <w14:ligatures w14:val="standardContextual"/>
            </w:rPr>
          </w:pPr>
          <w:hyperlink w:anchor="_Toc214874821" w:history="1">
            <w:r w:rsidRPr="00B17D87">
              <w:rPr>
                <w:rStyle w:val="Hyperlink"/>
                <w:rFonts w:ascii="Aptos" w:eastAsia="Aptos" w:hAnsi="Aptos" w:cs="Times New Roman"/>
                <w:b/>
                <w:bCs/>
                <w:noProof/>
              </w:rPr>
              <w:t>MANAGE / Managing Third-Party Risk / Monitoring and Responding to Third-Party Risks</w:t>
            </w:r>
            <w:r>
              <w:rPr>
                <w:noProof/>
                <w:webHidden/>
              </w:rPr>
              <w:tab/>
            </w:r>
            <w:r>
              <w:rPr>
                <w:noProof/>
                <w:webHidden/>
              </w:rPr>
              <w:fldChar w:fldCharType="begin"/>
            </w:r>
            <w:r>
              <w:rPr>
                <w:noProof/>
                <w:webHidden/>
              </w:rPr>
              <w:instrText xml:space="preserve"> PAGEREF _Toc214874821 \h </w:instrText>
            </w:r>
            <w:r>
              <w:rPr>
                <w:noProof/>
                <w:webHidden/>
              </w:rPr>
            </w:r>
            <w:r>
              <w:rPr>
                <w:noProof/>
                <w:webHidden/>
              </w:rPr>
              <w:fldChar w:fldCharType="separate"/>
            </w:r>
            <w:r>
              <w:rPr>
                <w:noProof/>
                <w:webHidden/>
              </w:rPr>
              <w:t>457</w:t>
            </w:r>
            <w:r>
              <w:rPr>
                <w:noProof/>
                <w:webHidden/>
              </w:rPr>
              <w:fldChar w:fldCharType="end"/>
            </w:r>
          </w:hyperlink>
        </w:p>
        <w:p w14:paraId="3331AA19" w14:textId="1C2F340E" w:rsidR="00516F05" w:rsidRDefault="00516F05">
          <w:pPr>
            <w:pStyle w:val="TOC2"/>
            <w:rPr>
              <w:rFonts w:eastAsiaTheme="minorEastAsia" w:cstheme="minorBidi"/>
              <w:smallCaps w:val="0"/>
              <w:noProof/>
              <w:color w:val="auto"/>
              <w:kern w:val="2"/>
              <w:sz w:val="24"/>
              <w:szCs w:val="24"/>
              <w14:ligatures w14:val="standardContextual"/>
            </w:rPr>
          </w:pPr>
          <w:hyperlink w:anchor="_Toc214874822" w:history="1">
            <w:r w:rsidRPr="00B17D87">
              <w:rPr>
                <w:rStyle w:val="Hyperlink"/>
                <w:rFonts w:ascii="Aptos" w:eastAsia="Aptos" w:hAnsi="Aptos" w:cs="Times New Roman"/>
                <w:b/>
                <w:bCs/>
                <w:noProof/>
              </w:rPr>
              <w:t>MANAGE / Managing Third-Party Risk / Monitoring and Responding to Pre-Trained Model Risks</w:t>
            </w:r>
            <w:r>
              <w:rPr>
                <w:noProof/>
                <w:webHidden/>
              </w:rPr>
              <w:tab/>
            </w:r>
            <w:r>
              <w:rPr>
                <w:noProof/>
                <w:webHidden/>
              </w:rPr>
              <w:fldChar w:fldCharType="begin"/>
            </w:r>
            <w:r>
              <w:rPr>
                <w:noProof/>
                <w:webHidden/>
              </w:rPr>
              <w:instrText xml:space="preserve"> PAGEREF _Toc214874822 \h </w:instrText>
            </w:r>
            <w:r>
              <w:rPr>
                <w:noProof/>
                <w:webHidden/>
              </w:rPr>
            </w:r>
            <w:r>
              <w:rPr>
                <w:noProof/>
                <w:webHidden/>
              </w:rPr>
              <w:fldChar w:fldCharType="separate"/>
            </w:r>
            <w:r>
              <w:rPr>
                <w:noProof/>
                <w:webHidden/>
              </w:rPr>
              <w:t>467</w:t>
            </w:r>
            <w:r>
              <w:rPr>
                <w:noProof/>
                <w:webHidden/>
              </w:rPr>
              <w:fldChar w:fldCharType="end"/>
            </w:r>
          </w:hyperlink>
        </w:p>
        <w:p w14:paraId="13575A8D" w14:textId="6C1849A0" w:rsidR="00516F05" w:rsidRDefault="00516F05">
          <w:pPr>
            <w:pStyle w:val="TOC2"/>
            <w:rPr>
              <w:rFonts w:eastAsiaTheme="minorEastAsia" w:cstheme="minorBidi"/>
              <w:smallCaps w:val="0"/>
              <w:noProof/>
              <w:color w:val="auto"/>
              <w:kern w:val="2"/>
              <w:sz w:val="24"/>
              <w:szCs w:val="24"/>
              <w14:ligatures w14:val="standardContextual"/>
            </w:rPr>
          </w:pPr>
          <w:hyperlink w:anchor="_Toc214874823" w:history="1">
            <w:r w:rsidRPr="00B17D87">
              <w:rPr>
                <w:rStyle w:val="Hyperlink"/>
                <w:rFonts w:ascii="Aptos" w:eastAsia="Aptos" w:hAnsi="Aptos" w:cs="Times New Roman"/>
                <w:b/>
                <w:bCs/>
                <w:noProof/>
              </w:rPr>
              <w:t>MANAGE / Ongoing Risk Response / Post-Deployment Risk Management</w:t>
            </w:r>
            <w:r>
              <w:rPr>
                <w:noProof/>
                <w:webHidden/>
              </w:rPr>
              <w:tab/>
            </w:r>
            <w:r>
              <w:rPr>
                <w:noProof/>
                <w:webHidden/>
              </w:rPr>
              <w:fldChar w:fldCharType="begin"/>
            </w:r>
            <w:r>
              <w:rPr>
                <w:noProof/>
                <w:webHidden/>
              </w:rPr>
              <w:instrText xml:space="preserve"> PAGEREF _Toc214874823 \h </w:instrText>
            </w:r>
            <w:r>
              <w:rPr>
                <w:noProof/>
                <w:webHidden/>
              </w:rPr>
            </w:r>
            <w:r>
              <w:rPr>
                <w:noProof/>
                <w:webHidden/>
              </w:rPr>
              <w:fldChar w:fldCharType="separate"/>
            </w:r>
            <w:r>
              <w:rPr>
                <w:noProof/>
                <w:webHidden/>
              </w:rPr>
              <w:t>471</w:t>
            </w:r>
            <w:r>
              <w:rPr>
                <w:noProof/>
                <w:webHidden/>
              </w:rPr>
              <w:fldChar w:fldCharType="end"/>
            </w:r>
          </w:hyperlink>
        </w:p>
        <w:p w14:paraId="1939820E" w14:textId="33ACA3F6" w:rsidR="00516F05" w:rsidRDefault="00516F05">
          <w:pPr>
            <w:pStyle w:val="TOC2"/>
            <w:rPr>
              <w:rFonts w:eastAsiaTheme="minorEastAsia" w:cstheme="minorBidi"/>
              <w:smallCaps w:val="0"/>
              <w:noProof/>
              <w:color w:val="auto"/>
              <w:kern w:val="2"/>
              <w:sz w:val="24"/>
              <w:szCs w:val="24"/>
              <w14:ligatures w14:val="standardContextual"/>
            </w:rPr>
          </w:pPr>
          <w:hyperlink w:anchor="_Toc214874824" w:history="1">
            <w:r w:rsidRPr="00B17D87">
              <w:rPr>
                <w:rStyle w:val="Hyperlink"/>
                <w:rFonts w:ascii="Aptos" w:eastAsia="Aptos" w:hAnsi="Aptos" w:cs="Times New Roman"/>
                <w:b/>
                <w:bCs/>
                <w:noProof/>
              </w:rPr>
              <w:t>MANAGE / Ongoing Risk Response / Continuously Improving AI Systems</w:t>
            </w:r>
            <w:r>
              <w:rPr>
                <w:noProof/>
                <w:webHidden/>
              </w:rPr>
              <w:tab/>
            </w:r>
            <w:r>
              <w:rPr>
                <w:noProof/>
                <w:webHidden/>
              </w:rPr>
              <w:fldChar w:fldCharType="begin"/>
            </w:r>
            <w:r>
              <w:rPr>
                <w:noProof/>
                <w:webHidden/>
              </w:rPr>
              <w:instrText xml:space="preserve"> PAGEREF _Toc214874824 \h </w:instrText>
            </w:r>
            <w:r>
              <w:rPr>
                <w:noProof/>
                <w:webHidden/>
              </w:rPr>
            </w:r>
            <w:r>
              <w:rPr>
                <w:noProof/>
                <w:webHidden/>
              </w:rPr>
              <w:fldChar w:fldCharType="separate"/>
            </w:r>
            <w:r>
              <w:rPr>
                <w:noProof/>
                <w:webHidden/>
              </w:rPr>
              <w:t>483</w:t>
            </w:r>
            <w:r>
              <w:rPr>
                <w:noProof/>
                <w:webHidden/>
              </w:rPr>
              <w:fldChar w:fldCharType="end"/>
            </w:r>
          </w:hyperlink>
        </w:p>
        <w:p w14:paraId="4E3F1AB8" w14:textId="020BAF1A" w:rsidR="00516F05" w:rsidRDefault="00516F05">
          <w:pPr>
            <w:pStyle w:val="TOC2"/>
            <w:rPr>
              <w:rFonts w:eastAsiaTheme="minorEastAsia" w:cstheme="minorBidi"/>
              <w:smallCaps w:val="0"/>
              <w:noProof/>
              <w:color w:val="auto"/>
              <w:kern w:val="2"/>
              <w:sz w:val="24"/>
              <w:szCs w:val="24"/>
              <w14:ligatures w14:val="standardContextual"/>
            </w:rPr>
          </w:pPr>
          <w:hyperlink w:anchor="_Toc214874825" w:history="1">
            <w:r w:rsidRPr="00B17D87">
              <w:rPr>
                <w:rStyle w:val="Hyperlink"/>
                <w:rFonts w:ascii="Aptos" w:eastAsia="Aptos" w:hAnsi="Aptos" w:cs="Times New Roman"/>
                <w:b/>
                <w:bCs/>
                <w:noProof/>
              </w:rPr>
              <w:t>MANAGE / Ongoing Risk Response / Responding to Incidents</w:t>
            </w:r>
            <w:r>
              <w:rPr>
                <w:noProof/>
                <w:webHidden/>
              </w:rPr>
              <w:tab/>
            </w:r>
            <w:r>
              <w:rPr>
                <w:noProof/>
                <w:webHidden/>
              </w:rPr>
              <w:fldChar w:fldCharType="begin"/>
            </w:r>
            <w:r>
              <w:rPr>
                <w:noProof/>
                <w:webHidden/>
              </w:rPr>
              <w:instrText xml:space="preserve"> PAGEREF _Toc214874825 \h </w:instrText>
            </w:r>
            <w:r>
              <w:rPr>
                <w:noProof/>
                <w:webHidden/>
              </w:rPr>
            </w:r>
            <w:r>
              <w:rPr>
                <w:noProof/>
                <w:webHidden/>
              </w:rPr>
              <w:fldChar w:fldCharType="separate"/>
            </w:r>
            <w:r>
              <w:rPr>
                <w:noProof/>
                <w:webHidden/>
              </w:rPr>
              <w:t>490</w:t>
            </w:r>
            <w:r>
              <w:rPr>
                <w:noProof/>
                <w:webHidden/>
              </w:rPr>
              <w:fldChar w:fldCharType="end"/>
            </w:r>
          </w:hyperlink>
        </w:p>
        <w:p w14:paraId="42B7FAA6" w14:textId="65F0D132" w:rsidR="00512EEF" w:rsidRDefault="00512EEF" w:rsidP="00FF487A">
          <w:pPr>
            <w:jc w:val="both"/>
          </w:pPr>
          <w:r>
            <w:rPr>
              <w:b/>
              <w:bCs/>
              <w:noProof/>
            </w:rPr>
            <w:fldChar w:fldCharType="end"/>
          </w:r>
        </w:p>
      </w:sdtContent>
    </w:sdt>
    <w:p w14:paraId="2849F6F5" w14:textId="77777777" w:rsidR="00322A1A" w:rsidRDefault="00322A1A">
      <w:pPr>
        <w:rPr>
          <w:rFonts w:ascii="Aptos" w:eastAsia="Times New Roman" w:hAnsi="Aptos" w:cs="Times New Roman"/>
          <w:b/>
          <w:bCs/>
          <w:color w:val="34246B" w:themeColor="accent2"/>
          <w:sz w:val="32"/>
        </w:rPr>
      </w:pPr>
      <w:r>
        <w:rPr>
          <w:rFonts w:ascii="Aptos" w:hAnsi="Aptos"/>
          <w:b/>
          <w:bCs/>
          <w:color w:val="34246B" w:themeColor="accent2"/>
        </w:rPr>
        <w:br w:type="page"/>
      </w:r>
    </w:p>
    <w:p w14:paraId="5AC1E64B" w14:textId="4C507ACE" w:rsidR="00322A1A" w:rsidRPr="004C3837" w:rsidRDefault="00424114" w:rsidP="00322A1A">
      <w:pPr>
        <w:pStyle w:val="Heading1"/>
        <w:spacing w:after="0" w:line="269" w:lineRule="auto"/>
        <w:jc w:val="both"/>
        <w:rPr>
          <w:rFonts w:ascii="Aptos" w:hAnsi="Aptos"/>
          <w:b/>
          <w:bCs/>
          <w:color w:val="34246B" w:themeColor="accent2"/>
          <w:sz w:val="28"/>
          <w:szCs w:val="22"/>
        </w:rPr>
      </w:pPr>
      <w:bookmarkStart w:id="8" w:name="_Toc214874753"/>
      <w:r w:rsidRPr="004C3837">
        <w:rPr>
          <w:rFonts w:ascii="Aptos" w:hAnsi="Aptos"/>
          <w:b/>
          <w:bCs/>
          <w:color w:val="34246B" w:themeColor="accent2"/>
          <w:sz w:val="28"/>
          <w:szCs w:val="22"/>
        </w:rPr>
        <w:lastRenderedPageBreak/>
        <w:t>UPDATE SCHEDULE AND VERSIONS</w:t>
      </w:r>
      <w:bookmarkEnd w:id="8"/>
    </w:p>
    <w:p w14:paraId="5BACC11B" w14:textId="77777777" w:rsidR="00322A1A" w:rsidRPr="004C3837" w:rsidRDefault="00322A1A" w:rsidP="004C3837">
      <w:pPr>
        <w:jc w:val="both"/>
        <w:rPr>
          <w:rFonts w:ascii="Aptos" w:hAnsi="Aptos"/>
          <w:b/>
          <w:bCs/>
          <w:color w:val="B31E3E" w:themeColor="accent1"/>
          <w:sz w:val="20"/>
          <w:szCs w:val="20"/>
        </w:rPr>
      </w:pPr>
    </w:p>
    <w:p w14:paraId="38E02279" w14:textId="0F14F1C4" w:rsidR="0027596D" w:rsidRPr="004C3837" w:rsidRDefault="0027596D" w:rsidP="004C3837">
      <w:pPr>
        <w:jc w:val="both"/>
        <w:rPr>
          <w:rFonts w:ascii="Aptos" w:hAnsi="Aptos"/>
          <w:color w:val="auto"/>
          <w:sz w:val="20"/>
          <w:szCs w:val="20"/>
        </w:rPr>
      </w:pPr>
      <w:r w:rsidRPr="004C3837">
        <w:rPr>
          <w:rFonts w:ascii="Aptos" w:hAnsi="Aptos"/>
          <w:color w:val="auto"/>
          <w:sz w:val="20"/>
          <w:szCs w:val="20"/>
        </w:rPr>
        <w:t xml:space="preserve">The FS AI RMF </w:t>
      </w:r>
      <w:r w:rsidR="00B70D88" w:rsidRPr="004C3837">
        <w:rPr>
          <w:rFonts w:ascii="Aptos" w:hAnsi="Aptos"/>
          <w:color w:val="auto"/>
          <w:sz w:val="20"/>
          <w:szCs w:val="20"/>
        </w:rPr>
        <w:t xml:space="preserve">and this Control Objective Reference </w:t>
      </w:r>
      <w:r w:rsidR="002F29C9" w:rsidRPr="004C3837">
        <w:rPr>
          <w:rFonts w:ascii="Aptos" w:hAnsi="Aptos"/>
          <w:color w:val="auto"/>
          <w:sz w:val="20"/>
          <w:szCs w:val="20"/>
        </w:rPr>
        <w:t>Guide</w:t>
      </w:r>
      <w:r w:rsidR="00B70D88" w:rsidRPr="004C3837">
        <w:rPr>
          <w:rFonts w:ascii="Aptos" w:hAnsi="Aptos"/>
          <w:color w:val="auto"/>
          <w:sz w:val="20"/>
          <w:szCs w:val="20"/>
        </w:rPr>
        <w:t xml:space="preserve"> </w:t>
      </w:r>
      <w:r w:rsidR="002F29C9" w:rsidRPr="004C3837">
        <w:rPr>
          <w:rFonts w:ascii="Aptos" w:hAnsi="Aptos"/>
          <w:color w:val="auto"/>
          <w:sz w:val="20"/>
          <w:szCs w:val="20"/>
        </w:rPr>
        <w:t>are</w:t>
      </w:r>
      <w:r w:rsidRPr="004C3837">
        <w:rPr>
          <w:rFonts w:ascii="Aptos" w:hAnsi="Aptos"/>
          <w:color w:val="auto"/>
          <w:sz w:val="20"/>
          <w:szCs w:val="20"/>
        </w:rPr>
        <w:t xml:space="preserve"> living document</w:t>
      </w:r>
      <w:r w:rsidR="002F29C9" w:rsidRPr="004C3837">
        <w:rPr>
          <w:rFonts w:ascii="Aptos" w:hAnsi="Aptos"/>
          <w:color w:val="auto"/>
          <w:sz w:val="20"/>
          <w:szCs w:val="20"/>
        </w:rPr>
        <w:t>s</w:t>
      </w:r>
      <w:r w:rsidRPr="004C3837">
        <w:rPr>
          <w:rFonts w:ascii="Aptos" w:hAnsi="Aptos"/>
          <w:color w:val="auto"/>
          <w:sz w:val="20"/>
          <w:szCs w:val="20"/>
        </w:rPr>
        <w:t xml:space="preserve">. CRI will review </w:t>
      </w:r>
      <w:r w:rsidR="002F29C9" w:rsidRPr="004C3837">
        <w:rPr>
          <w:rFonts w:ascii="Aptos" w:hAnsi="Aptos"/>
          <w:color w:val="auto"/>
          <w:sz w:val="20"/>
          <w:szCs w:val="20"/>
        </w:rPr>
        <w:t>the</w:t>
      </w:r>
      <w:r w:rsidRPr="004C3837">
        <w:rPr>
          <w:rFonts w:ascii="Aptos" w:hAnsi="Aptos"/>
          <w:color w:val="auto"/>
          <w:sz w:val="20"/>
          <w:szCs w:val="20"/>
        </w:rPr>
        <w:t xml:space="preserve"> content and usefulness regularly to determine if an update is or may be necessary. The nature and extent of the update will be reviewed with the CRI Board of Directors, members, stakeholders, trade associations, relevant third parties, and others where appropriate. All input received will be considered. </w:t>
      </w:r>
    </w:p>
    <w:p w14:paraId="09974504" w14:textId="77777777" w:rsidR="0027596D" w:rsidRPr="004C3837" w:rsidRDefault="0027596D" w:rsidP="004C3837">
      <w:pPr>
        <w:jc w:val="both"/>
        <w:rPr>
          <w:rFonts w:ascii="Aptos" w:hAnsi="Aptos"/>
          <w:color w:val="auto"/>
          <w:sz w:val="20"/>
          <w:szCs w:val="20"/>
        </w:rPr>
      </w:pPr>
    </w:p>
    <w:p w14:paraId="0B3F6D38" w14:textId="77777777" w:rsidR="0027596D" w:rsidRPr="004C3837" w:rsidRDefault="0027596D" w:rsidP="004C3837">
      <w:pPr>
        <w:jc w:val="both"/>
        <w:rPr>
          <w:rFonts w:ascii="Aptos" w:hAnsi="Aptos"/>
          <w:color w:val="auto"/>
          <w:sz w:val="20"/>
          <w:szCs w:val="20"/>
        </w:rPr>
      </w:pPr>
      <w:r w:rsidRPr="004C3837">
        <w:rPr>
          <w:rFonts w:ascii="Aptos" w:hAnsi="Aptos"/>
          <w:color w:val="auto"/>
          <w:sz w:val="20"/>
          <w:szCs w:val="20"/>
        </w:rPr>
        <w:t>Updates will be tracked in a Version Control Log using a consistent, two-number versioning schedule. The Version Control Log will include: (1) the version number; (2) the date of the change(s); (3) a description of the change(s); (4) the updated section(s); and (5) the relevant page number(s). For example:</w:t>
      </w:r>
    </w:p>
    <w:p w14:paraId="1B4DAAC1" w14:textId="77777777" w:rsidR="0027596D" w:rsidRPr="004C3837" w:rsidRDefault="0027596D" w:rsidP="004C3837">
      <w:pPr>
        <w:jc w:val="both"/>
        <w:rPr>
          <w:rFonts w:ascii="Aptos" w:hAnsi="Aptos"/>
          <w:color w:val="auto"/>
          <w:sz w:val="20"/>
          <w:szCs w:val="20"/>
        </w:rPr>
      </w:pPr>
    </w:p>
    <w:tbl>
      <w:tblPr>
        <w:tblStyle w:val="TableGrid"/>
        <w:tblW w:w="0" w:type="auto"/>
        <w:tblBorders>
          <w:top w:val="single" w:sz="4" w:space="0" w:color="53585F" w:themeColor="text2"/>
          <w:left w:val="single" w:sz="4" w:space="0" w:color="53585F" w:themeColor="text2"/>
          <w:bottom w:val="single" w:sz="4" w:space="0" w:color="53585F" w:themeColor="text2"/>
          <w:right w:val="single" w:sz="4" w:space="0" w:color="53585F" w:themeColor="text2"/>
          <w:insideH w:val="single" w:sz="4" w:space="0" w:color="53585F" w:themeColor="text2"/>
          <w:insideV w:val="single" w:sz="4" w:space="0" w:color="53585F" w:themeColor="text2"/>
        </w:tblBorders>
        <w:tblLook w:val="04A0" w:firstRow="1" w:lastRow="0" w:firstColumn="1" w:lastColumn="0" w:noHBand="0" w:noVBand="1"/>
      </w:tblPr>
      <w:tblGrid>
        <w:gridCol w:w="985"/>
        <w:gridCol w:w="2070"/>
        <w:gridCol w:w="2790"/>
        <w:gridCol w:w="2340"/>
        <w:gridCol w:w="1885"/>
      </w:tblGrid>
      <w:tr w:rsidR="0027596D" w:rsidRPr="004C3837" w14:paraId="399D203E" w14:textId="77777777" w:rsidTr="005C00A5">
        <w:tc>
          <w:tcPr>
            <w:tcW w:w="985" w:type="dxa"/>
            <w:shd w:val="clear" w:color="auto" w:fill="CCDCDC"/>
          </w:tcPr>
          <w:p w14:paraId="0D9C6471" w14:textId="77777777" w:rsidR="0027596D" w:rsidRPr="004C3837" w:rsidRDefault="0027596D" w:rsidP="004C3837">
            <w:pPr>
              <w:jc w:val="both"/>
              <w:rPr>
                <w:rFonts w:ascii="Aptos" w:hAnsi="Aptos"/>
                <w:b/>
                <w:bCs/>
                <w:color w:val="auto"/>
                <w:sz w:val="20"/>
                <w:szCs w:val="20"/>
              </w:rPr>
            </w:pPr>
            <w:r w:rsidRPr="004C3837">
              <w:rPr>
                <w:rFonts w:ascii="Aptos" w:hAnsi="Aptos"/>
                <w:b/>
                <w:bCs/>
                <w:color w:val="auto"/>
                <w:sz w:val="20"/>
                <w:szCs w:val="20"/>
              </w:rPr>
              <w:t>Version</w:t>
            </w:r>
          </w:p>
        </w:tc>
        <w:tc>
          <w:tcPr>
            <w:tcW w:w="2070" w:type="dxa"/>
            <w:shd w:val="clear" w:color="auto" w:fill="CCDCDC"/>
          </w:tcPr>
          <w:p w14:paraId="43C5EA9D" w14:textId="77777777" w:rsidR="0027596D" w:rsidRPr="004C3837" w:rsidRDefault="0027596D" w:rsidP="004C3837">
            <w:pPr>
              <w:jc w:val="both"/>
              <w:rPr>
                <w:rFonts w:ascii="Aptos" w:hAnsi="Aptos"/>
                <w:b/>
                <w:bCs/>
                <w:color w:val="auto"/>
                <w:sz w:val="20"/>
                <w:szCs w:val="20"/>
              </w:rPr>
            </w:pPr>
            <w:r w:rsidRPr="004C3837">
              <w:rPr>
                <w:rFonts w:ascii="Aptos" w:hAnsi="Aptos"/>
                <w:b/>
                <w:bCs/>
                <w:color w:val="auto"/>
                <w:sz w:val="20"/>
                <w:szCs w:val="20"/>
              </w:rPr>
              <w:t>Date of Change(s)</w:t>
            </w:r>
          </w:p>
        </w:tc>
        <w:tc>
          <w:tcPr>
            <w:tcW w:w="2790" w:type="dxa"/>
            <w:shd w:val="clear" w:color="auto" w:fill="CCDCDC"/>
          </w:tcPr>
          <w:p w14:paraId="1AC65F48" w14:textId="77777777" w:rsidR="0027596D" w:rsidRPr="004C3837" w:rsidRDefault="0027596D" w:rsidP="004C3837">
            <w:pPr>
              <w:jc w:val="both"/>
              <w:rPr>
                <w:rFonts w:ascii="Aptos" w:hAnsi="Aptos"/>
                <w:b/>
                <w:bCs/>
                <w:color w:val="auto"/>
                <w:sz w:val="20"/>
                <w:szCs w:val="20"/>
              </w:rPr>
            </w:pPr>
            <w:r w:rsidRPr="004C3837">
              <w:rPr>
                <w:rFonts w:ascii="Aptos" w:hAnsi="Aptos"/>
                <w:b/>
                <w:bCs/>
                <w:color w:val="auto"/>
                <w:sz w:val="20"/>
                <w:szCs w:val="20"/>
              </w:rPr>
              <w:t>Description of Change(s)</w:t>
            </w:r>
          </w:p>
        </w:tc>
        <w:tc>
          <w:tcPr>
            <w:tcW w:w="2340" w:type="dxa"/>
            <w:shd w:val="clear" w:color="auto" w:fill="CCDCDC"/>
          </w:tcPr>
          <w:p w14:paraId="47420341" w14:textId="77777777" w:rsidR="0027596D" w:rsidRPr="004C3837" w:rsidRDefault="0027596D" w:rsidP="004C3837">
            <w:pPr>
              <w:jc w:val="both"/>
              <w:rPr>
                <w:rFonts w:ascii="Aptos" w:hAnsi="Aptos"/>
                <w:b/>
                <w:bCs/>
                <w:color w:val="auto"/>
                <w:sz w:val="20"/>
                <w:szCs w:val="20"/>
              </w:rPr>
            </w:pPr>
            <w:r w:rsidRPr="004C3837">
              <w:rPr>
                <w:rFonts w:ascii="Aptos" w:hAnsi="Aptos"/>
                <w:b/>
                <w:bCs/>
                <w:color w:val="auto"/>
                <w:sz w:val="20"/>
                <w:szCs w:val="20"/>
              </w:rPr>
              <w:t>Relevant Section(s)</w:t>
            </w:r>
          </w:p>
        </w:tc>
        <w:tc>
          <w:tcPr>
            <w:tcW w:w="1885" w:type="dxa"/>
            <w:shd w:val="clear" w:color="auto" w:fill="CCDCDC"/>
          </w:tcPr>
          <w:p w14:paraId="4A83B3FF" w14:textId="77777777" w:rsidR="0027596D" w:rsidRPr="004C3837" w:rsidRDefault="0027596D" w:rsidP="004C3837">
            <w:pPr>
              <w:jc w:val="both"/>
              <w:rPr>
                <w:rFonts w:ascii="Aptos" w:hAnsi="Aptos"/>
                <w:b/>
                <w:bCs/>
                <w:color w:val="auto"/>
                <w:sz w:val="20"/>
                <w:szCs w:val="20"/>
              </w:rPr>
            </w:pPr>
            <w:r w:rsidRPr="004C3837">
              <w:rPr>
                <w:rFonts w:ascii="Aptos" w:hAnsi="Aptos"/>
                <w:b/>
                <w:bCs/>
                <w:color w:val="auto"/>
                <w:sz w:val="20"/>
                <w:szCs w:val="20"/>
              </w:rPr>
              <w:t>Page Number(s)</w:t>
            </w:r>
          </w:p>
        </w:tc>
      </w:tr>
      <w:tr w:rsidR="0027596D" w:rsidRPr="004C3837" w14:paraId="1A1B453C" w14:textId="77777777" w:rsidTr="005C00A5">
        <w:tc>
          <w:tcPr>
            <w:tcW w:w="985" w:type="dxa"/>
          </w:tcPr>
          <w:p w14:paraId="5BEAC5DC" w14:textId="77777777" w:rsidR="0027596D" w:rsidRPr="004C3837" w:rsidRDefault="0027596D" w:rsidP="004C3837">
            <w:pPr>
              <w:jc w:val="both"/>
              <w:rPr>
                <w:rFonts w:ascii="Aptos" w:hAnsi="Aptos"/>
                <w:color w:val="auto"/>
                <w:sz w:val="20"/>
                <w:szCs w:val="20"/>
              </w:rPr>
            </w:pPr>
            <w:r w:rsidRPr="004C3837">
              <w:rPr>
                <w:rFonts w:ascii="Aptos" w:hAnsi="Aptos"/>
                <w:color w:val="auto"/>
                <w:sz w:val="20"/>
                <w:szCs w:val="20"/>
              </w:rPr>
              <w:t>1.0</w:t>
            </w:r>
          </w:p>
        </w:tc>
        <w:tc>
          <w:tcPr>
            <w:tcW w:w="2070" w:type="dxa"/>
          </w:tcPr>
          <w:p w14:paraId="58B572DF" w14:textId="77777777" w:rsidR="0027596D" w:rsidRPr="004C3837" w:rsidRDefault="0027596D" w:rsidP="004C3837">
            <w:pPr>
              <w:jc w:val="both"/>
              <w:rPr>
                <w:rFonts w:ascii="Aptos" w:hAnsi="Aptos"/>
                <w:color w:val="auto"/>
                <w:sz w:val="20"/>
                <w:szCs w:val="20"/>
              </w:rPr>
            </w:pPr>
            <w:r w:rsidRPr="004C3837">
              <w:rPr>
                <w:rFonts w:ascii="Aptos" w:hAnsi="Aptos"/>
                <w:color w:val="auto"/>
                <w:sz w:val="20"/>
                <w:szCs w:val="20"/>
              </w:rPr>
              <w:t>XX/XX/XXX</w:t>
            </w:r>
          </w:p>
        </w:tc>
        <w:tc>
          <w:tcPr>
            <w:tcW w:w="2790" w:type="dxa"/>
          </w:tcPr>
          <w:p w14:paraId="4404A8B5" w14:textId="77777777" w:rsidR="0027596D" w:rsidRPr="004C3837" w:rsidRDefault="0027596D" w:rsidP="004C3837">
            <w:pPr>
              <w:jc w:val="both"/>
              <w:rPr>
                <w:rFonts w:ascii="Aptos" w:hAnsi="Aptos"/>
                <w:color w:val="auto"/>
                <w:sz w:val="20"/>
                <w:szCs w:val="20"/>
              </w:rPr>
            </w:pPr>
            <w:r w:rsidRPr="004C3837">
              <w:rPr>
                <w:rFonts w:ascii="Aptos" w:hAnsi="Aptos"/>
                <w:color w:val="auto"/>
                <w:sz w:val="20"/>
                <w:szCs w:val="20"/>
              </w:rPr>
              <w:t>[Change]</w:t>
            </w:r>
          </w:p>
        </w:tc>
        <w:tc>
          <w:tcPr>
            <w:tcW w:w="2340" w:type="dxa"/>
          </w:tcPr>
          <w:p w14:paraId="01C8FD7A" w14:textId="77777777" w:rsidR="0027596D" w:rsidRPr="004C3837" w:rsidRDefault="0027596D" w:rsidP="004C3837">
            <w:pPr>
              <w:jc w:val="both"/>
              <w:rPr>
                <w:rFonts w:ascii="Aptos" w:hAnsi="Aptos"/>
                <w:color w:val="auto"/>
                <w:sz w:val="20"/>
                <w:szCs w:val="20"/>
              </w:rPr>
            </w:pPr>
            <w:r w:rsidRPr="004C3837">
              <w:rPr>
                <w:rFonts w:ascii="Aptos" w:hAnsi="Aptos"/>
                <w:color w:val="auto"/>
                <w:sz w:val="20"/>
                <w:szCs w:val="20"/>
              </w:rPr>
              <w:t>[Section]</w:t>
            </w:r>
          </w:p>
        </w:tc>
        <w:tc>
          <w:tcPr>
            <w:tcW w:w="1885" w:type="dxa"/>
          </w:tcPr>
          <w:p w14:paraId="16B0DD02" w14:textId="77777777" w:rsidR="0027596D" w:rsidRPr="004C3837" w:rsidRDefault="0027596D" w:rsidP="004C3837">
            <w:pPr>
              <w:jc w:val="both"/>
              <w:rPr>
                <w:rFonts w:ascii="Aptos" w:hAnsi="Aptos"/>
                <w:color w:val="auto"/>
                <w:sz w:val="20"/>
                <w:szCs w:val="20"/>
              </w:rPr>
            </w:pPr>
          </w:p>
        </w:tc>
      </w:tr>
    </w:tbl>
    <w:p w14:paraId="233BDF6C" w14:textId="77777777" w:rsidR="0027596D" w:rsidRPr="004C3837" w:rsidRDefault="0027596D" w:rsidP="004C3837">
      <w:pPr>
        <w:jc w:val="both"/>
        <w:rPr>
          <w:rFonts w:ascii="Aptos" w:hAnsi="Aptos"/>
          <w:color w:val="auto"/>
          <w:sz w:val="20"/>
          <w:szCs w:val="20"/>
        </w:rPr>
      </w:pPr>
    </w:p>
    <w:p w14:paraId="4AF6F6CB" w14:textId="77777777" w:rsidR="0027596D" w:rsidRPr="004C3837" w:rsidRDefault="0027596D" w:rsidP="004C3837">
      <w:pPr>
        <w:jc w:val="both"/>
        <w:rPr>
          <w:rFonts w:ascii="Aptos" w:hAnsi="Aptos"/>
          <w:color w:val="auto"/>
          <w:sz w:val="20"/>
          <w:szCs w:val="20"/>
        </w:rPr>
      </w:pPr>
      <w:r w:rsidRPr="004C3837">
        <w:rPr>
          <w:rFonts w:ascii="Aptos" w:hAnsi="Aptos"/>
          <w:color w:val="auto"/>
          <w:sz w:val="20"/>
          <w:szCs w:val="20"/>
        </w:rPr>
        <w:t xml:space="preserve">General comments and change requests should be sent to </w:t>
      </w:r>
      <w:hyperlink r:id="rId13" w:history="1">
        <w:r w:rsidRPr="004C3837">
          <w:rPr>
            <w:rStyle w:val="Hyperlink"/>
            <w:rFonts w:ascii="Aptos" w:hAnsi="Aptos"/>
            <w:sz w:val="20"/>
            <w:szCs w:val="20"/>
          </w:rPr>
          <w:t>Secretariat@cyberriskinstitute.org</w:t>
        </w:r>
      </w:hyperlink>
      <w:r w:rsidRPr="004C3837">
        <w:rPr>
          <w:rFonts w:ascii="Aptos" w:hAnsi="Aptos"/>
          <w:color w:val="auto"/>
          <w:sz w:val="20"/>
          <w:szCs w:val="20"/>
        </w:rPr>
        <w:t xml:space="preserve"> and will be reviewed at least semi-annually.  </w:t>
      </w:r>
    </w:p>
    <w:p w14:paraId="7D1CF9BC" w14:textId="4E5D5D78" w:rsidR="0027596D" w:rsidRDefault="0027596D">
      <w:pPr>
        <w:rPr>
          <w:rFonts w:ascii="Aptos" w:hAnsi="Aptos"/>
          <w:color w:val="auto"/>
        </w:rPr>
      </w:pPr>
      <w:r>
        <w:rPr>
          <w:rFonts w:ascii="Aptos" w:hAnsi="Aptos"/>
          <w:color w:val="auto"/>
        </w:rPr>
        <w:br w:type="page"/>
      </w:r>
    </w:p>
    <w:p w14:paraId="04AF3289"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9" w:name="_Toc214874754"/>
      <w:r w:rsidRPr="00963E47">
        <w:rPr>
          <w:rFonts w:ascii="Aptos" w:eastAsia="Aptos" w:hAnsi="Aptos" w:cs="Times New Roman"/>
          <w:b/>
          <w:bCs/>
          <w:noProof/>
          <w:color w:val="35256B"/>
          <w:kern w:val="2"/>
          <w:sz w:val="24"/>
          <w14:ligatures w14:val="standardContextual"/>
        </w:rPr>
        <w:lastRenderedPageBreak/>
        <w:t>GOVERN / Establishing Key Policies &amp; Processes / Legal and Regulatory Compliance</w:t>
      </w:r>
      <w:bookmarkEnd w:id="9"/>
      <w:r w:rsidRPr="00963E47">
        <w:rPr>
          <w:rFonts w:ascii="Aptos" w:eastAsia="Aptos" w:hAnsi="Aptos" w:cs="Times New Roman"/>
          <w:b/>
          <w:bCs/>
          <w:noProof/>
          <w:color w:val="35256B"/>
          <w:kern w:val="2"/>
          <w:sz w:val="24"/>
          <w14:ligatures w14:val="standardContextual"/>
        </w:rPr>
        <w:t xml:space="preserve"> </w:t>
      </w:r>
    </w:p>
    <w:p w14:paraId="503269E4"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39152B8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7C34338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6C5358A0" w14:textId="77777777" w:rsidTr="005C00A5">
        <w:tc>
          <w:tcPr>
            <w:tcW w:w="1170" w:type="dxa"/>
          </w:tcPr>
          <w:p w14:paraId="79AADA6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2A89792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76F9E85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3EC6E0B3" w14:textId="77777777" w:rsidTr="005C00A5">
        <w:tc>
          <w:tcPr>
            <w:tcW w:w="1170" w:type="dxa"/>
          </w:tcPr>
          <w:p w14:paraId="547BD84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GV-1.1.1</w:t>
            </w:r>
          </w:p>
        </w:tc>
        <w:tc>
          <w:tcPr>
            <w:tcW w:w="2160" w:type="dxa"/>
          </w:tcPr>
          <w:p w14:paraId="2E23FF4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Legal, Regulatory, and Policy Integration</w:t>
            </w:r>
          </w:p>
        </w:tc>
        <w:tc>
          <w:tcPr>
            <w:tcW w:w="6740" w:type="dxa"/>
          </w:tcPr>
          <w:p w14:paraId="3604C2BF" w14:textId="73117F53"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identifies, monitors, and integrates applicable laws, regulations, contractual obligations, and sector requirements into policies, procedures, and operations governing AI. This includes updating governance artifacts</w:t>
            </w:r>
            <w:r w:rsidR="00972E4E">
              <w:rPr>
                <w:rFonts w:ascii="Aptos" w:hAnsi="Aptos" w:cs="Times New Roman"/>
                <w:noProof/>
                <w:color w:val="000000"/>
                <w:sz w:val="20"/>
                <w:szCs w:val="20"/>
              </w:rPr>
              <w:t xml:space="preserve"> and</w:t>
            </w:r>
            <w:r w:rsidRPr="00963E47">
              <w:rPr>
                <w:rFonts w:ascii="Aptos" w:hAnsi="Aptos" w:cs="Times New Roman"/>
                <w:noProof/>
                <w:color w:val="000000"/>
                <w:sz w:val="20"/>
                <w:szCs w:val="20"/>
              </w:rPr>
              <w:t xml:space="preserve"> aligning operational practices as requirements evolve.</w:t>
            </w:r>
          </w:p>
          <w:p w14:paraId="6FAFFA91" w14:textId="77777777" w:rsidR="00963E47" w:rsidRPr="00963E47" w:rsidRDefault="00963E47" w:rsidP="004C3837">
            <w:pPr>
              <w:keepNext/>
              <w:rPr>
                <w:rFonts w:ascii="Aptos" w:hAnsi="Aptos" w:cs="Times New Roman"/>
                <w:b/>
                <w:bCs/>
                <w:color w:val="000000"/>
                <w:sz w:val="20"/>
                <w:szCs w:val="20"/>
              </w:rPr>
            </w:pPr>
          </w:p>
          <w:p w14:paraId="4D2C7D11" w14:textId="77777777" w:rsidR="00963E47" w:rsidRPr="00963E47" w:rsidRDefault="00963E47" w:rsidP="004C3837">
            <w:pPr>
              <w:keepNext/>
              <w:rPr>
                <w:rFonts w:ascii="Aptos" w:hAnsi="Aptos" w:cs="Times New Roman"/>
                <w:b/>
                <w:bCs/>
                <w:color w:val="000000"/>
                <w:sz w:val="20"/>
                <w:szCs w:val="20"/>
              </w:rPr>
            </w:pPr>
            <w:hyperlink r:id="rId14" w:anchor="govern-1-1" w:history="1">
              <w:r w:rsidRPr="00963E47">
                <w:rPr>
                  <w:rFonts w:ascii="Aptos" w:hAnsi="Aptos" w:cs="Times New Roman"/>
                  <w:color w:val="000000"/>
                  <w:sz w:val="20"/>
                  <w:szCs w:val="20"/>
                  <w:u w:val="single"/>
                </w:rPr>
                <w:t>Link to NIST AI RMF Playbook</w:t>
              </w:r>
            </w:hyperlink>
          </w:p>
        </w:tc>
      </w:tr>
    </w:tbl>
    <w:p w14:paraId="6EA6FF9A"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7A8A937"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3C70569B"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3935A5F5" w14:textId="77777777" w:rsidTr="005C00A5">
        <w:trPr>
          <w:tblHeader/>
        </w:trPr>
        <w:tc>
          <w:tcPr>
            <w:tcW w:w="2160" w:type="dxa"/>
            <w:shd w:val="clear" w:color="auto" w:fill="CCDCDC"/>
            <w:vAlign w:val="center"/>
          </w:tcPr>
          <w:p w14:paraId="3CB757EB"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60B4A384"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0CF1F44B"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240AA7C1" w14:textId="77777777" w:rsidTr="005C00A5">
        <w:tc>
          <w:tcPr>
            <w:tcW w:w="2160" w:type="dxa"/>
            <w:shd w:val="clear" w:color="auto" w:fill="CCDCDC"/>
          </w:tcPr>
          <w:p w14:paraId="5A2C712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75FD09F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774B9D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initial stage, organizations are beginning to recognize the importance of monitoring relevant laws, regulations, and requirements related to AI. However, the process is likely to be informal, ad-hoc, and lacking systematic implementation.</w:t>
            </w:r>
          </w:p>
        </w:tc>
      </w:tr>
      <w:tr w:rsidR="00963E47" w:rsidRPr="00963E47" w14:paraId="2A428903" w14:textId="77777777" w:rsidTr="005C00A5">
        <w:tc>
          <w:tcPr>
            <w:tcW w:w="2160" w:type="dxa"/>
            <w:shd w:val="clear" w:color="auto" w:fill="CCDCDC"/>
          </w:tcPr>
          <w:p w14:paraId="47D25C7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6C33559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868744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minimal stage have established a basic process for tracking some relevant AI-related laws and regulations. However, the approach may not be comprehensive, consistently applied, or well-documented.</w:t>
            </w:r>
          </w:p>
        </w:tc>
      </w:tr>
      <w:tr w:rsidR="00963E47" w:rsidRPr="00963E47" w14:paraId="3157556A" w14:textId="77777777" w:rsidTr="005C00A5">
        <w:tc>
          <w:tcPr>
            <w:tcW w:w="2160" w:type="dxa"/>
            <w:shd w:val="clear" w:color="auto" w:fill="CCDCDC"/>
          </w:tcPr>
          <w:p w14:paraId="558F062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6AEC5D6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8C965E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have a well-defined and documented process for actively monitoring and maintaining awareness of AI-related legal and regulatory requirements. They likely utilize technological tools or legal expertise to systematically track, update, and apply these requirements.</w:t>
            </w:r>
          </w:p>
        </w:tc>
      </w:tr>
      <w:tr w:rsidR="00963E47" w:rsidRPr="00963E47" w14:paraId="119AEAE0" w14:textId="77777777" w:rsidTr="005C00A5">
        <w:tc>
          <w:tcPr>
            <w:tcW w:w="2160" w:type="dxa"/>
            <w:shd w:val="clear" w:color="auto" w:fill="CCDCDC"/>
          </w:tcPr>
          <w:p w14:paraId="7E749F1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5B074E0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249505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fully implemented, automated, or integrated processes for ensuring constant awareness of AI-related legal and regulatory changes. These processes are deeply embedded into their operations and decision-making across various functions.</w:t>
            </w:r>
          </w:p>
        </w:tc>
      </w:tr>
    </w:tbl>
    <w:p w14:paraId="7F3156BB"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5D100AAE" w14:textId="77777777" w:rsidTr="005C00A5">
        <w:tc>
          <w:tcPr>
            <w:tcW w:w="2250" w:type="dxa"/>
          </w:tcPr>
          <w:p w14:paraId="22D94F7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05C9D10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2A64189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2AB210FA" w14:textId="77777777" w:rsidTr="005C00A5">
        <w:tc>
          <w:tcPr>
            <w:tcW w:w="2250" w:type="dxa"/>
          </w:tcPr>
          <w:p w14:paraId="4B76AD6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22E6E30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Regulatory Monitoring Failure</w:t>
            </w:r>
          </w:p>
        </w:tc>
        <w:tc>
          <w:tcPr>
            <w:tcW w:w="5300" w:type="dxa"/>
          </w:tcPr>
          <w:p w14:paraId="0E9FFCC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laws, regulations, policies, and other obligations are not monitored effectively or adhered to</w:t>
            </w:r>
          </w:p>
        </w:tc>
      </w:tr>
    </w:tbl>
    <w:p w14:paraId="0C420BC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CC9C92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44368F1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C1B7E5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a process to actively monitor and review relevant laws, regulations, contractual obligations, and sector requirements impacting AI on a regular basis. Assign responsibility to a specific team or individual, such as a legal or compliance department, to track updates and communicate them to relevant stakeholders.</w:t>
      </w:r>
    </w:p>
    <w:p w14:paraId="45CA3FB8"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7AFB629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Participate in industry forums, subscribe to regulatory alerts, and engage with legal experts to stay informed of emerging developments in the AI regulatory landscape. Ensure that organizational policies and operations are aligned with these requirements, and incorporate safeguards to prevent the use of AI in ways that could violate legal or organizational standards. Restrict activities that may lead to unfair or deceptive practices, and enforce governance around AI deployment.</w:t>
      </w:r>
    </w:p>
    <w:p w14:paraId="5ADB8CD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lastRenderedPageBreak/>
        <w:t xml:space="preserve">Example Controls and Evidence: </w:t>
      </w:r>
    </w:p>
    <w:p w14:paraId="33B834D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CD09A5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Regulatory Monitoring Program</w:t>
      </w:r>
    </w:p>
    <w:p w14:paraId="29BDBAD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Create a cross-functional regulatory monitoring team (legal, compliance, privacy, security, and AI/ML leads) responsible for identifying, assessing, and communicating new or changing laws, regulations, and sector guidance that affect AI systems. This team should maintain a documented risk register and escalation process for items requiring organizational action.</w:t>
      </w:r>
    </w:p>
    <w:p w14:paraId="6EB5D5F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0DF763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Charter or terms of reference for the regulatory monitoring team.</w:t>
      </w:r>
    </w:p>
    <w:p w14:paraId="27C63EF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agendas, and action item logs showing regulatory reviews.</w:t>
      </w:r>
    </w:p>
    <w:p w14:paraId="7B6B868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AI regulatory risk register with assessments and assigned owners.</w:t>
      </w:r>
    </w:p>
    <w:p w14:paraId="6714538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Escalation records showing regulatory issues forwarded to senior leadership or the board.</w:t>
      </w:r>
    </w:p>
    <w:p w14:paraId="11D5AA0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CE8A0A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External Intelligence Subscriptions and Alerts</w:t>
      </w:r>
    </w:p>
    <w:p w14:paraId="1368769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Subscribe to and maintain active feeds from regulatory databases, legal alert services, industry associations, and standards bodies to receive timely notifications about relevant legal and sector developments. Assign personnel to triage and summarize alerts for stakeholders.</w:t>
      </w:r>
    </w:p>
    <w:p w14:paraId="299A811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756D0A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Subscription invoices/agreements for legal/regulatory intelligence services (e.g., regulatory databases, industry alerts).</w:t>
      </w:r>
    </w:p>
    <w:p w14:paraId="488E8DB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Alert digest emails or summaries distributed to stakeholders.</w:t>
      </w:r>
    </w:p>
    <w:p w14:paraId="1FDEE45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Logs or trackers showing alerts received and triage actions taken.</w:t>
      </w:r>
    </w:p>
    <w:p w14:paraId="44EBC9E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Assigned roles/responsibilities documentation for alert triage.</w:t>
      </w:r>
    </w:p>
    <w:p w14:paraId="24ADA85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520E4E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Contractual Obligation Management for AI Clauses</w:t>
      </w:r>
    </w:p>
    <w:p w14:paraId="49F9778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a contract review and tracking process focused on AI-specific contractual obligations (e.g., data usage, model performance, audit rights, liability, and regulatory compliance) to ensure contractual commitments are captured, assigned, and monitored.</w:t>
      </w:r>
    </w:p>
    <w:p w14:paraId="026C916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A12D7D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Repository of AI-related contract clauses or redlines and associated metadata.</w:t>
      </w:r>
    </w:p>
    <w:p w14:paraId="5FEF082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Contract obligation register showing AI-specific obligations, owners, and due dates.</w:t>
      </w:r>
    </w:p>
    <w:p w14:paraId="7018C81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Contract review checklist or template that includes AI, privacy, and regulatory items.</w:t>
      </w:r>
    </w:p>
    <w:p w14:paraId="01C0E0D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contract review meetings and sign-offs.</w:t>
      </w:r>
    </w:p>
    <w:p w14:paraId="5F7F554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2F75A3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Policy and Procedure Review Cycle Linked to Regulatory Changes</w:t>
      </w:r>
    </w:p>
    <w:p w14:paraId="564CBD2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documented AI governance policies and procedures with a formal review cycle triggered by regulatory or sector changes; ensure updates are versioned, approved, and communicated to affected teams.</w:t>
      </w:r>
    </w:p>
    <w:p w14:paraId="590184D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A51253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Policy documents with version history and approval signatures.</w:t>
      </w:r>
    </w:p>
    <w:p w14:paraId="060E4A7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showing policy updates mapped to specific regulatory or guidance changes.</w:t>
      </w:r>
    </w:p>
    <w:p w14:paraId="6D4A63C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Communication records (email, intranet posts, training) announcing policy revisions.</w:t>
      </w:r>
    </w:p>
    <w:p w14:paraId="59E2D93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completion reports showing staff acknowledged updated policies.</w:t>
      </w:r>
    </w:p>
    <w:p w14:paraId="6EB483B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E2E418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Regulatory Impact Assessments and Control Implementation Plans</w:t>
      </w:r>
    </w:p>
    <w:p w14:paraId="6F93978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For material regulatory changes, perform documented regulatory impact assessments (RIAs) for affected AI systems that identify gaps, remediation actions, timelines, and resource requirements; track remediation to closure.</w:t>
      </w:r>
    </w:p>
    <w:p w14:paraId="0C29E41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E1F7D7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Completed regulatory impact assessment reports for specific regulations.</w:t>
      </w:r>
    </w:p>
    <w:p w14:paraId="591C88B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Remediation/action plans with timelines, owners, and status updates.</w:t>
      </w:r>
    </w:p>
    <w:p w14:paraId="36B6539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Project management artifacts (Gantt charts, tickets) tracking remediation tasks.</w:t>
      </w:r>
    </w:p>
    <w:p w14:paraId="0BB2742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Validation evidence showing implemented changes (test reports, configuration baselines).</w:t>
      </w:r>
    </w:p>
    <w:p w14:paraId="581F700F"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491AD281"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250A7DA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1E831A8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41672378" w14:textId="77777777" w:rsidTr="005C00A5">
        <w:tc>
          <w:tcPr>
            <w:tcW w:w="1170" w:type="dxa"/>
          </w:tcPr>
          <w:p w14:paraId="269D82F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03B6E48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1A68CC0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0FAFD84F" w14:textId="77777777" w:rsidTr="005C00A5">
        <w:tc>
          <w:tcPr>
            <w:tcW w:w="1170" w:type="dxa"/>
          </w:tcPr>
          <w:p w14:paraId="2CC89C0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GV-1.1.2</w:t>
            </w:r>
          </w:p>
        </w:tc>
        <w:tc>
          <w:tcPr>
            <w:tcW w:w="2160" w:type="dxa"/>
          </w:tcPr>
          <w:p w14:paraId="2716351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Compliance Responsibilities Management</w:t>
            </w:r>
          </w:p>
        </w:tc>
        <w:tc>
          <w:tcPr>
            <w:tcW w:w="6740" w:type="dxa"/>
          </w:tcPr>
          <w:p w14:paraId="19FFCC4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clearly assigns, documents, and regularly validates its compliance responsibilities for AI-related legal, regulatory, contractual requirements, and internal organizational AI policies.</w:t>
            </w:r>
          </w:p>
          <w:p w14:paraId="054CDBF3" w14:textId="77777777" w:rsidR="00963E47" w:rsidRPr="00963E47" w:rsidRDefault="00963E47" w:rsidP="004C3837">
            <w:pPr>
              <w:keepNext/>
              <w:rPr>
                <w:rFonts w:ascii="Aptos" w:hAnsi="Aptos" w:cs="Times New Roman"/>
                <w:b/>
                <w:bCs/>
                <w:color w:val="000000"/>
                <w:sz w:val="20"/>
                <w:szCs w:val="20"/>
              </w:rPr>
            </w:pPr>
          </w:p>
          <w:p w14:paraId="709E9B11" w14:textId="77777777" w:rsidR="00963E47" w:rsidRPr="00963E47" w:rsidRDefault="00963E47" w:rsidP="004C3837">
            <w:pPr>
              <w:keepNext/>
              <w:rPr>
                <w:rFonts w:ascii="Aptos" w:hAnsi="Aptos" w:cs="Times New Roman"/>
                <w:b/>
                <w:bCs/>
                <w:color w:val="000000"/>
                <w:sz w:val="20"/>
                <w:szCs w:val="20"/>
              </w:rPr>
            </w:pPr>
            <w:hyperlink r:id="rId15" w:anchor="govern-1-1" w:history="1">
              <w:r w:rsidRPr="00963E47">
                <w:rPr>
                  <w:rFonts w:ascii="Aptos" w:hAnsi="Aptos" w:cs="Times New Roman"/>
                  <w:color w:val="000000"/>
                  <w:sz w:val="20"/>
                  <w:szCs w:val="20"/>
                  <w:u w:val="single"/>
                </w:rPr>
                <w:t>Link to NIST AI RMF Playbook</w:t>
              </w:r>
            </w:hyperlink>
          </w:p>
        </w:tc>
      </w:tr>
    </w:tbl>
    <w:p w14:paraId="680A0F5C"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4FC3342"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3A4747F7"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1236E9D4" w14:textId="77777777" w:rsidTr="005C00A5">
        <w:trPr>
          <w:tblHeader/>
        </w:trPr>
        <w:tc>
          <w:tcPr>
            <w:tcW w:w="2160" w:type="dxa"/>
            <w:shd w:val="clear" w:color="auto" w:fill="CCDCDC"/>
            <w:vAlign w:val="center"/>
          </w:tcPr>
          <w:p w14:paraId="5BA0922A"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3A144161"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361D0433"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71D4175F" w14:textId="77777777" w:rsidTr="005C00A5">
        <w:tc>
          <w:tcPr>
            <w:tcW w:w="2160" w:type="dxa"/>
            <w:shd w:val="clear" w:color="auto" w:fill="CCDCDC"/>
          </w:tcPr>
          <w:p w14:paraId="5FB5209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42AF172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217B05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initial stage, organizations' responsibilities for compliance are typically assigned in an informal or ad-hoc manner. Documentation and regular validation might not be consistent.</w:t>
            </w:r>
          </w:p>
        </w:tc>
      </w:tr>
      <w:tr w:rsidR="00963E47" w:rsidRPr="00963E47" w14:paraId="0A6B0C77" w14:textId="77777777" w:rsidTr="005C00A5">
        <w:tc>
          <w:tcPr>
            <w:tcW w:w="2160" w:type="dxa"/>
            <w:shd w:val="clear" w:color="auto" w:fill="CCDCDC"/>
          </w:tcPr>
          <w:p w14:paraId="709192B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1BB581D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D420FF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have started to assign and document certain AI compliance responsibilities. However, the process may be incomplete, inconsistently applied, and lack regular validation.</w:t>
            </w:r>
          </w:p>
        </w:tc>
      </w:tr>
      <w:tr w:rsidR="00963E47" w:rsidRPr="00963E47" w14:paraId="517F197A" w14:textId="77777777" w:rsidTr="005C00A5">
        <w:tc>
          <w:tcPr>
            <w:tcW w:w="2160" w:type="dxa"/>
            <w:shd w:val="clear" w:color="auto" w:fill="CCDCDC"/>
          </w:tcPr>
          <w:p w14:paraId="47C9D845"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257A9AE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B95162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evolving stage have comprehensively assigned, documented, and communicated AI compliance responsibilities across relevant functions. They conduct periodic validations to ensure continued accountability and effectiveness.</w:t>
            </w:r>
          </w:p>
        </w:tc>
      </w:tr>
      <w:tr w:rsidR="00963E47" w:rsidRPr="00963E47" w14:paraId="3D024A6D" w14:textId="77777777" w:rsidTr="005C00A5">
        <w:tc>
          <w:tcPr>
            <w:tcW w:w="2160" w:type="dxa"/>
            <w:shd w:val="clear" w:color="auto" w:fill="CCDCDC"/>
          </w:tcPr>
          <w:p w14:paraId="1401325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0CF5F9D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37EA81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assign and document AI compliance responsibilities that are detailed, systematic, and integrated into the organization's overall compliance management framework. A robust validation process ensures consistent adherence and continuous improvement.</w:t>
            </w:r>
          </w:p>
        </w:tc>
      </w:tr>
    </w:tbl>
    <w:p w14:paraId="1BEDFE8F"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16609A27" w14:textId="77777777" w:rsidTr="005C00A5">
        <w:tc>
          <w:tcPr>
            <w:tcW w:w="2250" w:type="dxa"/>
          </w:tcPr>
          <w:p w14:paraId="144B67F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2BDFB15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3FA41FB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01F806D0" w14:textId="77777777" w:rsidTr="005C00A5">
        <w:tc>
          <w:tcPr>
            <w:tcW w:w="2250" w:type="dxa"/>
          </w:tcPr>
          <w:p w14:paraId="13067D4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7B00954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Unclear Compliance Responsibilities</w:t>
            </w:r>
          </w:p>
        </w:tc>
        <w:tc>
          <w:tcPr>
            <w:tcW w:w="5300" w:type="dxa"/>
          </w:tcPr>
          <w:p w14:paraId="606AF2F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Compliance responsibilities for AI laws and other obligations are not clearly assigned or validated</w:t>
            </w:r>
          </w:p>
        </w:tc>
      </w:tr>
    </w:tbl>
    <w:p w14:paraId="232A109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FCA243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28DCB39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5E27EA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Define and document roles and responsibilities to comply with AI-related legal, regulatory, contractual requirements, and internal organizational AI policies. Create a matrix or chart that maps specific compliance tasks to designated individuals or teams, including timelines for completion.</w:t>
      </w:r>
    </w:p>
    <w:p w14:paraId="4D2080A3"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72F3D61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Emphasize the restriction of non-compliant or high-risk AI activities (e.g., assigning oversight roles specifically focused on preventing misuse). Establish accountability mechanisms as new governance practices and controls are implemented.</w:t>
      </w:r>
    </w:p>
    <w:p w14:paraId="0F69FBC4"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6FEC50F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Conduct regular validation of these responsibilities through periodic reviews or audits to ensure that assigned parties fulfill their obligations effectively, including adherence to internal policies. Establish clear communication channels to facilitate collaboration and information sharing among relevant stakeholders. Consider implementing escalation </w:t>
      </w:r>
      <w:r w:rsidRPr="00963E47">
        <w:rPr>
          <w:rFonts w:ascii="Aptos" w:eastAsia="Aptos" w:hAnsi="Aptos" w:cs="Times New Roman"/>
          <w:noProof/>
          <w:color w:val="auto"/>
          <w:kern w:val="2"/>
          <w:sz w:val="20"/>
          <w:szCs w:val="20"/>
          <w14:ligatures w14:val="standardContextual"/>
        </w:rPr>
        <w:lastRenderedPageBreak/>
        <w:t>processes for addressing misuse or non-compliance to help mitigate risks and reinforce commitment to AI  Trustworthy Principles.</w:t>
      </w:r>
    </w:p>
    <w:p w14:paraId="57EAE780"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9BFF65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045A1D1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01B62D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Roles and Responsibilities Matrix (RACI) for AI Compliance</w:t>
      </w:r>
    </w:p>
    <w:p w14:paraId="05AA7C6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a documented RACI (or equivalent) matrix that maps AI-related legal, regulatory, contractual, and internal policy obligations to specific roles or functions (e.g., data owners, legal, privacy, security, AI/ML engineers, business owners). Review and update the matrix at least annually or when organizational changes occur.</w:t>
      </w:r>
    </w:p>
    <w:p w14:paraId="7873A07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6E094C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RACI matrix or responsibility matrix with sign-off from leadership.</w:t>
      </w:r>
    </w:p>
    <w:p w14:paraId="70B9821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 history showing periodic reviews and updates.</w:t>
      </w:r>
    </w:p>
    <w:p w14:paraId="17BFC13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Organizational charts or role descriptions aligning named individuals to RACI entries.</w:t>
      </w:r>
    </w:p>
    <w:p w14:paraId="3263F1F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where RACI changes or assignments were approved.</w:t>
      </w:r>
    </w:p>
    <w:p w14:paraId="3F472152"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6D6194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Documented Ownership and Escalation Procedures</w:t>
      </w:r>
    </w:p>
    <w:p w14:paraId="7E94DED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Define and publish procedures that specify how ownership of compliance obligations is assigned, how owners accept responsibility, and the escalation path for unresolved compliance gaps or incidents. Include SLA (Service Level Agreement) timelines for owner responses.</w:t>
      </w:r>
    </w:p>
    <w:p w14:paraId="30357F0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F55F2F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Published ownership and escalation procedure document.</w:t>
      </w:r>
    </w:p>
    <w:p w14:paraId="6F5626D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owner acknowledgements (e.g., signed statements, email confirmations).</w:t>
      </w:r>
    </w:p>
    <w:p w14:paraId="571D331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Escalation logs showing issues raised, escalated, and resolved.</w:t>
      </w:r>
    </w:p>
    <w:p w14:paraId="163EC91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SLA or response-time metrics and reports demonstrating compliance with timelines.</w:t>
      </w:r>
    </w:p>
    <w:p w14:paraId="01B60E6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052D64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Compliance Responsibility Onboarding and Offboarding Process</w:t>
      </w:r>
    </w:p>
    <w:p w14:paraId="44F3A50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Integrate AI compliance responsibilities into employee onboarding, role changes, and offboarding so that accountability is transferred and documented when personnel or contractors change roles.</w:t>
      </w:r>
    </w:p>
    <w:p w14:paraId="5210089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C256D8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Onboarding/offboarding checklists that include AI compliance handover tasks.</w:t>
      </w:r>
    </w:p>
    <w:p w14:paraId="52E7BF7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Human Resources (HR) or access-management records showing role changes and completed handovers.</w:t>
      </w:r>
    </w:p>
    <w:p w14:paraId="1FAA0A6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Dated acknowledgement forms or training completion records tied to role assignments.</w:t>
      </w:r>
    </w:p>
    <w:p w14:paraId="595D21A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Access change tickets or logs showing transfer of system/contract permissions.</w:t>
      </w:r>
    </w:p>
    <w:p w14:paraId="64DFD0A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954E5EB"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Periodic Validation and Assurance Reviews</w:t>
      </w:r>
    </w:p>
    <w:p w14:paraId="4905523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scheduled validation activities (e.g., internal audits, targeted control testing, compliance assessments) to verify that assigned owners are fulfilling AI compliance responsibilities and that controls are operating effectively. Document findings and remediation.</w:t>
      </w:r>
    </w:p>
    <w:p w14:paraId="6C3107B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000CBB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Internal audit or assessment reports focused on AI compliance roles and controls.</w:t>
      </w:r>
    </w:p>
    <w:p w14:paraId="29952BF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 results and control evidence sample files showing owner activities (e.g., policy reviews, contract checks).</w:t>
      </w:r>
    </w:p>
    <w:p w14:paraId="5AC36FF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Issue logs with remediation plans, owners, and closure evidence.</w:t>
      </w:r>
    </w:p>
    <w:p w14:paraId="16AAAE5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Management responses and board-level briefings on validation outcomes.</w:t>
      </w:r>
    </w:p>
    <w:p w14:paraId="2CEF437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1FC938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Automated Tracking and Compliance Registry</w:t>
      </w:r>
    </w:p>
    <w:p w14:paraId="01B4BE0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a centralized, searchable compliance registry or tool that records AI-related obligations, assigned owners, due dates, status, and evidence attachments; enable automated reminders and periodic owner attestations.</w:t>
      </w:r>
    </w:p>
    <w:p w14:paraId="0DEB8CB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082A88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Screenshots or exports from the compliance registry showing obligations, owners, and statuses.</w:t>
      </w:r>
    </w:p>
    <w:p w14:paraId="4F87C4D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Automated reminder logs and owner attestation records (timestamped).</w:t>
      </w:r>
    </w:p>
    <w:p w14:paraId="269753B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Linked evidence attachments (policy approvals, contract excerpts) accessible from the registry.</w:t>
      </w:r>
    </w:p>
    <w:p w14:paraId="16740EC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demonstrating overdue items, resolution history, and metrics tracked over time.</w:t>
      </w:r>
    </w:p>
    <w:p w14:paraId="7D683DC3"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23164EA3"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29D3932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34C184D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76642350" w14:textId="77777777" w:rsidTr="005C00A5">
        <w:tc>
          <w:tcPr>
            <w:tcW w:w="1170" w:type="dxa"/>
          </w:tcPr>
          <w:p w14:paraId="7F11994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6132E21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78191C6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061E6FE2" w14:textId="77777777" w:rsidTr="005C00A5">
        <w:tc>
          <w:tcPr>
            <w:tcW w:w="1170" w:type="dxa"/>
          </w:tcPr>
          <w:p w14:paraId="7AABAA5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GV-1.1.3</w:t>
            </w:r>
          </w:p>
        </w:tc>
        <w:tc>
          <w:tcPr>
            <w:tcW w:w="2160" w:type="dxa"/>
          </w:tcPr>
          <w:p w14:paraId="26B3F78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Compliance Validation Procedures</w:t>
            </w:r>
          </w:p>
        </w:tc>
        <w:tc>
          <w:tcPr>
            <w:tcW w:w="6740" w:type="dxa"/>
          </w:tcPr>
          <w:p w14:paraId="612B90A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establishes and implements procedures to validate AI system compliance with applicable laws, regulations, and organizational policies that incorporate relevant industry standards and guidance. This includes routine audits, impact assessments, risk management activities, and documentation reviews at key stages of the AI lifecycle, with mechanisms to incorporate lessons learned and feedback into ongoing process improvements.</w:t>
            </w:r>
          </w:p>
          <w:p w14:paraId="5F58CFEC" w14:textId="77777777" w:rsidR="00963E47" w:rsidRPr="00963E47" w:rsidRDefault="00963E47" w:rsidP="004C3837">
            <w:pPr>
              <w:keepNext/>
              <w:rPr>
                <w:rFonts w:ascii="Aptos" w:hAnsi="Aptos" w:cs="Times New Roman"/>
                <w:b/>
                <w:bCs/>
                <w:color w:val="000000"/>
                <w:sz w:val="20"/>
                <w:szCs w:val="20"/>
              </w:rPr>
            </w:pPr>
          </w:p>
          <w:p w14:paraId="6D2D8399" w14:textId="77777777" w:rsidR="00963E47" w:rsidRPr="00963E47" w:rsidRDefault="00963E47" w:rsidP="004C3837">
            <w:pPr>
              <w:keepNext/>
              <w:rPr>
                <w:rFonts w:ascii="Aptos" w:hAnsi="Aptos" w:cs="Times New Roman"/>
                <w:b/>
                <w:bCs/>
                <w:color w:val="000000"/>
                <w:sz w:val="20"/>
                <w:szCs w:val="20"/>
              </w:rPr>
            </w:pPr>
            <w:hyperlink r:id="rId16" w:anchor="govern-1-1" w:history="1">
              <w:r w:rsidRPr="00963E47">
                <w:rPr>
                  <w:rFonts w:ascii="Aptos" w:hAnsi="Aptos" w:cs="Times New Roman"/>
                  <w:color w:val="000000"/>
                  <w:sz w:val="20"/>
                  <w:szCs w:val="20"/>
                  <w:u w:val="single"/>
                </w:rPr>
                <w:t>Link to NIST AI RMF Playbook</w:t>
              </w:r>
            </w:hyperlink>
          </w:p>
        </w:tc>
      </w:tr>
    </w:tbl>
    <w:p w14:paraId="58B6E8C6"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C0CCC31"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120272F5"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10220A8F" w14:textId="77777777" w:rsidTr="005C00A5">
        <w:trPr>
          <w:tblHeader/>
        </w:trPr>
        <w:tc>
          <w:tcPr>
            <w:tcW w:w="2160" w:type="dxa"/>
            <w:shd w:val="clear" w:color="auto" w:fill="CCDCDC"/>
            <w:vAlign w:val="center"/>
          </w:tcPr>
          <w:p w14:paraId="0300DDED"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534E740F"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03C74EAE"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2FACF317" w14:textId="77777777" w:rsidTr="005C00A5">
        <w:tc>
          <w:tcPr>
            <w:tcW w:w="2160" w:type="dxa"/>
            <w:shd w:val="clear" w:color="auto" w:fill="CCDCDC"/>
          </w:tcPr>
          <w:p w14:paraId="04FBBCE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488AE98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42D79F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1D12140A" w14:textId="77777777" w:rsidTr="005C00A5">
        <w:tc>
          <w:tcPr>
            <w:tcW w:w="2160" w:type="dxa"/>
            <w:shd w:val="clear" w:color="auto" w:fill="CCDCDC"/>
          </w:tcPr>
          <w:p w14:paraId="18F6849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4449300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6C5607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conduct basic validation procedures for AI compliance, primarily in non-critical applications.</w:t>
            </w:r>
          </w:p>
        </w:tc>
      </w:tr>
      <w:tr w:rsidR="00963E47" w:rsidRPr="00963E47" w14:paraId="6BA5F680" w14:textId="77777777" w:rsidTr="005C00A5">
        <w:tc>
          <w:tcPr>
            <w:tcW w:w="2160" w:type="dxa"/>
            <w:shd w:val="clear" w:color="auto" w:fill="CCDCDC"/>
          </w:tcPr>
          <w:p w14:paraId="59978B9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25D1FB8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3ABAA0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have established procedures to validate AI system compliance with applicable requirements and standards. This includes conducting audits, impact assessments, and documentation reviews at important AI lifecycle stages, although the process may not yet be fully mature or consistently applied across all AI systems.</w:t>
            </w:r>
          </w:p>
        </w:tc>
      </w:tr>
      <w:tr w:rsidR="00963E47" w:rsidRPr="00963E47" w14:paraId="06D5FEB7" w14:textId="77777777" w:rsidTr="005C00A5">
        <w:tc>
          <w:tcPr>
            <w:tcW w:w="2160" w:type="dxa"/>
            <w:shd w:val="clear" w:color="auto" w:fill="CCDCDC"/>
          </w:tcPr>
          <w:p w14:paraId="58EE7C4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5023236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F11542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robust, well-documented, and consistently implemented procedures for validating AI system compliance. Comprehensive audits, impact assessments, risk management activities, and documentation reviews are systematically conducted at all critical stages of the AI lifecycle and are fully integrated into the organization's overall compliance and risk management frameworks.</w:t>
            </w:r>
          </w:p>
        </w:tc>
      </w:tr>
    </w:tbl>
    <w:p w14:paraId="5A995BEA"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08856347" w14:textId="77777777" w:rsidTr="005C00A5">
        <w:tc>
          <w:tcPr>
            <w:tcW w:w="2250" w:type="dxa"/>
          </w:tcPr>
          <w:p w14:paraId="48680B0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5A7B0DE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3DD0A63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331760FC" w14:textId="77777777" w:rsidTr="005C00A5">
        <w:tc>
          <w:tcPr>
            <w:tcW w:w="2250" w:type="dxa"/>
          </w:tcPr>
          <w:p w14:paraId="003E3F5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6F11787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Insufficient Compliance Validation</w:t>
            </w:r>
          </w:p>
        </w:tc>
        <w:tc>
          <w:tcPr>
            <w:tcW w:w="5300" w:type="dxa"/>
          </w:tcPr>
          <w:p w14:paraId="0C47A1D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system compliance validation procedures are insufficient or not implemented</w:t>
            </w:r>
          </w:p>
        </w:tc>
      </w:tr>
    </w:tbl>
    <w:p w14:paraId="22F074C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DBC7F8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4374852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825FF5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and implement a structured process to validate AI system compliance with applicable laws, regulations, and organizational policies. Incorporate relevant industry standards and guidance, such as those related to data privacy, security, and nondiscrimination.</w:t>
      </w:r>
    </w:p>
    <w:p w14:paraId="14C281D5"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4FB833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Ensure key stages of the AI lifecycle—such as design, development, testing, and deployment—include routine audits, impact assessments, and risk management activities to identify and mitigate potential compliance issues. Maintain </w:t>
      </w:r>
      <w:r w:rsidRPr="00963E47">
        <w:rPr>
          <w:rFonts w:ascii="Aptos" w:eastAsia="Aptos" w:hAnsi="Aptos" w:cs="Times New Roman"/>
          <w:noProof/>
          <w:color w:val="auto"/>
          <w:kern w:val="2"/>
          <w:sz w:val="20"/>
          <w:szCs w:val="20"/>
          <w14:ligatures w14:val="standardContextual"/>
        </w:rPr>
        <w:lastRenderedPageBreak/>
        <w:t>documentation of these activities and review it regularly to ensure compliance validation is conducted consistently and effectively. Ensure mechanisms are in place to incorporate lessons learned and feedback into ongoing process improvements.</w:t>
      </w:r>
    </w:p>
    <w:p w14:paraId="3FE5058F"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013041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049172C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AEBFBA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Lifecycle Compliance Review Process</w:t>
      </w:r>
    </w:p>
    <w:p w14:paraId="2A220F9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Define and enforce a documented compliance review process that requires legal, privacy, and security checks at key AI lifecycle stages (requirements, design, development, testing, deployment, monitoring, decommissioning). Each stage must produce sign-off artifacts before proceeding.</w:t>
      </w:r>
    </w:p>
    <w:p w14:paraId="77BC9FC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A4A1DD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Stage-gate checklists and sign-off forms with timestamps and approver names.</w:t>
      </w:r>
    </w:p>
    <w:p w14:paraId="2867697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Workflow records from the development pipeline showing halted progression until sign-offs completed.</w:t>
      </w:r>
    </w:p>
    <w:p w14:paraId="2246DCF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and documented remediation items tied to specific lifecycle stages.</w:t>
      </w:r>
    </w:p>
    <w:p w14:paraId="1396DF0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Versioned design/specification documents annotated with compliance review comments.</w:t>
      </w:r>
    </w:p>
    <w:p w14:paraId="1DF78C8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CD5ECBB"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 Internal and External Audits</w:t>
      </w:r>
    </w:p>
    <w:p w14:paraId="75E7A0C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Schedule and perform periodic internal audits and, where appropriate, independent external audits that assess AI systems’ adherence to laws, regulations, contracts, and organizational policies. Ensure audit findings feed into remediation plans.</w:t>
      </w:r>
    </w:p>
    <w:p w14:paraId="521063F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9D6C01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Internal audit reports and executive summaries focused on AI compliance.</w:t>
      </w:r>
    </w:p>
    <w:p w14:paraId="1E93D3E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External audit/assessment reports (third-party assessors) and attestation letters.</w:t>
      </w:r>
    </w:p>
    <w:p w14:paraId="2835ECF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Remediation plans with owners, timelines, and closure evidence mapped to audit findings.</w:t>
      </w:r>
    </w:p>
    <w:p w14:paraId="37D0663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Board or senior management briefings summarizing audit results and status.</w:t>
      </w:r>
    </w:p>
    <w:p w14:paraId="50EF404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582936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Regulatory and Privacy Impact Assessments (RIAs/PIAs)</w:t>
      </w:r>
    </w:p>
    <w:p w14:paraId="7D5DB08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Require documented RIAs and PIAs for new or materially changed AI systems to identify legal, privacy, fairness, safety, and other compliance risks, and mandate mitigation plans before deployment.</w:t>
      </w:r>
    </w:p>
    <w:p w14:paraId="0E4B252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3DC526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Completed RIA/PIA assessment documents with risk ratings and mitigation actions.</w:t>
      </w:r>
    </w:p>
    <w:p w14:paraId="66523D7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Approval records showing required mitigations accepted by risk owners prior to deployment.</w:t>
      </w:r>
    </w:p>
    <w:p w14:paraId="7C0BF3F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Tracking logs showing status of mitigation tasks and evidence of implementation.</w:t>
      </w:r>
    </w:p>
    <w:p w14:paraId="719C05E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Sign-off evidence from legal/privacy reviewers.</w:t>
      </w:r>
    </w:p>
    <w:p w14:paraId="099A61F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2AD9A8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Monitoring and Post-Deployment Validation</w:t>
      </w:r>
    </w:p>
    <w:p w14:paraId="590EC7D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ongoing monitoring and post-deployment validation procedures (e.g., performance drift detection, fairness metrics, logging for compliance events) with thresholds that trigger investigations, audits, or model retraining.</w:t>
      </w:r>
    </w:p>
    <w:p w14:paraId="2714B0C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FCE01C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dashboards and periodic monitoring reports showing metric trends and alerts.</w:t>
      </w:r>
    </w:p>
    <w:p w14:paraId="7D27206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tickets or investigation reports generated by monitoring alerts and their remediation records.</w:t>
      </w:r>
    </w:p>
    <w:p w14:paraId="611426C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Model retraining/change logs and validation test results following interventions.</w:t>
      </w:r>
    </w:p>
    <w:p w14:paraId="5D2176A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Log retention records demonstrating auditability of model inputs/outputs and decisions.</w:t>
      </w:r>
    </w:p>
    <w:p w14:paraId="67D1483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2CB7F1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Lessons Learned and Continuous Improvement Program</w:t>
      </w:r>
    </w:p>
    <w:p w14:paraId="33D7F99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a formal feedback loop that captures findings from audits, assessments, incidents, and stakeholder feedback; run root-cause analyses and update policies, standards, and lifecycle procedures accordingly. Include metrics to measure improvement effectiveness.</w:t>
      </w:r>
    </w:p>
    <w:p w14:paraId="7F8ED3F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2566C13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reports, root cause analysis (RCA) documents, and documented process changes resulting from reviews.</w:t>
      </w:r>
    </w:p>
    <w:p w14:paraId="720E1E1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policy or standard documents with version history referencing the driving incident/audit.</w:t>
      </w:r>
    </w:p>
    <w:p w14:paraId="22A50F0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materials and rollout communications reflecting process improvements.</w:t>
      </w:r>
    </w:p>
    <w:p w14:paraId="313F56A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Metrics dashboards showing reduction in repeat findings, time-to-remediate, or other key performance indicators (KPIs) over time.</w:t>
      </w:r>
    </w:p>
    <w:p w14:paraId="65EBA126"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1B922B43"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519277D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7B0D40E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79D48B7F" w14:textId="77777777" w:rsidTr="005C00A5">
        <w:tc>
          <w:tcPr>
            <w:tcW w:w="1170" w:type="dxa"/>
          </w:tcPr>
          <w:p w14:paraId="46800C8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396C6D0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0F9FA04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51C33B78" w14:textId="77777777" w:rsidTr="005C00A5">
        <w:tc>
          <w:tcPr>
            <w:tcW w:w="1170" w:type="dxa"/>
          </w:tcPr>
          <w:p w14:paraId="69F880D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GV-1.1.4</w:t>
            </w:r>
          </w:p>
        </w:tc>
        <w:tc>
          <w:tcPr>
            <w:tcW w:w="2160" w:type="dxa"/>
          </w:tcPr>
          <w:p w14:paraId="7D72D18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Compliance Documentation</w:t>
            </w:r>
          </w:p>
        </w:tc>
        <w:tc>
          <w:tcPr>
            <w:tcW w:w="6740" w:type="dxa"/>
          </w:tcPr>
          <w:p w14:paraId="38DD0EB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maintains documentation to demonstrate how AI systems comply with applicable laws, regulations, and organizational policies. This documentation includes risk assessments, compliance reviews, audits, corrective actions, and other relevant information generated throughout the AI lifecycle.</w:t>
            </w:r>
          </w:p>
          <w:p w14:paraId="138996D0" w14:textId="77777777" w:rsidR="00963E47" w:rsidRPr="00963E47" w:rsidRDefault="00963E47" w:rsidP="004C3837">
            <w:pPr>
              <w:keepNext/>
              <w:rPr>
                <w:rFonts w:ascii="Aptos" w:hAnsi="Aptos" w:cs="Times New Roman"/>
                <w:b/>
                <w:bCs/>
                <w:color w:val="000000"/>
                <w:sz w:val="20"/>
                <w:szCs w:val="20"/>
              </w:rPr>
            </w:pPr>
          </w:p>
          <w:p w14:paraId="206B5C5E" w14:textId="77777777" w:rsidR="00963E47" w:rsidRPr="00963E47" w:rsidRDefault="00963E47" w:rsidP="004C3837">
            <w:pPr>
              <w:keepNext/>
              <w:rPr>
                <w:rFonts w:ascii="Aptos" w:hAnsi="Aptos" w:cs="Times New Roman"/>
                <w:b/>
                <w:bCs/>
                <w:color w:val="000000"/>
                <w:sz w:val="20"/>
                <w:szCs w:val="20"/>
              </w:rPr>
            </w:pPr>
            <w:hyperlink r:id="rId17" w:anchor="govern-1-1" w:history="1">
              <w:r w:rsidRPr="00963E47">
                <w:rPr>
                  <w:rFonts w:ascii="Aptos" w:hAnsi="Aptos" w:cs="Times New Roman"/>
                  <w:color w:val="000000"/>
                  <w:sz w:val="20"/>
                  <w:szCs w:val="20"/>
                  <w:u w:val="single"/>
                </w:rPr>
                <w:t>Link to NIST AI RMF Playbook</w:t>
              </w:r>
            </w:hyperlink>
          </w:p>
        </w:tc>
      </w:tr>
    </w:tbl>
    <w:p w14:paraId="49CD42B6"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2850AF8"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2502B78B"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1B46A389" w14:textId="77777777" w:rsidTr="005C00A5">
        <w:trPr>
          <w:tblHeader/>
        </w:trPr>
        <w:tc>
          <w:tcPr>
            <w:tcW w:w="2160" w:type="dxa"/>
            <w:shd w:val="clear" w:color="auto" w:fill="CCDCDC"/>
            <w:vAlign w:val="center"/>
          </w:tcPr>
          <w:p w14:paraId="7448151A"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0C5E7CD6"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1FE7D0EC"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6F14BA38" w14:textId="77777777" w:rsidTr="005C00A5">
        <w:tc>
          <w:tcPr>
            <w:tcW w:w="2160" w:type="dxa"/>
            <w:shd w:val="clear" w:color="auto" w:fill="CCDCDC"/>
          </w:tcPr>
          <w:p w14:paraId="7FFC824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151ED0E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5A4047F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24C7F503" w14:textId="77777777" w:rsidTr="005C00A5">
        <w:tc>
          <w:tcPr>
            <w:tcW w:w="2160" w:type="dxa"/>
            <w:shd w:val="clear" w:color="auto" w:fill="CCDCDC"/>
          </w:tcPr>
          <w:p w14:paraId="0938F61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6945EB6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A63E15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document compliance activities for basic AI systems used in non-critical contexts.</w:t>
            </w:r>
          </w:p>
        </w:tc>
      </w:tr>
      <w:tr w:rsidR="00963E47" w:rsidRPr="00963E47" w14:paraId="1A684D82" w14:textId="77777777" w:rsidTr="005C00A5">
        <w:tc>
          <w:tcPr>
            <w:tcW w:w="2160" w:type="dxa"/>
            <w:shd w:val="clear" w:color="auto" w:fill="CCDCDC"/>
          </w:tcPr>
          <w:p w14:paraId="260F2EF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2F8A4A8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75A9DE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maintain documentation of AI system compliance, including risk assessments, reviews, audits, and corrective actions. However, the documentation may not be complete, easily accessible, or consistently maintained for all AI systems across the organization.</w:t>
            </w:r>
          </w:p>
        </w:tc>
      </w:tr>
      <w:tr w:rsidR="00963E47" w:rsidRPr="00963E47" w14:paraId="2EF40AB0" w14:textId="77777777" w:rsidTr="005C00A5">
        <w:tc>
          <w:tcPr>
            <w:tcW w:w="2160" w:type="dxa"/>
            <w:shd w:val="clear" w:color="auto" w:fill="CCDCDC"/>
          </w:tcPr>
          <w:p w14:paraId="2E723C9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6F8BF1F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6CF04B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comprehensive, well-organized, and easily accessible documentation that demonstrates AI system compliance. This documentation is systematically generated, reviewed, and updated throughout the AI lifecycle and is fully integrated into the organization's knowledge management and compliance reporting processes.</w:t>
            </w:r>
          </w:p>
        </w:tc>
      </w:tr>
    </w:tbl>
    <w:p w14:paraId="634ADC99"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1C280E39" w14:textId="77777777" w:rsidTr="005C00A5">
        <w:tc>
          <w:tcPr>
            <w:tcW w:w="2250" w:type="dxa"/>
          </w:tcPr>
          <w:p w14:paraId="49FDD18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295C93E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5FA370B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16BBC45B" w14:textId="77777777" w:rsidTr="005C00A5">
        <w:tc>
          <w:tcPr>
            <w:tcW w:w="2250" w:type="dxa"/>
          </w:tcPr>
          <w:p w14:paraId="47B6703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3CFB706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Non-Compliant Documentation</w:t>
            </w:r>
          </w:p>
        </w:tc>
        <w:tc>
          <w:tcPr>
            <w:tcW w:w="5300" w:type="dxa"/>
          </w:tcPr>
          <w:p w14:paraId="15130BE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Documentation fails to demonstrate AI system compliance with applicable laws</w:t>
            </w:r>
          </w:p>
        </w:tc>
      </w:tr>
    </w:tbl>
    <w:p w14:paraId="3C68961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352278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51C32A9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746378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Maintain thorough documentation throughout the AI lifecycle to demonstrate compliance with relevant laws, regulations, and organizational policies. This documentation should include details of risk assessments, compliance checks, audits, corrective actions, and additional pertinent information. As an additional step, consider including responsible individuals' contact information and/or roles and timestamps of each activity. </w:t>
      </w:r>
    </w:p>
    <w:p w14:paraId="6BCC165E"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F83116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Establish a centralized repository or system for storing and managing this documentation, in or linked to the enterprise AI inventory. Ensure it has appropriate access controls and version management protocols. Conduct regular reviews of the documentation to verify that it is complete, accurate, and up to date. Consider implementing automated tools or processes to facilitate the generation and maintenance of compliance documentation, such as templates or workflows.</w:t>
      </w:r>
    </w:p>
    <w:p w14:paraId="32407769"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E31D7C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0930B97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D4752D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Comprehensive Compliance Documentation Repository</w:t>
      </w:r>
    </w:p>
    <w:p w14:paraId="244292D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a centralized, version-controlled repository that stores all compliance-related documentation for each AI system (risk assessments, RIAs/PIAs, audit reports, policies, contracts, approvals, and corrective action records). Ensure access controls, retention schedules, and searchable metadata.</w:t>
      </w:r>
    </w:p>
    <w:p w14:paraId="290848E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DE196F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Repository index or inventory export showing documents grouped by AI system with metadata (owner, version, date).</w:t>
      </w:r>
    </w:p>
    <w:p w14:paraId="126A564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Access control lists and audit logs demonstrating who accessed/modified documentation.</w:t>
      </w:r>
    </w:p>
    <w:p w14:paraId="147CD0F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 retention and disposition policy and evidence of applied retention (deletion logs or archived records).</w:t>
      </w:r>
    </w:p>
    <w:p w14:paraId="136A42A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Screenshots or exports proving document version history and provenance (timestamps, approver names).</w:t>
      </w:r>
    </w:p>
    <w:p w14:paraId="6E8C5BE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9AEBF8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System-Specific Compliance Dossiers</w:t>
      </w:r>
    </w:p>
    <w:p w14:paraId="5FF7703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For each AI system, create a living compliance dossier that aggregates lifecycle artifacts (e.g., design docs, data lineage, model cards, test results, validation reports, deployment approvals, monitoring logs, and post-deployment reviews) mapped to applicable legal and policy requirements.</w:t>
      </w:r>
    </w:p>
    <w:p w14:paraId="3297FE3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BFF50F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Completed compliance dossier files for sampled AI systems showing the full set of artifacts.</w:t>
      </w:r>
    </w:p>
    <w:p w14:paraId="5CD262F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Matrix within the dossier mapping requirements (laws/policies) to evidence and control owners.</w:t>
      </w:r>
    </w:p>
    <w:p w14:paraId="0E2C211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Sign-off records indicating dossier review and acceptance prior to deployment.</w:t>
      </w:r>
    </w:p>
    <w:p w14:paraId="4DFD092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showing dossier updates after model changes or re-assessments.</w:t>
      </w:r>
    </w:p>
    <w:p w14:paraId="7F55DD2F"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C134C1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Risk Assessment and Mitigation Records</w:t>
      </w:r>
    </w:p>
    <w:p w14:paraId="2B5BA7B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 formal risk assessments (legal, privacy, fairness, safety, security) for each AI initiative, with documented risk ratings, accepted residual risk, mitigation plans, owners, and closure evidence. Update assessments when material changes occur.</w:t>
      </w:r>
    </w:p>
    <w:p w14:paraId="763DCD4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BF906A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assessment documents (RIAs/PIAs) with dated risk ratings and mitigation items.</w:t>
      </w:r>
    </w:p>
    <w:p w14:paraId="5B819AE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treatment logs or trackers showing mitigation task status, owners, and completion evidence.</w:t>
      </w:r>
    </w:p>
    <w:p w14:paraId="1621308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Approval/acceptance statements from risk owners or governance bodies acknowledging residual risk.</w:t>
      </w:r>
    </w:p>
    <w:p w14:paraId="1250120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Reassessment records showing updates after changes (model version, dataset, use case).</w:t>
      </w:r>
    </w:p>
    <w:p w14:paraId="24D1302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830065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Audit and Review Trail with Corrective Actions</w:t>
      </w:r>
    </w:p>
    <w:p w14:paraId="356FA20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records of internal and external audits, periodic compliance reviews, findings, root-cause analyses, corrective action plans, assigned owners, timelines, and evidence of remediation and verification.</w:t>
      </w:r>
    </w:p>
    <w:p w14:paraId="16A7B46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AC055F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Internal and external audit reports with documented findings and severity ratings.</w:t>
      </w:r>
    </w:p>
    <w:p w14:paraId="7FAEC54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Corrective action plans or remediation tickets linked to each finding showing owner, target date, and closure evidence.</w:t>
      </w:r>
    </w:p>
    <w:p w14:paraId="6ED46D1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Verification or re-audit reports confirming remedial actions were implemented successfully.</w:t>
      </w:r>
    </w:p>
    <w:p w14:paraId="666931A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or governance board logs where audit results and remediation status were reviewed.</w:t>
      </w:r>
    </w:p>
    <w:p w14:paraId="6CA336C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C7938F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Quality Controls and Evidence of Continuous Update</w:t>
      </w:r>
    </w:p>
    <w:p w14:paraId="618B89C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procedures and controls to ensure documentation completeness, accuracy, and timeliness (e.g., checklists, mandatory fields in forms, periodic documentation audits, and owner attestations). Track and document lessons learned and updates to compliance artifacts.</w:t>
      </w:r>
    </w:p>
    <w:p w14:paraId="4131E25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1C5539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checklists and templates used to create/validate compliance artifacts.</w:t>
      </w:r>
    </w:p>
    <w:p w14:paraId="7A257B5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periodic documentation audits or spot checks and resulting remediation actions.</w:t>
      </w:r>
    </w:p>
    <w:p w14:paraId="0AFA63A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Owner attestation logs (periodic confirmations that documentation is current) with timestamps.</w:t>
      </w:r>
    </w:p>
    <w:p w14:paraId="42CD881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history showing updates tied to lessons learned, audit findings, or regulatory changes.</w:t>
      </w:r>
    </w:p>
    <w:p w14:paraId="61EA70FB"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79FD47D7"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04B9EA3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6B5ACAB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456C4F44" w14:textId="77777777" w:rsidTr="005C00A5">
        <w:tc>
          <w:tcPr>
            <w:tcW w:w="1170" w:type="dxa"/>
          </w:tcPr>
          <w:p w14:paraId="151EE78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5DA5105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2071B65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4E1DDD14" w14:textId="77777777" w:rsidTr="005C00A5">
        <w:tc>
          <w:tcPr>
            <w:tcW w:w="1170" w:type="dxa"/>
          </w:tcPr>
          <w:p w14:paraId="6729B79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GV-1.1.5</w:t>
            </w:r>
          </w:p>
        </w:tc>
        <w:tc>
          <w:tcPr>
            <w:tcW w:w="2160" w:type="dxa"/>
          </w:tcPr>
          <w:p w14:paraId="4676396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Legal Feedback and Change Integration</w:t>
            </w:r>
          </w:p>
        </w:tc>
        <w:tc>
          <w:tcPr>
            <w:tcW w:w="6740" w:type="dxa"/>
          </w:tcPr>
          <w:p w14:paraId="408450A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establishes an ongoing improvement process with legal experts and relevant stakeholders to ensure that changes in laws and regulations are applied to the AI system, and that changes in the AI system are reviewed by legal for appropriate consideration and integration into risk management processes.</w:t>
            </w:r>
          </w:p>
          <w:p w14:paraId="2F16C74C" w14:textId="77777777" w:rsidR="00963E47" w:rsidRPr="00963E47" w:rsidRDefault="00963E47" w:rsidP="004C3837">
            <w:pPr>
              <w:keepNext/>
              <w:rPr>
                <w:rFonts w:ascii="Aptos" w:hAnsi="Aptos" w:cs="Times New Roman"/>
                <w:b/>
                <w:bCs/>
                <w:color w:val="000000"/>
                <w:sz w:val="20"/>
                <w:szCs w:val="20"/>
              </w:rPr>
            </w:pPr>
          </w:p>
          <w:p w14:paraId="17E88408" w14:textId="77777777" w:rsidR="00963E47" w:rsidRPr="00963E47" w:rsidRDefault="00963E47" w:rsidP="004C3837">
            <w:pPr>
              <w:keepNext/>
              <w:rPr>
                <w:rFonts w:ascii="Aptos" w:hAnsi="Aptos" w:cs="Times New Roman"/>
                <w:b/>
                <w:bCs/>
                <w:color w:val="000000"/>
                <w:sz w:val="20"/>
                <w:szCs w:val="20"/>
              </w:rPr>
            </w:pPr>
            <w:hyperlink r:id="rId18" w:anchor="govern-1-1" w:history="1">
              <w:r w:rsidRPr="00963E47">
                <w:rPr>
                  <w:rFonts w:ascii="Aptos" w:hAnsi="Aptos" w:cs="Times New Roman"/>
                  <w:color w:val="000000"/>
                  <w:sz w:val="20"/>
                  <w:szCs w:val="20"/>
                  <w:u w:val="single"/>
                </w:rPr>
                <w:t>Link to NIST AI RMF Playbook</w:t>
              </w:r>
            </w:hyperlink>
          </w:p>
        </w:tc>
      </w:tr>
    </w:tbl>
    <w:p w14:paraId="6AB72E9E"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08441E3"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3CE056D0"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69FBA6AD" w14:textId="77777777" w:rsidTr="005C00A5">
        <w:trPr>
          <w:tblHeader/>
        </w:trPr>
        <w:tc>
          <w:tcPr>
            <w:tcW w:w="2160" w:type="dxa"/>
            <w:shd w:val="clear" w:color="auto" w:fill="CCDCDC"/>
            <w:vAlign w:val="center"/>
          </w:tcPr>
          <w:p w14:paraId="056F4FFE"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1A5C825E"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6A020160"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16ACB8AE" w14:textId="77777777" w:rsidTr="005C00A5">
        <w:tc>
          <w:tcPr>
            <w:tcW w:w="2160" w:type="dxa"/>
            <w:shd w:val="clear" w:color="auto" w:fill="CCDCDC"/>
          </w:tcPr>
          <w:p w14:paraId="76361CC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14FAE7A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895676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06CA0981" w14:textId="77777777" w:rsidTr="005C00A5">
        <w:tc>
          <w:tcPr>
            <w:tcW w:w="2160" w:type="dxa"/>
            <w:shd w:val="clear" w:color="auto" w:fill="CCDCDC"/>
          </w:tcPr>
          <w:p w14:paraId="7B35B22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5600F5F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DE9A0C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begin establishing processes to incorporate legal updates and stakeholder input, primarily for non-critical AI applications.</w:t>
            </w:r>
          </w:p>
        </w:tc>
      </w:tr>
      <w:tr w:rsidR="00963E47" w:rsidRPr="00963E47" w14:paraId="5C9F4811" w14:textId="77777777" w:rsidTr="005C00A5">
        <w:tc>
          <w:tcPr>
            <w:tcW w:w="2160" w:type="dxa"/>
            <w:shd w:val="clear" w:color="auto" w:fill="CCDCDC"/>
          </w:tcPr>
          <w:p w14:paraId="0FDB3C4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68A371C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150321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evolving stage develop more robust, ongoing processes for legal review and updates as AI systems expand into external-facing and sensitive areas, integrating them into broader risk management activities.</w:t>
            </w:r>
          </w:p>
        </w:tc>
      </w:tr>
      <w:tr w:rsidR="00963E47" w:rsidRPr="00963E47" w14:paraId="14555C14" w14:textId="77777777" w:rsidTr="005C00A5">
        <w:tc>
          <w:tcPr>
            <w:tcW w:w="2160" w:type="dxa"/>
            <w:shd w:val="clear" w:color="auto" w:fill="CCDCDC"/>
          </w:tcPr>
          <w:p w14:paraId="659CA39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453CDBE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ACC228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begin communicating identified AI system legal risks and relevant changes in laws, regulations, and industry standards to stakeholders, aiming to facilitate informed decision-making and effective risk mitigation.</w:t>
            </w:r>
          </w:p>
        </w:tc>
      </w:tr>
    </w:tbl>
    <w:p w14:paraId="29BA263C"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3139FAB7" w14:textId="77777777" w:rsidTr="005C00A5">
        <w:tc>
          <w:tcPr>
            <w:tcW w:w="2250" w:type="dxa"/>
          </w:tcPr>
          <w:p w14:paraId="6559A3C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3AEC531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173D999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6C602DB2" w14:textId="77777777" w:rsidTr="005C00A5">
        <w:tc>
          <w:tcPr>
            <w:tcW w:w="2250" w:type="dxa"/>
          </w:tcPr>
          <w:p w14:paraId="1854158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6CCB783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Lack of Legal Expertise</w:t>
            </w:r>
          </w:p>
        </w:tc>
        <w:tc>
          <w:tcPr>
            <w:tcW w:w="5300" w:type="dxa"/>
          </w:tcPr>
          <w:p w14:paraId="54D0E14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Legal expertise is not integrated into AI system change management</w:t>
            </w:r>
          </w:p>
        </w:tc>
      </w:tr>
    </w:tbl>
    <w:p w14:paraId="40C606F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807058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106C024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AA04FC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Engage legal experts and relevant stakeholders to validate feedback on the AI system's legal considerations, establishing a communication loop that drives regular assessment, documentation, and integration of this feedback into risk management processes. </w:t>
      </w:r>
    </w:p>
    <w:p w14:paraId="1320A9E2"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672205D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Identify and collaborate with internal or external legal experts who specialize in the legal and regulatory landscape relevant to the AI system, such as data privacy, intellectual property, or industry-specific requirements. Establish </w:t>
      </w:r>
      <w:r w:rsidRPr="00963E47">
        <w:rPr>
          <w:rFonts w:ascii="Aptos" w:eastAsia="Aptos" w:hAnsi="Aptos" w:cs="Times New Roman"/>
          <w:noProof/>
          <w:color w:val="auto"/>
          <w:kern w:val="2"/>
          <w:sz w:val="20"/>
          <w:szCs w:val="20"/>
          <w14:ligatures w14:val="standardContextual"/>
        </w:rPr>
        <w:lastRenderedPageBreak/>
        <w:t>regular touchpoints and collaboration channels with these experts to review and validate feedback on the AI system's legal risks and controls, while also keeping informed of emerging legal developments and best practices.</w:t>
      </w:r>
    </w:p>
    <w:p w14:paraId="1F47C30F"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1F12CCC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Engage with other relevant stakeholders, such as end-users, customers, or industry partners, to gather additional feedback and perspectives on the AI system's legal considerations. Establish processes for incorporating this input into ongoing risk assessments and mitigation strategies. Document the results of these engagements, including identified gaps, recommendations, or action items, ensuring they are regularly reviewed and integrated into the overall risk management process.</w:t>
      </w:r>
    </w:p>
    <w:p w14:paraId="2F4695DB"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41EFC8C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metrics and KPIs to track the effectiveness of the communication loop and the impact of stakeholder feedback on legal risk management. Use this data to drive continuous improvement and optimization of the process.</w:t>
      </w:r>
    </w:p>
    <w:p w14:paraId="26F73CF0"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5E97C3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194EDFD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1EED64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Legal–AI Change Governance Board</w:t>
      </w:r>
    </w:p>
    <w:p w14:paraId="429E8BE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Create a standing governance board including legal, compliance, AI/ML engineering, product, privacy, security, and business stakeholders to review regulatory changes and proposed AI system changes, approve required actions, and track implementation.</w:t>
      </w:r>
    </w:p>
    <w:p w14:paraId="576AD6C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8BF167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Board charter and membership roster with roles and responsibilities.</w:t>
      </w:r>
    </w:p>
    <w:p w14:paraId="15CDC29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agendas, minutes, and decision logs showing regulatory/AI change reviews.</w:t>
      </w:r>
    </w:p>
    <w:p w14:paraId="11AE581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item tracker linking board decisions to owners, deadlines, and status.</w:t>
      </w:r>
    </w:p>
    <w:p w14:paraId="687670A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Evidence of executive or steering committee approvals for major decisions.</w:t>
      </w:r>
    </w:p>
    <w:p w14:paraId="22CB972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7724B4B"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Formal Change Notification and Intake Process</w:t>
      </w:r>
    </w:p>
    <w:p w14:paraId="76BF68D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an intake workflow that requires teams to submit change requests for AI systems (feature updates, data changes, model retraining, deployment) that automatically notify legal and trigger impact assessment steps before changes proceed.</w:t>
      </w:r>
    </w:p>
    <w:p w14:paraId="2824FB6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DCDAAC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request form/template with mandatory legal review field and submission timestamps.</w:t>
      </w:r>
    </w:p>
    <w:p w14:paraId="461CB67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Workflow logs from ticketing/software development lifecycle (SDLC) tools showing automatic notifications to legal and triage steps.</w:t>
      </w:r>
    </w:p>
    <w:p w14:paraId="56917D0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declined/approved change requests with legal rationale documented.</w:t>
      </w:r>
    </w:p>
    <w:p w14:paraId="26754D8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SLAs or policy stating legal review timelines for change requests.</w:t>
      </w:r>
    </w:p>
    <w:p w14:paraId="7D2D114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4FCE90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Regulatory Change Assessment and Mapping Procedure</w:t>
      </w:r>
    </w:p>
    <w:p w14:paraId="35854EC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a documented process for analyzing regulatory/legal updates, mapping them to affected AI systems, required controls, and policy updates, and prioritizing remediation based on risk and impact.</w:t>
      </w:r>
    </w:p>
    <w:p w14:paraId="562CAEF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B4219A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Regulatory change assessment reports mapping specific provisions to systems and controls.</w:t>
      </w:r>
    </w:p>
    <w:p w14:paraId="01DF955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Risk-impact prioritization matrices and resulting remediation roadmaps.</w:t>
      </w:r>
    </w:p>
    <w:p w14:paraId="79709A0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Versioned policy change proposals linked to specific regulatory citations.</w:t>
      </w:r>
    </w:p>
    <w:p w14:paraId="6FD292B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Notifications sent to system owners with required actions and timelines.</w:t>
      </w:r>
    </w:p>
    <w:p w14:paraId="7C53EEB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AF9DA2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Integrated Risk Management and Legal Review Workflow</w:t>
      </w:r>
    </w:p>
    <w:p w14:paraId="1E32741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Embed legal review into the organization’s risk management lifecycle so that legal assessment results feed into risk registers, mitigation plans, and periodic risk re-evaluations whenever AI systems or regulations change.</w:t>
      </w:r>
    </w:p>
    <w:p w14:paraId="109B739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6AF13C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register entries showing legal input, residual risk ratings, and updated mitigation items.</w:t>
      </w:r>
    </w:p>
    <w:p w14:paraId="759730B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Legal review memos attached to mitigation plans and risk treatment tickets.</w:t>
      </w:r>
    </w:p>
    <w:p w14:paraId="4434610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Periodic risk reassessment reports demonstrating changes after legal findings.</w:t>
      </w:r>
    </w:p>
    <w:p w14:paraId="287C0CB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Evidence of legal sign-off on risk acceptance decisions at governance forums.</w:t>
      </w:r>
    </w:p>
    <w:p w14:paraId="3A00658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C44BE5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Training, Playbooks, and Post-Change Lessons Learned</w:t>
      </w:r>
    </w:p>
    <w:p w14:paraId="344713E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Provide ongoing joint training for legal and technical teams, publish playbooks for common regulatory scenarios, and run post-change reviews to capture lessons learned and update playbooks, policies, and controls.</w:t>
      </w:r>
    </w:p>
    <w:p w14:paraId="25D462C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FDD896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schedules, attendance records, and training materials for cross-functional legal/technical sessions.</w:t>
      </w:r>
    </w:p>
    <w:p w14:paraId="50EC7DC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Published playbooks or legal-review checklists for common AI changes (data sourcing, model updates, third-party models).</w:t>
      </w:r>
    </w:p>
    <w:p w14:paraId="1BA2C4F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Lessons-learned reports and subsequent updates to playbooks, policies, or SDLC checklists.</w:t>
      </w:r>
    </w:p>
    <w:p w14:paraId="4E6BFB7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Metrics showing reduced review times or reduced recurrence of identified issues after lessons applied.</w:t>
      </w:r>
    </w:p>
    <w:p w14:paraId="1F9C0BF5"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40838128"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0FFEBC7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3A91E2E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7CE07610" w14:textId="77777777" w:rsidTr="005C00A5">
        <w:tc>
          <w:tcPr>
            <w:tcW w:w="1170" w:type="dxa"/>
          </w:tcPr>
          <w:p w14:paraId="09BA631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4E77C1B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634F864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37B4F418" w14:textId="77777777" w:rsidTr="005C00A5">
        <w:tc>
          <w:tcPr>
            <w:tcW w:w="1170" w:type="dxa"/>
          </w:tcPr>
          <w:p w14:paraId="4A1E3D3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GV-1.1.6</w:t>
            </w:r>
          </w:p>
        </w:tc>
        <w:tc>
          <w:tcPr>
            <w:tcW w:w="2160" w:type="dxa"/>
          </w:tcPr>
          <w:p w14:paraId="051E8AE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Data Lifecycle and Retention</w:t>
            </w:r>
          </w:p>
        </w:tc>
        <w:tc>
          <w:tcPr>
            <w:tcW w:w="6740" w:type="dxa"/>
          </w:tcPr>
          <w:p w14:paraId="7FC343F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ensures that data retention policies, privacy requirements, and legal obligations governing data lifecycle management are integrated into its AI system lifecycle processes. It maintains records of data retention periods, manages data deletion or archiving in compliance with privacy norms, and verifies that training datasets adhere to these policies, especially when data subjects exercise their rights or when legal or privacy obligations change.</w:t>
            </w:r>
          </w:p>
          <w:p w14:paraId="01132D3B" w14:textId="77777777" w:rsidR="00963E47" w:rsidRPr="00963E47" w:rsidRDefault="00963E47" w:rsidP="004C3837">
            <w:pPr>
              <w:keepNext/>
              <w:rPr>
                <w:rFonts w:ascii="Aptos" w:hAnsi="Aptos" w:cs="Times New Roman"/>
                <w:b/>
                <w:bCs/>
                <w:color w:val="000000"/>
                <w:sz w:val="20"/>
                <w:szCs w:val="20"/>
              </w:rPr>
            </w:pPr>
          </w:p>
          <w:p w14:paraId="57BAE375" w14:textId="77777777" w:rsidR="00963E47" w:rsidRPr="00963E47" w:rsidRDefault="00963E47" w:rsidP="004C3837">
            <w:pPr>
              <w:keepNext/>
              <w:rPr>
                <w:rFonts w:ascii="Aptos" w:hAnsi="Aptos" w:cs="Times New Roman"/>
                <w:b/>
                <w:bCs/>
                <w:color w:val="000000"/>
                <w:sz w:val="20"/>
                <w:szCs w:val="20"/>
              </w:rPr>
            </w:pPr>
            <w:hyperlink r:id="rId19" w:anchor="govern-1-1" w:history="1">
              <w:r w:rsidRPr="00963E47">
                <w:rPr>
                  <w:rFonts w:ascii="Aptos" w:hAnsi="Aptos" w:cs="Times New Roman"/>
                  <w:color w:val="000000"/>
                  <w:sz w:val="20"/>
                  <w:szCs w:val="20"/>
                  <w:u w:val="single"/>
                </w:rPr>
                <w:t>Link to NIST AI RMF Playbook</w:t>
              </w:r>
            </w:hyperlink>
          </w:p>
        </w:tc>
      </w:tr>
    </w:tbl>
    <w:p w14:paraId="340513F0"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1DAA226"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7B8B5BFA"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296190B2" w14:textId="77777777" w:rsidTr="005C00A5">
        <w:trPr>
          <w:tblHeader/>
        </w:trPr>
        <w:tc>
          <w:tcPr>
            <w:tcW w:w="2160" w:type="dxa"/>
            <w:shd w:val="clear" w:color="auto" w:fill="CCDCDC"/>
            <w:vAlign w:val="center"/>
          </w:tcPr>
          <w:p w14:paraId="2C546D4C"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3DF1D09B"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00DC958A"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63535B9B" w14:textId="77777777" w:rsidTr="005C00A5">
        <w:tc>
          <w:tcPr>
            <w:tcW w:w="2160" w:type="dxa"/>
            <w:shd w:val="clear" w:color="auto" w:fill="CCDCDC"/>
          </w:tcPr>
          <w:p w14:paraId="1EF8D40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4AEB144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776CAE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initial stage, organizations understand that incorporating data retention and privacy policies into AI lifecycle processes is fundamental for compliance and risk mitigation. At this stage, organizations focus on establishing basic controls to manage data in accordance with existing legal and privacy requirements, ensuring that data used in AI systems is handled responsibly and documented properly.</w:t>
            </w:r>
          </w:p>
        </w:tc>
      </w:tr>
      <w:tr w:rsidR="00963E47" w:rsidRPr="00963E47" w14:paraId="34A7168D" w14:textId="77777777" w:rsidTr="005C00A5">
        <w:tc>
          <w:tcPr>
            <w:tcW w:w="2160" w:type="dxa"/>
            <w:shd w:val="clear" w:color="auto" w:fill="CCDCDC"/>
          </w:tcPr>
          <w:p w14:paraId="0FEE390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410E94B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76BFBC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implement basic data management policies for AI data, ensuring compliance with privacy requirements in limited contexts.</w:t>
            </w:r>
          </w:p>
        </w:tc>
      </w:tr>
      <w:tr w:rsidR="00963E47" w:rsidRPr="00963E47" w14:paraId="6C330711" w14:textId="77777777" w:rsidTr="005C00A5">
        <w:tc>
          <w:tcPr>
            <w:tcW w:w="2160" w:type="dxa"/>
            <w:shd w:val="clear" w:color="auto" w:fill="CCDCDC"/>
          </w:tcPr>
          <w:p w14:paraId="0918F27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1D1AB7D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50C840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evolving stage develop more comprehensive data lifecycle management processes as AI systems handle more sensitive and extensive data, including records of data retention and deletion.</w:t>
            </w:r>
          </w:p>
        </w:tc>
      </w:tr>
      <w:tr w:rsidR="00963E47" w:rsidRPr="00963E47" w14:paraId="06BE6440" w14:textId="77777777" w:rsidTr="005C00A5">
        <w:tc>
          <w:tcPr>
            <w:tcW w:w="2160" w:type="dxa"/>
            <w:shd w:val="clear" w:color="auto" w:fill="CCDCDC"/>
          </w:tcPr>
          <w:p w14:paraId="7CA30C4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161B492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FD12D2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require automated and integrated data management, continuous compliance verification, and adaptive policies to swiftly respond to legal and privacy changes, ensuring ongoing adherence across the entire data lifecycle.</w:t>
            </w:r>
          </w:p>
        </w:tc>
      </w:tr>
    </w:tbl>
    <w:p w14:paraId="5118A35F"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7C7EE393" w14:textId="77777777" w:rsidTr="005C00A5">
        <w:tc>
          <w:tcPr>
            <w:tcW w:w="2250" w:type="dxa"/>
          </w:tcPr>
          <w:p w14:paraId="39404F3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lastRenderedPageBreak/>
              <w:t>AI Principle</w:t>
            </w:r>
          </w:p>
        </w:tc>
        <w:tc>
          <w:tcPr>
            <w:tcW w:w="2520" w:type="dxa"/>
          </w:tcPr>
          <w:p w14:paraId="732C242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7F7311C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4E7197D9" w14:textId="77777777" w:rsidTr="005C00A5">
        <w:tc>
          <w:tcPr>
            <w:tcW w:w="2250" w:type="dxa"/>
          </w:tcPr>
          <w:p w14:paraId="2AED733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Privacy-Enhanced</w:t>
            </w:r>
          </w:p>
        </w:tc>
        <w:tc>
          <w:tcPr>
            <w:tcW w:w="2520" w:type="dxa"/>
          </w:tcPr>
          <w:p w14:paraId="7269E5B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Data Lifecycle Control Gaps</w:t>
            </w:r>
          </w:p>
        </w:tc>
        <w:tc>
          <w:tcPr>
            <w:tcW w:w="5300" w:type="dxa"/>
          </w:tcPr>
          <w:p w14:paraId="639E641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Data lifecycle controls fail to meet retention, privacy, or legal obligations</w:t>
            </w:r>
          </w:p>
        </w:tc>
      </w:tr>
    </w:tbl>
    <w:p w14:paraId="76DB381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303EFD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5916214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108079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Establish clear procedures for integrating comprehensive data management, privacy requirements, and data retention policies into all stages of the AI system lifecycle, from data collection to deployment and decommissioning. This includes documenting data provenance, tracking data lineage and transformations, implementing information sharing restrictions, and managing data deletion or archiving in accordance with legal, regulatory, and privacy obligations. Develop processes to ensure ongoing compliance with privacy principles and facilitate activities such as honoring data subjects’ rights, including the right to delete data, while maintaining transparency and control over data uses. </w:t>
      </w:r>
    </w:p>
    <w:p w14:paraId="6C175742"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67B7C6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Implement automated or manual processes to monitor adherence to data management and retention policies, with safeguards to prevent unauthorized data handling or deletion. Develop policies to enable timely data archiving or deletion when data subjects exercise their rights or when legal or privacy obligations change, ensuring continued compliance and risk mitigation.</w:t>
      </w:r>
    </w:p>
    <w:p w14:paraId="5A607E51"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42DACFC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Maintain comprehensive records of data processing activities (e.g., including data provenance, lineage, transformations, retention periods, deletion or archiving dates, data sharing decisions) aligned with privacy frameworks. Conduct regular audits to verify that training datasets and other data used in AI systems comply with data management and privacy requirements, and that data handling practices adhere to established procedures. When changes in legal or regulatory requirements occur, promptly review and update policies and practices, providing training to relevant personnel to sustain compliance and privacy protection.</w:t>
      </w:r>
    </w:p>
    <w:p w14:paraId="5F61E3C7"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96C250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54D47DC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6EA93D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Data Retention and Classification Policy for AI Data</w:t>
      </w:r>
    </w:p>
    <w:p w14:paraId="2036505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and publish a data retention and classification policy specifically covering datasets used in AI development, training, and inference, defining retention periods, archival criteria, legal bases, and disposal procedures mapped to data sensitivity and regulatory requirements.</w:t>
      </w:r>
    </w:p>
    <w:p w14:paraId="5EB4B3C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560DC0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Published data retention and classification policy with AI-specific sections and approval signatures.</w:t>
      </w:r>
    </w:p>
    <w:p w14:paraId="7FE5445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classification inventory showing datasets, sensitivity labels, retention periods, and legal basis.</w:t>
      </w:r>
    </w:p>
    <w:p w14:paraId="197AC07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 history linking policy updates to regulatory or business-driver changes.</w:t>
      </w:r>
    </w:p>
    <w:p w14:paraId="1536D54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Communications/training artifacts announcing the policy to data stewards and AI teams.</w:t>
      </w:r>
    </w:p>
    <w:p w14:paraId="73A0A6CF"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52C3ED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Data Lifecycle Controls Integrated into the AI SDLC</w:t>
      </w:r>
    </w:p>
    <w:p w14:paraId="3D74CB9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Integrate retention, anonymization/pseudonymization, and deletion checkpoints into the AI system development lifecycle (requirements, data collection, preprocessing, training, deployment, monitoring, decommissioning) with mandatory attestations before progression.</w:t>
      </w:r>
    </w:p>
    <w:p w14:paraId="44B39DA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9B3C6D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SDLC stage-gate checklists showing completed data lifecycle controls and attestation records.</w:t>
      </w:r>
    </w:p>
    <w:p w14:paraId="40DF0DC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Workflow/ticketing logs requiring and recording anonymization or retention actions prior to model training or deployment.</w:t>
      </w:r>
    </w:p>
    <w:p w14:paraId="48205A9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processing maps or dataflow diagrams annotated with lifecycle control points.</w:t>
      </w:r>
    </w:p>
    <w:p w14:paraId="1C3F4D4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Sign-offs from data protection/privacy owners at relevant SDLC stages.</w:t>
      </w:r>
    </w:p>
    <w:p w14:paraId="4383BBF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FCF98A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Automated Retention Enforcement and Deletion/Archival Mechanisms</w:t>
      </w:r>
    </w:p>
    <w:p w14:paraId="4A20EE6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technical controls and tooling that enforce retention schedules (automatic archival or deletion), track deletion requests, and produce tamper-evident logs demonstrating actions taken on training and production datasets.</w:t>
      </w:r>
    </w:p>
    <w:p w14:paraId="6C67B3A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164B2C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System logs or audit trails showing automated deletion/archival jobs with timestamps and dataset identifiers.</w:t>
      </w:r>
    </w:p>
    <w:p w14:paraId="6F2BB90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Tooling configuration screenshots (retention rules, schedules) and change history.</w:t>
      </w:r>
    </w:p>
    <w:p w14:paraId="7B667D4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of completed deletion/archival actions in response to retention expiry or data subject requests.</w:t>
      </w:r>
    </w:p>
    <w:p w14:paraId="25E2476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Hashes/checksums or snapshots proving dataset state before and after deletion/archival (where permitted).</w:t>
      </w:r>
    </w:p>
    <w:p w14:paraId="74D9C5B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183812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Data Subject Rights and Workflow for AI Datasets</w:t>
      </w:r>
    </w:p>
    <w:p w14:paraId="0CFFB16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documented processes and tooling to handle data subject requests (access, correction, deletion, portability) that ensure requests affecting AI training or inference data are identified, propagated to owners, and remedied across datasets/models (including retraining or model explainability adjustments where necessary).</w:t>
      </w:r>
    </w:p>
    <w:p w14:paraId="48469C2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7E08FA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Logged data subject requests showing intake, impact analysis on AI datasets/models, and closure evidence.</w:t>
      </w:r>
    </w:p>
    <w:p w14:paraId="5CF3E88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Workflow tickets and communications documenting coordination between privacy, data engineering, and ML teams for fulfillment.</w:t>
      </w:r>
    </w:p>
    <w:p w14:paraId="142DAF9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model retraining, feature removal, or inference adjustments performed as a result of requests.</w:t>
      </w:r>
    </w:p>
    <w:p w14:paraId="37B4D33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Standard operating procedures (SOPs) and SLA metrics for handling requests affecting AI data.</w:t>
      </w:r>
    </w:p>
    <w:p w14:paraId="2F17F61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549B08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Periodic Verification, Auditing, and Reconciliation of AI Training Data Compliance</w:t>
      </w:r>
    </w:p>
    <w:p w14:paraId="3705AD1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regular audits and reconciliations to verify training and production datasets comply with retention and privacy policies (sampling, lineage checks, consent verification), and update records when legal obligations change; feed findings into remediation plans.</w:t>
      </w:r>
    </w:p>
    <w:p w14:paraId="6FCD3B5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F6A747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reports showing dataset samples, lineage verification, consent/ legal-basis checks, and findings.</w:t>
      </w:r>
    </w:p>
    <w:p w14:paraId="2202B67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Reconciliation logs linking datasets in storage to the retention inventory and noting discrepancies and remediation actions.</w:t>
      </w:r>
    </w:p>
    <w:p w14:paraId="5D1E1C9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Remediation tickets and closure evidence for non-compliant datasets (e.g., deleted/archived or reclassified).</w:t>
      </w:r>
    </w:p>
    <w:p w14:paraId="673C8DC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Governance reports showing tracking of policy-change-driven updates (e.g., changes in retention periods) and confirmation of applied changes across datasets and models.</w:t>
      </w:r>
    </w:p>
    <w:p w14:paraId="1917BD7F"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10" w:name="_Toc214874755"/>
      <w:r w:rsidRPr="00963E47">
        <w:rPr>
          <w:rFonts w:ascii="Aptos" w:eastAsia="Aptos" w:hAnsi="Aptos" w:cs="Times New Roman"/>
          <w:b/>
          <w:bCs/>
          <w:noProof/>
          <w:color w:val="35256B"/>
          <w:kern w:val="2"/>
          <w:sz w:val="24"/>
          <w14:ligatures w14:val="standardContextual"/>
        </w:rPr>
        <w:t>GOVERN / Establishing Key Policies &amp; Processes / Defining Trustworthy AI Policies</w:t>
      </w:r>
      <w:bookmarkEnd w:id="10"/>
      <w:r w:rsidRPr="00963E47">
        <w:rPr>
          <w:rFonts w:ascii="Aptos" w:eastAsia="Aptos" w:hAnsi="Aptos" w:cs="Times New Roman"/>
          <w:b/>
          <w:bCs/>
          <w:noProof/>
          <w:color w:val="35256B"/>
          <w:kern w:val="2"/>
          <w:sz w:val="24"/>
          <w14:ligatures w14:val="standardContextual"/>
        </w:rPr>
        <w:t xml:space="preserve"> </w:t>
      </w:r>
    </w:p>
    <w:p w14:paraId="3ECD7F70"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6C9EBE6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20FB8A0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338932D2" w14:textId="77777777" w:rsidTr="005C00A5">
        <w:tc>
          <w:tcPr>
            <w:tcW w:w="1170" w:type="dxa"/>
          </w:tcPr>
          <w:p w14:paraId="6CEA035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688EABD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446360E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745E2E0A" w14:textId="77777777" w:rsidTr="005C00A5">
        <w:tc>
          <w:tcPr>
            <w:tcW w:w="1170" w:type="dxa"/>
          </w:tcPr>
          <w:p w14:paraId="316F5EE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GV-1.2.1</w:t>
            </w:r>
          </w:p>
        </w:tc>
        <w:tc>
          <w:tcPr>
            <w:tcW w:w="2160" w:type="dxa"/>
          </w:tcPr>
          <w:p w14:paraId="1898C21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Principles and Policy Integration</w:t>
            </w:r>
          </w:p>
        </w:tc>
        <w:tc>
          <w:tcPr>
            <w:tcW w:w="6740" w:type="dxa"/>
          </w:tcPr>
          <w:p w14:paraId="375B0E6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defines and documents its own AI Trustworthy Principles, which are then integrated into relevant policies, processes, and practices across key functions (e.g., HR, IT, legal, compliance).</w:t>
            </w:r>
          </w:p>
          <w:p w14:paraId="3B45412B" w14:textId="77777777" w:rsidR="00963E47" w:rsidRPr="00963E47" w:rsidRDefault="00963E47" w:rsidP="004C3837">
            <w:pPr>
              <w:keepNext/>
              <w:rPr>
                <w:rFonts w:ascii="Aptos" w:hAnsi="Aptos" w:cs="Times New Roman"/>
                <w:b/>
                <w:bCs/>
                <w:color w:val="000000"/>
                <w:sz w:val="20"/>
                <w:szCs w:val="20"/>
              </w:rPr>
            </w:pPr>
          </w:p>
          <w:p w14:paraId="6AE1D2BB" w14:textId="77777777" w:rsidR="00963E47" w:rsidRPr="00963E47" w:rsidRDefault="00963E47" w:rsidP="004C3837">
            <w:pPr>
              <w:keepNext/>
              <w:rPr>
                <w:rFonts w:ascii="Aptos" w:hAnsi="Aptos" w:cs="Times New Roman"/>
                <w:b/>
                <w:bCs/>
                <w:color w:val="000000"/>
                <w:sz w:val="20"/>
                <w:szCs w:val="20"/>
              </w:rPr>
            </w:pPr>
            <w:hyperlink r:id="rId20" w:anchor="govern-1-2" w:history="1">
              <w:r w:rsidRPr="00963E47">
                <w:rPr>
                  <w:rFonts w:ascii="Aptos" w:hAnsi="Aptos" w:cs="Times New Roman"/>
                  <w:color w:val="000000"/>
                  <w:sz w:val="20"/>
                  <w:szCs w:val="20"/>
                  <w:u w:val="single"/>
                </w:rPr>
                <w:t>Link to NIST AI RMF Playbook</w:t>
              </w:r>
            </w:hyperlink>
          </w:p>
        </w:tc>
      </w:tr>
    </w:tbl>
    <w:p w14:paraId="5C193B3B"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F021B2D"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1ED977E6"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0C71782D" w14:textId="77777777" w:rsidTr="005C00A5">
        <w:trPr>
          <w:tblHeader/>
        </w:trPr>
        <w:tc>
          <w:tcPr>
            <w:tcW w:w="2160" w:type="dxa"/>
            <w:shd w:val="clear" w:color="auto" w:fill="CCDCDC"/>
            <w:vAlign w:val="center"/>
          </w:tcPr>
          <w:p w14:paraId="17D97146"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0BDB3F2F"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75139CC0"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330FB6AD" w14:textId="77777777" w:rsidTr="005C00A5">
        <w:tc>
          <w:tcPr>
            <w:tcW w:w="2160" w:type="dxa"/>
            <w:shd w:val="clear" w:color="auto" w:fill="CCDCDC"/>
          </w:tcPr>
          <w:p w14:paraId="781C04B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65EE3E1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FD1EA1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Organizations at the initial stage start defining high-level AI principles to provide an essential foundation for responsible AI deployment. Early-stage organizations typically formalize these principles to guide </w:t>
            </w:r>
            <w:r w:rsidRPr="00963E47">
              <w:rPr>
                <w:rFonts w:ascii="Aptos" w:hAnsi="Aptos" w:cs="Times New Roman"/>
                <w:noProof/>
                <w:color w:val="auto"/>
                <w:sz w:val="20"/>
                <w:szCs w:val="20"/>
              </w:rPr>
              <w:lastRenderedPageBreak/>
              <w:t>future risk management efforts, laying groundwork for consistent and responsible AI practices across various functions.</w:t>
            </w:r>
          </w:p>
        </w:tc>
      </w:tr>
      <w:tr w:rsidR="00963E47" w:rsidRPr="00963E47" w14:paraId="37060FE7" w14:textId="77777777" w:rsidTr="005C00A5">
        <w:tc>
          <w:tcPr>
            <w:tcW w:w="2160" w:type="dxa"/>
            <w:shd w:val="clear" w:color="auto" w:fill="CCDCDC"/>
          </w:tcPr>
          <w:p w14:paraId="7CDFD7C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2: Minimal</w:t>
            </w:r>
          </w:p>
        </w:tc>
        <w:tc>
          <w:tcPr>
            <w:tcW w:w="1350" w:type="dxa"/>
          </w:tcPr>
          <w:p w14:paraId="32669BD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575E60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have started to fully define and document their own AI Trustworthy Principles. However, these principles may not be fully developed or consistently integrated into relevant policies, processes, and practices across key functions.</w:t>
            </w:r>
          </w:p>
        </w:tc>
      </w:tr>
      <w:tr w:rsidR="00963E47" w:rsidRPr="00963E47" w14:paraId="5A2496E2" w14:textId="77777777" w:rsidTr="005C00A5">
        <w:tc>
          <w:tcPr>
            <w:tcW w:w="2160" w:type="dxa"/>
            <w:shd w:val="clear" w:color="auto" w:fill="CCDCDC"/>
          </w:tcPr>
          <w:p w14:paraId="7E9CF2B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6617987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23FF19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have defined and documented comprehensive AI Trustworthy Principles. These principles are integrated into relevant policies, processes, and practices across key functions, although their implementation may not yet be fully consistent or mature.</w:t>
            </w:r>
          </w:p>
        </w:tc>
      </w:tr>
      <w:tr w:rsidR="00963E47" w:rsidRPr="00963E47" w14:paraId="30BEE72C" w14:textId="77777777" w:rsidTr="005C00A5">
        <w:tc>
          <w:tcPr>
            <w:tcW w:w="2160" w:type="dxa"/>
            <w:shd w:val="clear" w:color="auto" w:fill="CCDCDC"/>
          </w:tcPr>
          <w:p w14:paraId="48BD323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1D3B76B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D45259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define and document AI Trustworthy Principles and integrate them into relevant policies, processes, and practices. and it is fully ingrained in the organization's culture and operations. These principles are consistently applied, regularly reviewed and updated based on feedback and best practices, and are deeply embedded into all aspects of the organization's AI-related activities.</w:t>
            </w:r>
          </w:p>
        </w:tc>
      </w:tr>
    </w:tbl>
    <w:p w14:paraId="26B73F01"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0031271A" w14:textId="77777777" w:rsidTr="005C00A5">
        <w:tc>
          <w:tcPr>
            <w:tcW w:w="2250" w:type="dxa"/>
          </w:tcPr>
          <w:p w14:paraId="5EF8CFC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0A48951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1D8B330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71C6B0B3" w14:textId="77777777" w:rsidTr="005C00A5">
        <w:tc>
          <w:tcPr>
            <w:tcW w:w="2250" w:type="dxa"/>
          </w:tcPr>
          <w:p w14:paraId="78B5D39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7282CB6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Undefined AI Trustworthy Principles</w:t>
            </w:r>
          </w:p>
        </w:tc>
        <w:tc>
          <w:tcPr>
            <w:tcW w:w="5300" w:type="dxa"/>
          </w:tcPr>
          <w:p w14:paraId="1EC11EC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Trustworthy Principles are not defined or integrated organization-wide</w:t>
            </w:r>
          </w:p>
        </w:tc>
      </w:tr>
    </w:tbl>
    <w:p w14:paraId="6E75BF4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637271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7CE438C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A643CA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Define and document your organization's AI Trustworthy Principles, aligning them with industry best practices and your specific context and values. Communicate these principles to relevant stakeholders and integrate them into key functions such as business lines, HR, IT, legal, and compliance.</w:t>
      </w:r>
    </w:p>
    <w:p w14:paraId="5277E2C1"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C42EB4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Update existing policies, create new ones as necessary, and provide training to ensure the principles are understood and consistently applied throughout the organization.</w:t>
      </w:r>
    </w:p>
    <w:p w14:paraId="0E4871CA"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C41FCF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5A9189F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C67599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AI Trustworthy Principles Statement and Governance Approval</w:t>
      </w:r>
    </w:p>
    <w:p w14:paraId="43E5F0C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Create a formal, published statement of the organization’s AI Trustworthy Principles (e.g., fairness, transparency, accountability, privacy, safety) and obtain governance-level approval (executive/board) to ensure organizational endorsement and visibility.</w:t>
      </w:r>
    </w:p>
    <w:p w14:paraId="67527E6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2C7D7C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Published AI Trustworthy Principles document with date and version.</w:t>
      </w:r>
    </w:p>
    <w:p w14:paraId="27AF085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Board or executive meeting minutes recording approval or endorsement.</w:t>
      </w:r>
    </w:p>
    <w:p w14:paraId="00E02A9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Internal communications (intranet announcement, emails) announcing the principles.</w:t>
      </w:r>
    </w:p>
    <w:p w14:paraId="32CF41D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Executive sponsor or C-suite sign-off on the principles.</w:t>
      </w:r>
    </w:p>
    <w:p w14:paraId="541DC48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50931D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of Principles into Policies and Standards</w:t>
      </w:r>
    </w:p>
    <w:p w14:paraId="1CC9EF8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Map the AI Trustworthy Principles to existing and new organizational policies, standards, and standard operating procedures (SOPs) (privacy, data governance, procurement, vendor management, HR) so the principles are operationalized and enforced through formal documents.</w:t>
      </w:r>
    </w:p>
    <w:p w14:paraId="09F5FF0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D44ACB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Policy documents (privacy, data retention, procurement) with sections referencing or embedding AI principles.</w:t>
      </w:r>
    </w:p>
    <w:p w14:paraId="0EA2E32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Standards or SOPs showing specific controls derived from the principles (e.g., fairness testing in ML testing standards).</w:t>
      </w:r>
    </w:p>
    <w:p w14:paraId="19F09CD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Policy mapping matrix linking each principle to affected policies/processes and owners.</w:t>
      </w:r>
    </w:p>
    <w:p w14:paraId="3EBCD55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policy change records showing when principles were integrated.</w:t>
      </w:r>
    </w:p>
    <w:p w14:paraId="6D525003"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9D46D4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Role-Based Procedures and Responsibilities for Principle Implementation</w:t>
      </w:r>
    </w:p>
    <w:p w14:paraId="35708C0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Define role-specific procedures and responsibilities (e.g., hiring, performance reviews, model development, legal review, procurement) that translate high-level principles into concrete actions and assign accountable owners.</w:t>
      </w:r>
    </w:p>
    <w:p w14:paraId="39B845C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D59B25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RACI or responsibility matrices detailing owner tasks tied to each principle.</w:t>
      </w:r>
    </w:p>
    <w:p w14:paraId="251BA5A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Job descriptions, SOPs, or checklists for roles (ML engineers, product owners, legal) showing principle-related duties.</w:t>
      </w:r>
    </w:p>
    <w:p w14:paraId="30AE967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Signed attestations or acknowledgements from role owners accepting responsibilities.</w:t>
      </w:r>
    </w:p>
    <w:p w14:paraId="34CF1FC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Operational runbooks or playbooks demonstrating how roles apply principles in routine tasks.</w:t>
      </w:r>
    </w:p>
    <w:p w14:paraId="0904141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C84035B"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Principle-Based Requirements in Procurement and Third-Party Management</w:t>
      </w:r>
    </w:p>
    <w:p w14:paraId="6F81B90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Embed AI Trustworthy Principles criteria into procurement, vendor selection, and contract clauses (e.g., requirements for model interpretability, data provenance, compliance with principles) and require evidence from suppliers.</w:t>
      </w:r>
    </w:p>
    <w:p w14:paraId="5EA5702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BCC842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Procurement templates and Requests for Information/Proposal (RFI/RFP) including AI Trustworthy Principles and mandatory supplier attestations.</w:t>
      </w:r>
    </w:p>
    <w:p w14:paraId="3FF77D6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Contracts or contract clauses referencing compliance with the organization’s AI Trustworthy Principles.</w:t>
      </w:r>
    </w:p>
    <w:p w14:paraId="1493989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Supplier assessments or evidence packages demonstrating adherence (model cards, certifications, SOC reports).</w:t>
      </w:r>
    </w:p>
    <w:p w14:paraId="7D51921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Vendor approval records showing principle-based evaluation outcomes.</w:t>
      </w:r>
    </w:p>
    <w:p w14:paraId="3D5EC09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70F564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Training, Awareness, and Compliance Monitoring Program</w:t>
      </w:r>
    </w:p>
    <w:p w14:paraId="226D60B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Deliver role-specific training on the AI Trustworthy Principles, embed principle checks into SDLC/gates, and run monitoring/audit programs to measure adoption and effectiveness, with mechanisms to remediate gaps.</w:t>
      </w:r>
    </w:p>
    <w:p w14:paraId="5925448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5C37B7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materials, attendance records, and completion certificates for staff and relevant stakeholders.</w:t>
      </w:r>
    </w:p>
    <w:p w14:paraId="3763439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SDLC stage-gate checklists or automated controls that include principle compliance attestations.</w:t>
      </w:r>
    </w:p>
    <w:p w14:paraId="7624D1C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or audit reports assessing principle adoption, with remediation plans and closure evidence.</w:t>
      </w:r>
    </w:p>
    <w:p w14:paraId="7D904B3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Metrics dashboards showing KPIs (training completion rates, number of principle-related findings, remediation times)</w:t>
      </w:r>
    </w:p>
    <w:p w14:paraId="23A20599"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19BD943A"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18EC402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3A65CBC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0EC38204" w14:textId="77777777" w:rsidTr="005C00A5">
        <w:tc>
          <w:tcPr>
            <w:tcW w:w="1170" w:type="dxa"/>
          </w:tcPr>
          <w:p w14:paraId="6E480A5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5CC2163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1CDABE4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671FCF72" w14:textId="77777777" w:rsidTr="005C00A5">
        <w:tc>
          <w:tcPr>
            <w:tcW w:w="1170" w:type="dxa"/>
          </w:tcPr>
          <w:p w14:paraId="7D5F987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GV-1.2.2</w:t>
            </w:r>
          </w:p>
        </w:tc>
        <w:tc>
          <w:tcPr>
            <w:tcW w:w="2160" w:type="dxa"/>
          </w:tcPr>
          <w:p w14:paraId="5768CBD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Terminology and Scope Glossary</w:t>
            </w:r>
          </w:p>
        </w:tc>
        <w:tc>
          <w:tcPr>
            <w:tcW w:w="6740" w:type="dxa"/>
          </w:tcPr>
          <w:p w14:paraId="6A61FE2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establishes, maintains, and periodically updates a glossary of AI-related terms and concepts and clearly defines the scope, purpose, and intended/acceptable uses of its AI systems. This information is referenced and reflected consistently across organizational policies, standards, other relevant documentation, and training programs.</w:t>
            </w:r>
          </w:p>
          <w:p w14:paraId="4C601DB2" w14:textId="77777777" w:rsidR="00963E47" w:rsidRPr="00963E47" w:rsidRDefault="00963E47" w:rsidP="004C3837">
            <w:pPr>
              <w:keepNext/>
              <w:rPr>
                <w:rFonts w:ascii="Aptos" w:hAnsi="Aptos" w:cs="Times New Roman"/>
                <w:b/>
                <w:bCs/>
                <w:color w:val="000000"/>
                <w:sz w:val="20"/>
                <w:szCs w:val="20"/>
              </w:rPr>
            </w:pPr>
          </w:p>
          <w:p w14:paraId="1E60155A" w14:textId="77777777" w:rsidR="00963E47" w:rsidRPr="00963E47" w:rsidRDefault="00963E47" w:rsidP="004C3837">
            <w:pPr>
              <w:keepNext/>
              <w:rPr>
                <w:rFonts w:ascii="Aptos" w:hAnsi="Aptos" w:cs="Times New Roman"/>
                <w:b/>
                <w:bCs/>
                <w:color w:val="000000"/>
                <w:sz w:val="20"/>
                <w:szCs w:val="20"/>
              </w:rPr>
            </w:pPr>
            <w:hyperlink r:id="rId21" w:anchor="govern-1-2" w:history="1">
              <w:r w:rsidRPr="00963E47">
                <w:rPr>
                  <w:rFonts w:ascii="Aptos" w:hAnsi="Aptos" w:cs="Times New Roman"/>
                  <w:color w:val="000000"/>
                  <w:sz w:val="20"/>
                  <w:szCs w:val="20"/>
                  <w:u w:val="single"/>
                </w:rPr>
                <w:t>Link to NIST AI RMF Playbook</w:t>
              </w:r>
            </w:hyperlink>
          </w:p>
        </w:tc>
      </w:tr>
    </w:tbl>
    <w:p w14:paraId="4A6639A1"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EBDC0EF"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lastRenderedPageBreak/>
        <w:t>Adoption Stage Applicability:</w:t>
      </w:r>
      <w:r w:rsidRPr="00963E47">
        <w:rPr>
          <w:rFonts w:ascii="Aptos" w:eastAsia="Aptos" w:hAnsi="Aptos" w:cs="Times New Roman"/>
          <w:color w:val="C00000"/>
          <w:kern w:val="2"/>
          <w:sz w:val="20"/>
          <w:szCs w:val="20"/>
          <w14:ligatures w14:val="standardContextual"/>
        </w:rPr>
        <w:t xml:space="preserve"> </w:t>
      </w:r>
    </w:p>
    <w:p w14:paraId="609F7CCB"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04B060CA" w14:textId="77777777" w:rsidTr="005C00A5">
        <w:trPr>
          <w:tblHeader/>
        </w:trPr>
        <w:tc>
          <w:tcPr>
            <w:tcW w:w="2160" w:type="dxa"/>
            <w:shd w:val="clear" w:color="auto" w:fill="CCDCDC"/>
            <w:vAlign w:val="center"/>
          </w:tcPr>
          <w:p w14:paraId="61836E22"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0A24E7E5"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44E0F1FD"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673A6448" w14:textId="77777777" w:rsidTr="005C00A5">
        <w:tc>
          <w:tcPr>
            <w:tcW w:w="2160" w:type="dxa"/>
            <w:shd w:val="clear" w:color="auto" w:fill="CCDCDC"/>
          </w:tcPr>
          <w:p w14:paraId="7D7DCBB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5DFE383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CBFDAD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initial stage begin establishing a shared understanding of AI terminology and scope is crucial for effective communication and policy development.</w:t>
            </w:r>
          </w:p>
        </w:tc>
      </w:tr>
      <w:tr w:rsidR="00963E47" w:rsidRPr="00963E47" w14:paraId="24768939" w14:textId="77777777" w:rsidTr="005C00A5">
        <w:tc>
          <w:tcPr>
            <w:tcW w:w="2160" w:type="dxa"/>
            <w:shd w:val="clear" w:color="auto" w:fill="CCDCDC"/>
          </w:tcPr>
          <w:p w14:paraId="46260EC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3D119BF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79A45D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have started to establish a glossary of AI-related terms and concepts and define the scope, purpose, and intended/acceptable uses of its AI systems. However, this information may not be fully developed, consistently referenced, or reflected across organizational policies, standards, documentation, and training programs.</w:t>
            </w:r>
          </w:p>
        </w:tc>
      </w:tr>
      <w:tr w:rsidR="00963E47" w:rsidRPr="00963E47" w14:paraId="4BB84EC3" w14:textId="77777777" w:rsidTr="005C00A5">
        <w:tc>
          <w:tcPr>
            <w:tcW w:w="2160" w:type="dxa"/>
            <w:shd w:val="clear" w:color="auto" w:fill="CCDCDC"/>
          </w:tcPr>
          <w:p w14:paraId="727B1F0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786343A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3269F4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have established a comprehensive glossary of AI-related terms and concepts and clearly defined the scope, purpose, and intended/acceptable uses of its AI systems. This information is referenced and reflected consistently across organizational policies, standards, documentation, and training programs, although its implementation may not yet be fully mature or integrated.</w:t>
            </w:r>
          </w:p>
        </w:tc>
      </w:tr>
      <w:tr w:rsidR="00963E47" w:rsidRPr="00963E47" w14:paraId="7CBA75C8" w14:textId="77777777" w:rsidTr="005C00A5">
        <w:tc>
          <w:tcPr>
            <w:tcW w:w="2160" w:type="dxa"/>
            <w:shd w:val="clear" w:color="auto" w:fill="CCDCDC"/>
          </w:tcPr>
          <w:p w14:paraId="78B279F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71FEAF0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28CC04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establish and maintain a glossary of AI-related terms and concepts and define the scope, purpose, and intended/acceptable uses of AI systems, and it is fully integrated into the organization's knowledge management and governance processes. This information is consistently applied, regularly reviewed and updated, and deeply embedded into all aspects of the organization's AI-related policies, standards, documentation, and training programs.</w:t>
            </w:r>
          </w:p>
        </w:tc>
      </w:tr>
    </w:tbl>
    <w:p w14:paraId="184566C1"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145DC837" w14:textId="77777777" w:rsidTr="005C00A5">
        <w:tc>
          <w:tcPr>
            <w:tcW w:w="2250" w:type="dxa"/>
          </w:tcPr>
          <w:p w14:paraId="3983BF9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0E592C7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0E0C993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0D86E116" w14:textId="77777777" w:rsidTr="005C00A5">
        <w:tc>
          <w:tcPr>
            <w:tcW w:w="2250" w:type="dxa"/>
          </w:tcPr>
          <w:p w14:paraId="6CD6B08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033F475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Inconsistent Use of AI Terms</w:t>
            </w:r>
          </w:p>
        </w:tc>
        <w:tc>
          <w:tcPr>
            <w:tcW w:w="5300" w:type="dxa"/>
          </w:tcPr>
          <w:p w14:paraId="2DA0D13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terms are used inconsistently across the organization, its policies, and its documentation</w:t>
            </w:r>
          </w:p>
        </w:tc>
      </w:tr>
    </w:tbl>
    <w:p w14:paraId="0A75B2A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0538A3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7FE9EF6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C929F6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and maintain a glossary of AI-related terms and concepts to promote a common understanding across the organization. Include clear definitions of key terms and descriptions of the scope, purpose, and intended uses of the AI systems.</w:t>
      </w:r>
    </w:p>
    <w:p w14:paraId="2FF93F68"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802333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Regularly review and update the glossary to reflect changes in AI practices and the broader AI landscape. Ensure that definitions and concepts from the glossary are consistently referenced in organizational policies, standards, documentation, and training programs.</w:t>
      </w:r>
    </w:p>
    <w:p w14:paraId="5774059F"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9087E8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75EACBB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B973BE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Centralized AI Glossary and Taxonomy</w:t>
      </w:r>
    </w:p>
    <w:p w14:paraId="03E1B46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a centrally managed, version-controlled glossary and taxonomy of AI terms (e.g., model, training data, inference, bias, explainability) with definitions, usage guidance, and links to related policies and artifacts; review and update at regular intervals.</w:t>
      </w:r>
    </w:p>
    <w:p w14:paraId="04D2C90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577FEA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Published glossary document or intranet page with version history and approval stamps.</w:t>
      </w:r>
    </w:p>
    <w:p w14:paraId="0771C52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 showing updates tied to reviews or regulatory/standards changes.</w:t>
      </w:r>
    </w:p>
    <w:p w14:paraId="32A4691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Access/audit logs demonstrating who edited or approved glossary entries.</w:t>
      </w:r>
    </w:p>
    <w:p w14:paraId="68616D7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Cross-reference matrix showing links from glossary terms to policies, playbooks, and system dossiers.</w:t>
      </w:r>
    </w:p>
    <w:p w14:paraId="7CB1C96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B880CF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AI System Use-Case and Scope Register</w:t>
      </w:r>
    </w:p>
    <w:p w14:paraId="3D675C4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a register that documents each AI system’s scope, purpose, intended/acceptable uses, boundaries, and prohibited uses, and require owners to update the register whenever capabilities or use cases change.</w:t>
      </w:r>
    </w:p>
    <w:p w14:paraId="414C71E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CBB724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System register or catalog entries for sampled AI systems specifying scope, purpose, allowed and disallowed uses.</w:t>
      </w:r>
    </w:p>
    <w:p w14:paraId="2E1BFE3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Owner attestations or approvals confirming accuracy of system scope and use-case entries.</w:t>
      </w:r>
    </w:p>
    <w:p w14:paraId="02F33C9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showing updates to scope/use entries after system changes or governance reviews.</w:t>
      </w:r>
    </w:p>
    <w:p w14:paraId="4868862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Communications to stakeholders when system uses are added/modified (emails, release notes).</w:t>
      </w:r>
    </w:p>
    <w:p w14:paraId="6CEF9EC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FABE90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Policy and Documentation Cross-Referencing Requirement</w:t>
      </w:r>
    </w:p>
    <w:p w14:paraId="4117813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Require that all AI-related policies, standards, SOPs, procurement templates, and training materials reference glossary definitions and the system use register to ensure consistent terminology and aligned intent across documents.</w:t>
      </w:r>
    </w:p>
    <w:p w14:paraId="3DC411D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5EE15B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Policy and SOP documents with explicit references or hyperlinks to glossary terms and system use entries.</w:t>
      </w:r>
    </w:p>
    <w:p w14:paraId="39C2E8F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Policy mapping matrix demonstrating consistent term usage across documents.</w:t>
      </w:r>
    </w:p>
    <w:p w14:paraId="056F1D8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review records showing checks for consistency with the glossary during updates.</w:t>
      </w:r>
    </w:p>
    <w:p w14:paraId="12CC6B7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Approval records indicating reviewers confirmed alignment to glossary and scope register.</w:t>
      </w:r>
    </w:p>
    <w:p w14:paraId="47432FCF"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78DFCE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into SDLC Gates and Approval Workflows</w:t>
      </w:r>
    </w:p>
    <w:p w14:paraId="1D2C088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Embed checks into SDLC stage-gates and change control workflows that validate system scope, purpose, and acceptable uses against the register and require glossary-based term usage in design/specifications before approval.</w:t>
      </w:r>
    </w:p>
    <w:p w14:paraId="3D50F2F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585131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Stage-gate checklist items and approval forms requiring confirmation of scope/use alignment and correct term usage.</w:t>
      </w:r>
    </w:p>
    <w:p w14:paraId="3D39554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Ticketing/workflow logs showing gates blocked until scope and glossary checks are completed.</w:t>
      </w:r>
    </w:p>
    <w:p w14:paraId="5B8895E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Design/specification documents and product requirements document (PRD)s using standardized glossary terms with reviewer sign-offs.</w:t>
      </w:r>
    </w:p>
    <w:p w14:paraId="21EB78F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samples demonstrating SDLC enforcement for multiple projects.</w:t>
      </w:r>
    </w:p>
    <w:p w14:paraId="618D52F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5B5558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Training, Communications, and Stakeholder Awareness Program</w:t>
      </w:r>
    </w:p>
    <w:p w14:paraId="189FF16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Provide role-specific training and communications that teach the glossary terms, expected interpretations, and the organization’s definitions of acceptable AI uses. Include assessments and periodic refreshers to ensure ongoing consistency.</w:t>
      </w:r>
    </w:p>
    <w:p w14:paraId="4AFD5EA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524084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materials, completion records, and assessment results referencing glossary terms and acceptable uses.</w:t>
      </w:r>
    </w:p>
    <w:p w14:paraId="025E51B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Awareness campaign artifacts (intranet posts, FAQs, quick-reference cards) linking to the glossary and system register.</w:t>
      </w:r>
    </w:p>
    <w:p w14:paraId="77712BF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Periodic refresher attendance logs and quiz/assessment outcomes demonstrating retained understanding.</w:t>
      </w:r>
    </w:p>
    <w:p w14:paraId="4BB1CC0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Survey or audit results showing reduced terminology inconsistencies and improved policy adherence after training.</w:t>
      </w:r>
    </w:p>
    <w:p w14:paraId="7EECF2CB"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632B562C"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1095BCB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5B756D1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5E2DA340" w14:textId="77777777" w:rsidTr="005C00A5">
        <w:tc>
          <w:tcPr>
            <w:tcW w:w="1170" w:type="dxa"/>
          </w:tcPr>
          <w:p w14:paraId="42E685B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20A5659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0437726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5DC0586A" w14:textId="77777777" w:rsidTr="005C00A5">
        <w:tc>
          <w:tcPr>
            <w:tcW w:w="1170" w:type="dxa"/>
          </w:tcPr>
          <w:p w14:paraId="17DCBE6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GV-1.2.3</w:t>
            </w:r>
          </w:p>
        </w:tc>
        <w:tc>
          <w:tcPr>
            <w:tcW w:w="2160" w:type="dxa"/>
          </w:tcPr>
          <w:p w14:paraId="0A81E57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Acceptable Use Policy</w:t>
            </w:r>
          </w:p>
        </w:tc>
        <w:tc>
          <w:tcPr>
            <w:tcW w:w="6740" w:type="dxa"/>
          </w:tcPr>
          <w:p w14:paraId="344DC55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develops and maintains an enterprise-level Acceptable AI Use Policy that outlines the types of AI applications the organization is willing or unwilling to adopt based on its risk appetite and tolerance. This policy is communicated clearly across the organization and, where applicable, supplemented by individual acceptable use guidelines or standards for employees, third parties, and other relevant stakeholders. Periodic reviews ensure alignment with evolving risk considerations and organizational objectives.</w:t>
            </w:r>
          </w:p>
          <w:p w14:paraId="2698D87A" w14:textId="77777777" w:rsidR="00963E47" w:rsidRPr="00963E47" w:rsidRDefault="00963E47" w:rsidP="004C3837">
            <w:pPr>
              <w:keepNext/>
              <w:rPr>
                <w:rFonts w:ascii="Aptos" w:hAnsi="Aptos" w:cs="Times New Roman"/>
                <w:b/>
                <w:bCs/>
                <w:color w:val="000000"/>
                <w:sz w:val="20"/>
                <w:szCs w:val="20"/>
              </w:rPr>
            </w:pPr>
          </w:p>
          <w:p w14:paraId="50B57E6F" w14:textId="77777777" w:rsidR="00963E47" w:rsidRPr="00963E47" w:rsidRDefault="00963E47" w:rsidP="004C3837">
            <w:pPr>
              <w:keepNext/>
              <w:rPr>
                <w:rFonts w:ascii="Aptos" w:hAnsi="Aptos" w:cs="Times New Roman"/>
                <w:b/>
                <w:bCs/>
                <w:color w:val="000000"/>
                <w:sz w:val="20"/>
                <w:szCs w:val="20"/>
              </w:rPr>
            </w:pPr>
            <w:hyperlink r:id="rId22" w:anchor="govern-1-2" w:history="1">
              <w:r w:rsidRPr="00963E47">
                <w:rPr>
                  <w:rFonts w:ascii="Aptos" w:hAnsi="Aptos" w:cs="Times New Roman"/>
                  <w:color w:val="000000"/>
                  <w:sz w:val="20"/>
                  <w:szCs w:val="20"/>
                  <w:u w:val="single"/>
                </w:rPr>
                <w:t>Link to NIST AI RMF Playbook</w:t>
              </w:r>
            </w:hyperlink>
          </w:p>
        </w:tc>
      </w:tr>
    </w:tbl>
    <w:p w14:paraId="370CD085"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1A85B62"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32C662A5"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628CFD1C" w14:textId="77777777" w:rsidTr="005C00A5">
        <w:trPr>
          <w:tblHeader/>
        </w:trPr>
        <w:tc>
          <w:tcPr>
            <w:tcW w:w="2160" w:type="dxa"/>
            <w:shd w:val="clear" w:color="auto" w:fill="CCDCDC"/>
            <w:vAlign w:val="center"/>
          </w:tcPr>
          <w:p w14:paraId="7FC31594"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7A1FB899"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2DF9C87C"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0777EC17" w14:textId="77777777" w:rsidTr="005C00A5">
        <w:tc>
          <w:tcPr>
            <w:tcW w:w="2160" w:type="dxa"/>
            <w:shd w:val="clear" w:color="auto" w:fill="CCDCDC"/>
          </w:tcPr>
          <w:p w14:paraId="55D700A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343FD1B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0F5D404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292BE6BC" w14:textId="77777777" w:rsidTr="005C00A5">
        <w:tc>
          <w:tcPr>
            <w:tcW w:w="2160" w:type="dxa"/>
            <w:shd w:val="clear" w:color="auto" w:fill="CCDCDC"/>
          </w:tcPr>
          <w:p w14:paraId="1EA8F15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523F7F4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902BD7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minimal stage of AI adoption establish initial acceptable AI use policies that define boundaries for AI applications within certain parts of the organization.</w:t>
            </w:r>
          </w:p>
        </w:tc>
      </w:tr>
      <w:tr w:rsidR="00963E47" w:rsidRPr="00963E47" w14:paraId="34A841F6" w14:textId="77777777" w:rsidTr="005C00A5">
        <w:tc>
          <w:tcPr>
            <w:tcW w:w="2160" w:type="dxa"/>
            <w:shd w:val="clear" w:color="auto" w:fill="CCDCDC"/>
          </w:tcPr>
          <w:p w14:paraId="143F85F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64038CD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73E860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expand and refine the policies to address new risks and applications, supported by supplementary guidelines for stakeholders as AI adoption grows.</w:t>
            </w:r>
          </w:p>
        </w:tc>
      </w:tr>
      <w:tr w:rsidR="00963E47" w:rsidRPr="00963E47" w14:paraId="6717C716" w14:textId="77777777" w:rsidTr="005C00A5">
        <w:tc>
          <w:tcPr>
            <w:tcW w:w="2160" w:type="dxa"/>
            <w:shd w:val="clear" w:color="auto" w:fill="CCDCDC"/>
          </w:tcPr>
          <w:p w14:paraId="35F7539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6C4F47F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8887C5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ensure that policies are well-integrated, regularly reviewed, and effectively communicated across all levels, aligning with evolving risks and organizational objectives to promote responsible AI use organization-wide.</w:t>
            </w:r>
          </w:p>
        </w:tc>
      </w:tr>
    </w:tbl>
    <w:p w14:paraId="163D85E4"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448F8648" w14:textId="77777777" w:rsidTr="005C00A5">
        <w:tc>
          <w:tcPr>
            <w:tcW w:w="2250" w:type="dxa"/>
          </w:tcPr>
          <w:p w14:paraId="514628B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0B94A06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5FD9E0B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04E7AF93" w14:textId="77777777" w:rsidTr="005C00A5">
        <w:tc>
          <w:tcPr>
            <w:tcW w:w="2250" w:type="dxa"/>
          </w:tcPr>
          <w:p w14:paraId="511F46E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37F0087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Absent or Unclear AI Use Policy</w:t>
            </w:r>
          </w:p>
        </w:tc>
        <w:tc>
          <w:tcPr>
            <w:tcW w:w="5300" w:type="dxa"/>
          </w:tcPr>
          <w:p w14:paraId="0E80F94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Acceptable AI use policy is absent, unclear, inconsistent, or poorly communicated</w:t>
            </w:r>
          </w:p>
        </w:tc>
      </w:tr>
    </w:tbl>
    <w:p w14:paraId="4747564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6C573E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2FFD234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D3F9FB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Develop, communicate, and periodically review an enterprise-level Acceptable AI Use Policy that clearly delineates the types of AI applications and practices aligned with the organization’s risk appetite and tolerances. Specify which AI use cases are permitted, restricted, or prohibited and outline organizational expectations for responsible AI deployment. Supplement the policy with specific guidelines or standards at the employee, third-party, or departmental levels, addressing individual acceptable use, organizational considerations, and risk mitigation measures. </w:t>
      </w:r>
    </w:p>
    <w:p w14:paraId="2CDEA3B8"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743B8FD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Regularly review and update the policy to adapt to technological advancements, emerging risks, and organizational priorities. Establish or update training programs to incorporate education on acceptable AI use, reinforcing behaviors and decision-making that align with the policy.</w:t>
      </w:r>
    </w:p>
    <w:p w14:paraId="2C098485"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42DA75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lastRenderedPageBreak/>
        <w:t xml:space="preserve">Example Controls and Evidence: </w:t>
      </w:r>
    </w:p>
    <w:p w14:paraId="6679002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B07D2A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Enterprise Acceptable AI Use Policy</w:t>
      </w:r>
    </w:p>
    <w:p w14:paraId="062A100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Publish a formal, version-controlled Acceptable AI Use Policy that defines allowed, restricted, and prohibited AI use-cases, aligns with organizational risk appetite, and includes escalation and exception processes.</w:t>
      </w:r>
    </w:p>
    <w:p w14:paraId="16B522C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E03DE0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Published policy document with version history, approval signatures (C-suite/board), and effective date.</w:t>
      </w:r>
    </w:p>
    <w:p w14:paraId="356A3D3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Documented exception request and approval records for prohibited or high-risk AI use-cases.</w:t>
      </w:r>
    </w:p>
    <w:p w14:paraId="47BB2C1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Policy distribution records (emails, intranet posts) and acknowledgement logs showing employee receipt.</w:t>
      </w:r>
    </w:p>
    <w:p w14:paraId="72964DC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Policy review schedule and change log demonstrating periodic updates tied to risk or regulatory changes.</w:t>
      </w:r>
    </w:p>
    <w:p w14:paraId="0B32E80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AFCC78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Role-Based Acceptable Use Guidelines and Standards</w:t>
      </w:r>
    </w:p>
    <w:p w14:paraId="0E7FAEE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role- and function-specific acceptable use guidelines (e.g., for data scientists, product teams, procurement, third parties, HR) that operationalize the enterprise policy into concrete do/don't actions, controls, and responsibilities.</w:t>
      </w:r>
    </w:p>
    <w:p w14:paraId="5366CA5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96D11F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Published guidelines/SOPs for sampled functions mapping enterprise policy to operational controls.</w:t>
      </w:r>
    </w:p>
    <w:p w14:paraId="585730E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Job-role checklists or playbooks showing required behaviors and controls for employees and contractors.</w:t>
      </w:r>
    </w:p>
    <w:p w14:paraId="23FD128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Signed acknowledgements or attestations from role owners and third-party vendors confirming acceptance of guidelines.</w:t>
      </w:r>
    </w:p>
    <w:p w14:paraId="3EBB6B8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Procurement/contract templates embedding guideline requirements for vendors.</w:t>
      </w:r>
    </w:p>
    <w:p w14:paraId="3718E84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1936AD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Approval and Exception Management Process</w:t>
      </w:r>
    </w:p>
    <w:p w14:paraId="1F75C64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a formal approval workflow for proposed AI use-cases, with risk-based gating (e.g., low/medium/high risk) that requires documented risk assessments, legal/privacy review, and documented exceptions with time-bound mitigations for any deviations from the policy.</w:t>
      </w:r>
    </w:p>
    <w:p w14:paraId="0443FF9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FB0F20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Change/request tickets showing submission, risk classification, required reviews, and approval or denial decisions.</w:t>
      </w:r>
    </w:p>
    <w:p w14:paraId="024132B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assessment and legal/privacy review documents attached to approvals.</w:t>
      </w:r>
    </w:p>
    <w:p w14:paraId="1A44216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Exception registers showing approved exceptions, owners, expiration dates, and mitigation plans.</w:t>
      </w:r>
    </w:p>
    <w:p w14:paraId="42C139D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logs demonstrating enforcement of expiration/renewal steps for exceptions.</w:t>
      </w:r>
    </w:p>
    <w:p w14:paraId="09D5C9E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9AF44A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Communication, Training, and Acknowledgement Program</w:t>
      </w:r>
    </w:p>
    <w:p w14:paraId="03E8F10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Execute a communications and training program to ensure employees, contractors, and relevant third parties understand the Acceptable AI Use Policy and their obligations. Require periodic attestations and role-based training completion.</w:t>
      </w:r>
    </w:p>
    <w:p w14:paraId="1A72EB1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5B1938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modules, attendance/completion records, and assessment scores tied to the policy content.</w:t>
      </w:r>
    </w:p>
    <w:p w14:paraId="487517B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Employee/contractor acknowledgement logs (e-signatures or learning management system (LMS) attestations).</w:t>
      </w:r>
    </w:p>
    <w:p w14:paraId="4F1B2BA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Communications plan artifacts and distribution records (announcements, FAQs, quick-reference guides).</w:t>
      </w:r>
    </w:p>
    <w:p w14:paraId="6067A38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Metrics reports showing training/acknowledgement completion rates and remediation actions for non-compliance.</w:t>
      </w:r>
    </w:p>
    <w:p w14:paraId="02F857E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C5193D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Monitoring, Compliance Reporting, and Periodic Review</w:t>
      </w:r>
    </w:p>
    <w:p w14:paraId="30A22F5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Monitor AI deployments and projects for compliance with the Acceptable AI Use Policy (via registries, audits, or automated controls), report compliance posture to governance bodies, and perform periodic policy reviews incorporating incident findings, regulatory changes, and stakeholder feedback.</w:t>
      </w:r>
    </w:p>
    <w:p w14:paraId="58FE49C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E62131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AI system registry or catalog showing classification of use-cases against the policy and compliance status.</w:t>
      </w:r>
    </w:p>
    <w:p w14:paraId="0382C11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or monitoring reports identifying policy violations and linked remediation tickets or closure evidence.</w:t>
      </w:r>
    </w:p>
    <w:p w14:paraId="4A35FBC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Governance reports and meeting minutes showing policy review outcomes, metrics (exceptions, incidents), and approved updates.</w:t>
      </w:r>
    </w:p>
    <w:p w14:paraId="1409B1A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Post-incident lessons-learned reports and evidence of policy or guideline updates resulting from reviews.</w:t>
      </w:r>
    </w:p>
    <w:p w14:paraId="52F126C3"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0868F18B"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3D0707C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51C27CE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44413BFE" w14:textId="77777777" w:rsidTr="005C00A5">
        <w:tc>
          <w:tcPr>
            <w:tcW w:w="1170" w:type="dxa"/>
          </w:tcPr>
          <w:p w14:paraId="2D3E0C9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407708C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31988C0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59939E3D" w14:textId="77777777" w:rsidTr="005C00A5">
        <w:tc>
          <w:tcPr>
            <w:tcW w:w="1170" w:type="dxa"/>
          </w:tcPr>
          <w:p w14:paraId="15A7496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GV-1.2.4</w:t>
            </w:r>
          </w:p>
        </w:tc>
        <w:tc>
          <w:tcPr>
            <w:tcW w:w="2160" w:type="dxa"/>
          </w:tcPr>
          <w:p w14:paraId="4DB6DA5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Trustworthy Principles Training</w:t>
            </w:r>
          </w:p>
        </w:tc>
        <w:tc>
          <w:tcPr>
            <w:tcW w:w="6740" w:type="dxa"/>
          </w:tcPr>
          <w:p w14:paraId="7AE4109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regularly offers tailored training programs to educate relevant staff, including those involved in AI system design, development, deployment, and other related roles, on its AI Trustworthy Principles. These principles encompass legal and regulatory considerations as well as their connection to organizational values. The training programs are regularly reviewed and updated as needed to ensure alignment with organizational objectives and mission.</w:t>
            </w:r>
          </w:p>
          <w:p w14:paraId="1A5DD697" w14:textId="77777777" w:rsidR="00963E47" w:rsidRPr="00963E47" w:rsidRDefault="00963E47" w:rsidP="004C3837">
            <w:pPr>
              <w:keepNext/>
              <w:rPr>
                <w:rFonts w:ascii="Aptos" w:hAnsi="Aptos" w:cs="Times New Roman"/>
                <w:b/>
                <w:bCs/>
                <w:color w:val="000000"/>
                <w:sz w:val="20"/>
                <w:szCs w:val="20"/>
              </w:rPr>
            </w:pPr>
          </w:p>
          <w:p w14:paraId="1CFE0F09" w14:textId="77777777" w:rsidR="00963E47" w:rsidRPr="00963E47" w:rsidRDefault="00963E47" w:rsidP="004C3837">
            <w:pPr>
              <w:keepNext/>
              <w:rPr>
                <w:rFonts w:ascii="Aptos" w:hAnsi="Aptos" w:cs="Times New Roman"/>
                <w:b/>
                <w:bCs/>
                <w:color w:val="000000"/>
                <w:sz w:val="20"/>
                <w:szCs w:val="20"/>
              </w:rPr>
            </w:pPr>
            <w:hyperlink r:id="rId23" w:anchor="govern-1-2" w:history="1">
              <w:r w:rsidRPr="00963E47">
                <w:rPr>
                  <w:rFonts w:ascii="Aptos" w:hAnsi="Aptos" w:cs="Times New Roman"/>
                  <w:color w:val="000000"/>
                  <w:sz w:val="20"/>
                  <w:szCs w:val="20"/>
                  <w:u w:val="single"/>
                </w:rPr>
                <w:t>Link to NIST AI RMF Playbook</w:t>
              </w:r>
            </w:hyperlink>
          </w:p>
        </w:tc>
      </w:tr>
    </w:tbl>
    <w:p w14:paraId="0F2A7F6D"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C673656"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4E9C74DB"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072DD4FC" w14:textId="77777777" w:rsidTr="005C00A5">
        <w:trPr>
          <w:tblHeader/>
        </w:trPr>
        <w:tc>
          <w:tcPr>
            <w:tcW w:w="2160" w:type="dxa"/>
            <w:shd w:val="clear" w:color="auto" w:fill="CCDCDC"/>
            <w:vAlign w:val="center"/>
          </w:tcPr>
          <w:p w14:paraId="633BD9E3"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0A22BBA0"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71849AA6"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086B3C03" w14:textId="77777777" w:rsidTr="005C00A5">
        <w:tc>
          <w:tcPr>
            <w:tcW w:w="2160" w:type="dxa"/>
            <w:shd w:val="clear" w:color="auto" w:fill="CCDCDC"/>
          </w:tcPr>
          <w:p w14:paraId="045072A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1D4A755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C843ED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2CA57796" w14:textId="77777777" w:rsidTr="005C00A5">
        <w:tc>
          <w:tcPr>
            <w:tcW w:w="2160" w:type="dxa"/>
            <w:shd w:val="clear" w:color="auto" w:fill="CCDCDC"/>
          </w:tcPr>
          <w:p w14:paraId="14E9EF4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6D8CFC0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4ADDA8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have started to provide basic training on AI principles and legal/organizational considerations to some relevant staff. However, the training may be generic, infrequent, and not regularly updated.</w:t>
            </w:r>
          </w:p>
        </w:tc>
      </w:tr>
      <w:tr w:rsidR="00963E47" w:rsidRPr="00963E47" w14:paraId="646AF10D" w14:textId="77777777" w:rsidTr="005C00A5">
        <w:tc>
          <w:tcPr>
            <w:tcW w:w="2160" w:type="dxa"/>
            <w:shd w:val="clear" w:color="auto" w:fill="CCDCDC"/>
          </w:tcPr>
          <w:p w14:paraId="62E989B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3454EB4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8D1D1D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evolving stage offer regular, tailored training programs on AI Trustworthy Principles to a wider group of relevant staff. The training covers legal, regulatory, and organizational aspects and is periodically reviewed and updated to remain current.</w:t>
            </w:r>
          </w:p>
        </w:tc>
      </w:tr>
      <w:tr w:rsidR="00963E47" w:rsidRPr="00963E47" w14:paraId="543F6104" w14:textId="77777777" w:rsidTr="005C00A5">
        <w:tc>
          <w:tcPr>
            <w:tcW w:w="2160" w:type="dxa"/>
            <w:shd w:val="clear" w:color="auto" w:fill="CCDCDC"/>
          </w:tcPr>
          <w:p w14:paraId="75AE6D6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3FA878B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D2BCC0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have AI training that is comprehensive, role-specific, and deeply integrated into the organization's learning and development programs. Training is frequently updated to reflect changes in regulations, best practices, and lessons learned, ensuring all relevant staff are continuously educated on AI Trustworthy Principles.</w:t>
            </w:r>
          </w:p>
        </w:tc>
      </w:tr>
    </w:tbl>
    <w:p w14:paraId="1E79B7F0"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52913891" w14:textId="77777777" w:rsidTr="005C00A5">
        <w:tc>
          <w:tcPr>
            <w:tcW w:w="2250" w:type="dxa"/>
          </w:tcPr>
          <w:p w14:paraId="3E9231B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098A879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228139C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59687AF8" w14:textId="77777777" w:rsidTr="005C00A5">
        <w:tc>
          <w:tcPr>
            <w:tcW w:w="2250" w:type="dxa"/>
          </w:tcPr>
          <w:p w14:paraId="2833E6E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6A2DBF5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Insufficient Training in AI Principles</w:t>
            </w:r>
          </w:p>
        </w:tc>
        <w:tc>
          <w:tcPr>
            <w:tcW w:w="5300" w:type="dxa"/>
          </w:tcPr>
          <w:p w14:paraId="7811AEB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Trustworthy AI training programs are insufficient or not regularly updated</w:t>
            </w:r>
          </w:p>
        </w:tc>
      </w:tr>
    </w:tbl>
    <w:p w14:paraId="184269D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6E4211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38D67F7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7E3F73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 training program on AI Trustworthy Principles that covers legal, regulatory, and compliance considerations relevant to AI. Tailor the training content to the specific roles and responsibilities of staff involved in AI system design, development, deployment, and related functions. Highlight common pitfalls and poor practices, equipping staff to recognize and prevent misuse. Consider mandatory attendance for all personnel involved in AI-related activities to foster a culture of accountability and awareness.</w:t>
      </w:r>
    </w:p>
    <w:p w14:paraId="1F8F67F9"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B948C6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Conduct training sessions regularly, such as annually or bi-annually, to maintain a high level of awareness and adapt to evolving industry standards, regulatory requirements, and emerging issues. Establish a process for periodic review and updating of the training program, ensuring it remains current, comprehensive, and aligned with best practices.</w:t>
      </w:r>
    </w:p>
    <w:p w14:paraId="6CDA45AB"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CAFA88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49E23E1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775689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Role-Based AI Trustworthy Principles Training Curriculum</w:t>
      </w:r>
    </w:p>
    <w:p w14:paraId="3E39B64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and maintain a role-specific training curriculum (e.g., for data scientists, engineers, product managers, legal, HR) that covers the organization’s AI Trustworthy Principles, applicable laws/regulations, and practical responsibilities relevant to each role.</w:t>
      </w:r>
    </w:p>
    <w:p w14:paraId="4712AAB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22B2D8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Curriculum outlines and lesson plans mapped to roles and responsibilities.</w:t>
      </w:r>
    </w:p>
    <w:p w14:paraId="3D7E7D1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materials (slides, videos, case studies) tailored by role showing Principle, legal, and other related content.</w:t>
      </w:r>
    </w:p>
    <w:p w14:paraId="3891CE8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Attendance/completion records and assessment scores by role from the LMS.</w:t>
      </w:r>
    </w:p>
    <w:p w14:paraId="4CACA52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Role-specific competency matrices showing required training and demonstrated proficiency.</w:t>
      </w:r>
    </w:p>
    <w:p w14:paraId="16478A2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18CBA1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Mandatory Onboarding and Periodic Refresher Training</w:t>
      </w:r>
    </w:p>
    <w:p w14:paraId="1ECCB53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Require completion of AI Trustworthy Principles training during role onboarding and at defined recurrence intervals (e.g., annual refreshers or when regulations/policies change), with mandatory attestations of understanding.</w:t>
      </w:r>
    </w:p>
    <w:p w14:paraId="2E51C2A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1A60E5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Onboarding and refresher training schedules, LMS enrollments, and completion certificates.</w:t>
      </w:r>
    </w:p>
    <w:p w14:paraId="2A80C88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Attestation logs where employees confirm understanding of AI Trustworthy Principles and obligations.</w:t>
      </w:r>
    </w:p>
    <w:p w14:paraId="2999508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recurrence policy and automated reminder logs for overdue completions.</w:t>
      </w:r>
    </w:p>
    <w:p w14:paraId="79B376C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showing completion rates and follow-up actions for non-compliant staff.</w:t>
      </w:r>
    </w:p>
    <w:p w14:paraId="74E0966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6F776E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Scenario-Based Workshops and Practical Exercises</w:t>
      </w:r>
    </w:p>
    <w:p w14:paraId="3E98D19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interactive workshops, tabletop exercises, and hands-on labs that present realistic AI use-case scenarios (including legal/regulatory dilemmas) to reinforce how AI Trustworthy Principles map to day-to-day decisions and risk mitigation.</w:t>
      </w:r>
    </w:p>
    <w:p w14:paraId="07AD294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915751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Workshop agendas, exercise materials, and participant lists.</w:t>
      </w:r>
    </w:p>
    <w:p w14:paraId="6738D2B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Facilitator notes, participant solutions, and debrief reports highlighting learning outcomes.</w:t>
      </w:r>
    </w:p>
    <w:p w14:paraId="09F8592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Pre/post-exercise assessments demonstrating knowledge gains.</w:t>
      </w:r>
    </w:p>
    <w:p w14:paraId="1781CAA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playbooks or SOPs that incorporate scenarios and lessons learned.</w:t>
      </w:r>
    </w:p>
    <w:p w14:paraId="6947F7B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8F787F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Legal and Compliance Stakeholder Sessions and Office Hours</w:t>
      </w:r>
    </w:p>
    <w:p w14:paraId="1B27F01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Provide regular sessions and office hours led by legal, privacy, and compliance experts to discuss evolving regulations, policy implications, and role-specific questions. Document guidance and incorporate recurring issues into training updates.</w:t>
      </w:r>
    </w:p>
    <w:p w14:paraId="66316DC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14D4E9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Schedule of stakeholder sessions/office hours and attendance records.</w:t>
      </w:r>
    </w:p>
    <w:p w14:paraId="5DCC2AB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Summaries or FAQ documents capturing guidance provided.</w:t>
      </w:r>
    </w:p>
    <w:p w14:paraId="7C900CC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showing incorporation of session topics into subsequent training updates.</w:t>
      </w:r>
    </w:p>
    <w:p w14:paraId="3D479ED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Communications announcing office hours and follow-up action logs addressing raised concerns.</w:t>
      </w:r>
    </w:p>
    <w:p w14:paraId="7FA46E1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2209B6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Training Governance, Evaluation, and Continuous Improvement</w:t>
      </w:r>
    </w:p>
    <w:p w14:paraId="17F7CFF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governance for the training program that defines ownership, metrics (completion, competency, incident reduction), periodic content review triggers (regulatory changes, incidents, audits), and a feedback loop to update materials and measure program effectiveness.</w:t>
      </w:r>
    </w:p>
    <w:p w14:paraId="18F1D3A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10518BD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governance charter, owner assignments, and review schedule.</w:t>
      </w:r>
    </w:p>
    <w:p w14:paraId="236F106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Metrics dashboard and periodic reports showing training completion, assessment results, and trends tied to incidents or audit findings.</w:t>
      </w:r>
    </w:p>
    <w:p w14:paraId="76D4E99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Content revision logs showing updates made in response to feedback, regulatory changes, or lessons learned.</w:t>
      </w:r>
    </w:p>
    <w:p w14:paraId="61129CE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survey results and action plans demonstrating continuous improvement of training materials.</w:t>
      </w:r>
    </w:p>
    <w:p w14:paraId="221A0962"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5BE6C8AB"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3FAD40A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7497370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62D69F47" w14:textId="77777777" w:rsidTr="005C00A5">
        <w:tc>
          <w:tcPr>
            <w:tcW w:w="1170" w:type="dxa"/>
          </w:tcPr>
          <w:p w14:paraId="68266C3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2511889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2CB2CFB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2F2D1FA8" w14:textId="77777777" w:rsidTr="005C00A5">
        <w:tc>
          <w:tcPr>
            <w:tcW w:w="1170" w:type="dxa"/>
          </w:tcPr>
          <w:p w14:paraId="5EA948C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GV-1.2.5</w:t>
            </w:r>
          </w:p>
        </w:tc>
        <w:tc>
          <w:tcPr>
            <w:tcW w:w="2160" w:type="dxa"/>
          </w:tcPr>
          <w:p w14:paraId="1F5AAA6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Governance and Risk Standards</w:t>
            </w:r>
          </w:p>
        </w:tc>
        <w:tc>
          <w:tcPr>
            <w:tcW w:w="6740" w:type="dxa"/>
          </w:tcPr>
          <w:p w14:paraId="7448FC2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organization's governance policies, risk controls, model testing and validation processes, as well as compliance and enterprise risk management (ERM) frameworks, are updated to include AI-specific considerations. These updates address unique AI system implications (e.g., data quality, provenance, secure handling) throughout the AI lifecycle and enhance the identification, assessment, management, and monitoring of AI risks in alignment with the organization's AI Trustworthy Principles and risk appetite and tolerance.</w:t>
            </w:r>
          </w:p>
          <w:p w14:paraId="2EFE34DE" w14:textId="77777777" w:rsidR="00963E47" w:rsidRPr="00963E47" w:rsidRDefault="00963E47" w:rsidP="004C3837">
            <w:pPr>
              <w:keepNext/>
              <w:rPr>
                <w:rFonts w:ascii="Aptos" w:hAnsi="Aptos" w:cs="Times New Roman"/>
                <w:b/>
                <w:bCs/>
                <w:color w:val="000000"/>
                <w:sz w:val="20"/>
                <w:szCs w:val="20"/>
              </w:rPr>
            </w:pPr>
          </w:p>
          <w:p w14:paraId="693EF440" w14:textId="77777777" w:rsidR="00963E47" w:rsidRPr="00963E47" w:rsidRDefault="00963E47" w:rsidP="004C3837">
            <w:pPr>
              <w:keepNext/>
              <w:rPr>
                <w:rFonts w:ascii="Aptos" w:hAnsi="Aptos" w:cs="Times New Roman"/>
                <w:b/>
                <w:bCs/>
                <w:color w:val="000000"/>
                <w:sz w:val="20"/>
                <w:szCs w:val="20"/>
              </w:rPr>
            </w:pPr>
            <w:hyperlink r:id="rId24" w:anchor="govern-1-2" w:history="1">
              <w:r w:rsidRPr="00963E47">
                <w:rPr>
                  <w:rFonts w:ascii="Aptos" w:hAnsi="Aptos" w:cs="Times New Roman"/>
                  <w:color w:val="000000"/>
                  <w:sz w:val="20"/>
                  <w:szCs w:val="20"/>
                  <w:u w:val="single"/>
                </w:rPr>
                <w:t>Link to NIST AI RMF Playbook</w:t>
              </w:r>
            </w:hyperlink>
          </w:p>
        </w:tc>
      </w:tr>
    </w:tbl>
    <w:p w14:paraId="712432CA"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4BD6985"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4185C9CA"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4188EE30" w14:textId="77777777" w:rsidTr="005C00A5">
        <w:trPr>
          <w:tblHeader/>
        </w:trPr>
        <w:tc>
          <w:tcPr>
            <w:tcW w:w="2160" w:type="dxa"/>
            <w:shd w:val="clear" w:color="auto" w:fill="CCDCDC"/>
            <w:vAlign w:val="center"/>
          </w:tcPr>
          <w:p w14:paraId="449B263F"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0F170CE4"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02563DAE"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416FF670" w14:textId="77777777" w:rsidTr="005C00A5">
        <w:tc>
          <w:tcPr>
            <w:tcW w:w="2160" w:type="dxa"/>
            <w:shd w:val="clear" w:color="auto" w:fill="CCDCDC"/>
          </w:tcPr>
          <w:p w14:paraId="3D26873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0A1D7F4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8A79E4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06367DA7" w14:textId="77777777" w:rsidTr="005C00A5">
        <w:tc>
          <w:tcPr>
            <w:tcW w:w="2160" w:type="dxa"/>
            <w:shd w:val="clear" w:color="auto" w:fill="CCDCDC"/>
          </w:tcPr>
          <w:p w14:paraId="7F4E0F0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70A4B39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98BE0A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begin incorporating AI-specific considerations into governance, risk controls, and validation processes for initial AI implementations.</w:t>
            </w:r>
          </w:p>
        </w:tc>
      </w:tr>
      <w:tr w:rsidR="00963E47" w:rsidRPr="00963E47" w14:paraId="2BD3D3F4" w14:textId="77777777" w:rsidTr="005C00A5">
        <w:tc>
          <w:tcPr>
            <w:tcW w:w="2160" w:type="dxa"/>
            <w:shd w:val="clear" w:color="auto" w:fill="CCDCDC"/>
          </w:tcPr>
          <w:p w14:paraId="737F237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6F7F939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C4E1DA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have updated their governance policies, risk controls, model testing and validation processes, and compliance and ERM frameworks to include AI-specific considerations. These updates address unique AI system implications throughout the AI lifecycle and enhance the identification, assessment, management, and monitoring of AI risks in alignment with the organization's AI Trustworthy Principles, although their implementation may not yet be fully mature or consistent.</w:t>
            </w:r>
          </w:p>
        </w:tc>
      </w:tr>
      <w:tr w:rsidR="00963E47" w:rsidRPr="00963E47" w14:paraId="52656B2F" w14:textId="77777777" w:rsidTr="005C00A5">
        <w:tc>
          <w:tcPr>
            <w:tcW w:w="2160" w:type="dxa"/>
            <w:shd w:val="clear" w:color="auto" w:fill="CCDCDC"/>
          </w:tcPr>
          <w:p w14:paraId="7876F40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067CC02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AE5867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update governance policies, risk controls, model testing and validation processes, and compliance and ERM frameworks to include AI-specific considerations. This is fully integrated into the organization's overall governance and risk management processes. These updates are consistently applied, regularly reviewed and updated based on emerging risks and best practices, and are deeply embedded into all aspects of the organization's AI lifecycle management and risk monitoring activities.</w:t>
            </w:r>
          </w:p>
        </w:tc>
      </w:tr>
    </w:tbl>
    <w:p w14:paraId="17CDDAFE"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34E78463" w14:textId="77777777" w:rsidTr="005C00A5">
        <w:tc>
          <w:tcPr>
            <w:tcW w:w="2250" w:type="dxa"/>
          </w:tcPr>
          <w:p w14:paraId="4F5711D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lastRenderedPageBreak/>
              <w:t>AI Principle</w:t>
            </w:r>
          </w:p>
        </w:tc>
        <w:tc>
          <w:tcPr>
            <w:tcW w:w="2520" w:type="dxa"/>
          </w:tcPr>
          <w:p w14:paraId="5A5487E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77EF5D9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492B3486" w14:textId="77777777" w:rsidTr="005C00A5">
        <w:tc>
          <w:tcPr>
            <w:tcW w:w="2250" w:type="dxa"/>
          </w:tcPr>
          <w:p w14:paraId="30CEABE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03A5598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Inadequate Coverage of AI in GRC</w:t>
            </w:r>
          </w:p>
        </w:tc>
        <w:tc>
          <w:tcPr>
            <w:tcW w:w="5300" w:type="dxa"/>
          </w:tcPr>
          <w:p w14:paraId="7968EBC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considerations are not adequately included in governance, risk, and compliance frameworks</w:t>
            </w:r>
          </w:p>
        </w:tc>
      </w:tr>
    </w:tbl>
    <w:p w14:paraId="198AC7B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C1D1C9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03DF780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F0D231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Review and update existing data governance policies, risk controls, model training, testing and validation processes, and compliance frameworks to address AI-specific considerations, ensuring alignment with the organization's AI Trustworthy Principles and risk appetite or tolerance. Focus on integrating AI-related requirements pertaining to data quality, provenance, secure handling, and other relevant factors throughout the AI lifecycle.</w:t>
      </w:r>
    </w:p>
    <w:p w14:paraId="26076B04"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5A14D8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Engage subject matter experts and stakeholders from relevant functions to ensure the updated policies and standards align with industry best practices.</w:t>
      </w:r>
    </w:p>
    <w:p w14:paraId="1826E133"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69A0FC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7F5B621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FCED34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AI Governance Framework Integration</w:t>
      </w:r>
    </w:p>
    <w:p w14:paraId="6C8D7E8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Update the enterprise governance framework to explicitly incorporate AI-specific roles, decision authorities, policy references, and escalation paths (e.g., AI steering committee, model risk committee, legal/privacy sign-off). Ensure alignment to AI Trustworthy Principles and risk appetite.</w:t>
      </w:r>
    </w:p>
    <w:p w14:paraId="0B3AD7A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B6F215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Revised governance framework document showing AI governance structures, charters, and authorities.</w:t>
      </w:r>
    </w:p>
    <w:p w14:paraId="215DF47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Organizational charts or committee charters with named AI governance participants and meeting minutes.</w:t>
      </w:r>
    </w:p>
    <w:p w14:paraId="2C797E7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Escalation and approval workflows demonstrating where AI-related decisions route for review and sign-off.</w:t>
      </w:r>
    </w:p>
    <w:p w14:paraId="4BF6266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Board/senior leadership approvals endorsing the updated governance framework.</w:t>
      </w:r>
    </w:p>
    <w:p w14:paraId="3D2CF31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076D53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AI Risk Taxonomy and ERM Integration</w:t>
      </w:r>
    </w:p>
    <w:p w14:paraId="69DE24E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Extend the enterprise risk taxonomy and enterprise risk management (ERM) processes to include AI-specific risk categories (e.g., data quality/provenance, model bias, explainability, robustness, privacy, supply-chain/third-party model risk) and require periodic enterprise-level reporting.</w:t>
      </w:r>
    </w:p>
    <w:p w14:paraId="0A3A72D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F5339A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risk taxonomy document and ERM policy mapping AI risk categories to existing risk types.</w:t>
      </w:r>
    </w:p>
    <w:p w14:paraId="36D890D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register entries and dashboards showing AI risks, owners, assessments, and treatment plans.</w:t>
      </w:r>
    </w:p>
    <w:p w14:paraId="2D387C3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ERM committee reports or risk heatmaps that include AI risk metrics and trends.</w:t>
      </w:r>
    </w:p>
    <w:p w14:paraId="6B021F1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showing ERM-level review and acceptance of AI risk reporting.</w:t>
      </w:r>
    </w:p>
    <w:p w14:paraId="4B6FE91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F4EA7B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AI-Specific Model Risk Management (MRM) Policy and Procedures</w:t>
      </w:r>
    </w:p>
    <w:p w14:paraId="278521C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or update MRM policies to include AI/model lifecycle controls: model inventory, classification by risk tier, documented validation/testing requirements (e.g., data lineage, fairness testing, robustness testing), pre-deployment approvals, and post-deployment monitoring.</w:t>
      </w:r>
    </w:p>
    <w:p w14:paraId="396E74C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D832F8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Model inventory registry with risk tier classifications and metadata (owner, data sources, version).</w:t>
      </w:r>
    </w:p>
    <w:p w14:paraId="0CC2B56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Validation test plans/reports for sampled models covering data quality, performance, fairness, security, and explainability.</w:t>
      </w:r>
    </w:p>
    <w:p w14:paraId="24B5A06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Pre-deployment approval records and risk acceptance sign-offs for high-risk models.</w:t>
      </w:r>
    </w:p>
    <w:p w14:paraId="66D6AE6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logs and periodic validation results demonstrating ongoing model performance and drift detection.</w:t>
      </w:r>
    </w:p>
    <w:p w14:paraId="54ECDD3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DEE506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Updated Policies for Data Governance, Security, and Supply Chain Risk</w:t>
      </w:r>
    </w:p>
    <w:p w14:paraId="5A8E803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Revise data governance, information security, and third-party/vendor risk policies to include AI-specific controls (data provenance and lineage, secure handling of training data, vendor model assurance, contractual SLAs for AI behavior, and supply-chain vulnerability assessments).</w:t>
      </w:r>
    </w:p>
    <w:p w14:paraId="27D8A14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3CB10E7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Revised data governance and security policy documents explicitly addressing AI data handling and provenance.</w:t>
      </w:r>
    </w:p>
    <w:p w14:paraId="6F83EE7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lineage diagrams and provenance records linked to models in the inventory.</w:t>
      </w:r>
    </w:p>
    <w:p w14:paraId="3360879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Vendor assessment records, contract clauses, and third-party attestations addressing model supply-chain and AI-specific SLAs.</w:t>
      </w:r>
    </w:p>
    <w:p w14:paraId="193EEB4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from supply-chain or vendor risk assessments showing remediation actions and acceptance criteria.</w:t>
      </w:r>
    </w:p>
    <w:p w14:paraId="1DD59FF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766D35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Enhanced Testing, Validation, and Independent Review Processes</w:t>
      </w:r>
    </w:p>
    <w:p w14:paraId="2EC7BB0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Require standardized AI testing and validation protocols integrated into change control (e.g., unit/integration tests, fairness and bias audits, adversarial/robustness tests, privacy checks), and mandate periodic independent or sandboxed reviews (internal audit or third-party validators) for high-risk models.</w:t>
      </w:r>
    </w:p>
    <w:p w14:paraId="3F5EDB6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512D7E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Standardized validation test suites and protocols with versioned templates and required coverage matrices.</w:t>
      </w:r>
    </w:p>
    <w:p w14:paraId="2EF2881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 execution reports, fairness/robustness audit results, and mitigation evidence (e.g., bias remediation, adversarial hardening).</w:t>
      </w:r>
    </w:p>
    <w:p w14:paraId="295B06B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Independent validation or audit reports for high-risk models and documented remediation plans.</w:t>
      </w:r>
    </w:p>
    <w:p w14:paraId="241E3F3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Change-control records showing validation artifacts attached to deployment approvals and post-deployment verification.</w:t>
      </w:r>
    </w:p>
    <w:p w14:paraId="376C613F"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53DB8B2C"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2876F64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76D376E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7073C44B" w14:textId="77777777" w:rsidTr="005C00A5">
        <w:tc>
          <w:tcPr>
            <w:tcW w:w="1170" w:type="dxa"/>
          </w:tcPr>
          <w:p w14:paraId="29849B9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5F50A6A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3416F9A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6E1C569A" w14:textId="77777777" w:rsidTr="005C00A5">
        <w:tc>
          <w:tcPr>
            <w:tcW w:w="1170" w:type="dxa"/>
          </w:tcPr>
          <w:p w14:paraId="243E688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GV-1.2.6</w:t>
            </w:r>
          </w:p>
        </w:tc>
        <w:tc>
          <w:tcPr>
            <w:tcW w:w="2160" w:type="dxa"/>
          </w:tcPr>
          <w:p w14:paraId="093D09D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Model Standards and Validation</w:t>
            </w:r>
          </w:p>
        </w:tc>
        <w:tc>
          <w:tcPr>
            <w:tcW w:w="6740" w:type="dxa"/>
          </w:tcPr>
          <w:p w14:paraId="05AF4E2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sets standards for experimental design, data quality, and model training, which include documenting assumptions, methods, testing outcomes, data lineage, model versioning, and performance monitoring. These standards also outline processes for regular review, validation, and updates, ensuring models align with the organization's AI Trustworthy Principles throughout their lifecycle.</w:t>
            </w:r>
          </w:p>
          <w:p w14:paraId="315702B8" w14:textId="77777777" w:rsidR="00963E47" w:rsidRPr="00963E47" w:rsidRDefault="00963E47" w:rsidP="004C3837">
            <w:pPr>
              <w:keepNext/>
              <w:rPr>
                <w:rFonts w:ascii="Aptos" w:hAnsi="Aptos" w:cs="Times New Roman"/>
                <w:b/>
                <w:bCs/>
                <w:color w:val="000000"/>
                <w:sz w:val="20"/>
                <w:szCs w:val="20"/>
              </w:rPr>
            </w:pPr>
          </w:p>
          <w:p w14:paraId="721015AC" w14:textId="77777777" w:rsidR="00963E47" w:rsidRPr="00963E47" w:rsidRDefault="00963E47" w:rsidP="004C3837">
            <w:pPr>
              <w:keepNext/>
              <w:rPr>
                <w:rFonts w:ascii="Aptos" w:hAnsi="Aptos" w:cs="Times New Roman"/>
                <w:b/>
                <w:bCs/>
                <w:color w:val="000000"/>
                <w:sz w:val="20"/>
                <w:szCs w:val="20"/>
              </w:rPr>
            </w:pPr>
            <w:hyperlink r:id="rId25" w:anchor="govern-1-2" w:history="1">
              <w:r w:rsidRPr="00963E47">
                <w:rPr>
                  <w:rFonts w:ascii="Aptos" w:hAnsi="Aptos" w:cs="Times New Roman"/>
                  <w:color w:val="000000"/>
                  <w:sz w:val="20"/>
                  <w:szCs w:val="20"/>
                  <w:u w:val="single"/>
                </w:rPr>
                <w:t>Link to NIST AI RMF Playbook</w:t>
              </w:r>
            </w:hyperlink>
          </w:p>
        </w:tc>
      </w:tr>
    </w:tbl>
    <w:p w14:paraId="50333A2B"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84B76EF"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621E9D91"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17C8FF70" w14:textId="77777777" w:rsidTr="005C00A5">
        <w:trPr>
          <w:tblHeader/>
        </w:trPr>
        <w:tc>
          <w:tcPr>
            <w:tcW w:w="2160" w:type="dxa"/>
            <w:shd w:val="clear" w:color="auto" w:fill="CCDCDC"/>
            <w:vAlign w:val="center"/>
          </w:tcPr>
          <w:p w14:paraId="4B8FAF59"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6246C3D8"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4FD41F7E"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0CE698F0" w14:textId="77777777" w:rsidTr="005C00A5">
        <w:tc>
          <w:tcPr>
            <w:tcW w:w="2160" w:type="dxa"/>
            <w:shd w:val="clear" w:color="auto" w:fill="CCDCDC"/>
          </w:tcPr>
          <w:p w14:paraId="14FC3D4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2BC7EBF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FB34EE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0DDA3D04" w14:textId="77777777" w:rsidTr="005C00A5">
        <w:tc>
          <w:tcPr>
            <w:tcW w:w="2160" w:type="dxa"/>
            <w:shd w:val="clear" w:color="auto" w:fill="CCDCDC"/>
          </w:tcPr>
          <w:p w14:paraId="0585D85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7AC8B74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012BF17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D445996" w14:textId="77777777" w:rsidTr="005C00A5">
        <w:tc>
          <w:tcPr>
            <w:tcW w:w="2160" w:type="dxa"/>
            <w:shd w:val="clear" w:color="auto" w:fill="CCDCDC"/>
          </w:tcPr>
          <w:p w14:paraId="0863887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6D7608B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43841E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have set standards for experimental design, data quality, and model training, which include documenting assumptions, methods, testing outcomes, data lineage, model versioning, and performance monitoring. These standards also outline processes for regular review, validation, and updates, ensuring models align with the organization's AI Trustworthy Principles throughout their lifecycle, although their implementation may not yet be fully mature or consistent.</w:t>
            </w:r>
          </w:p>
        </w:tc>
      </w:tr>
      <w:tr w:rsidR="00963E47" w:rsidRPr="00963E47" w14:paraId="0CDEC755" w14:textId="77777777" w:rsidTr="005C00A5">
        <w:tc>
          <w:tcPr>
            <w:tcW w:w="2160" w:type="dxa"/>
            <w:shd w:val="clear" w:color="auto" w:fill="CCDCDC"/>
          </w:tcPr>
          <w:p w14:paraId="222DAB35"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4D0DD05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5FD98E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embedded stage, organizations set standards for experimental design, data quality, and model training and ensure models align with the organization's AI Trustworthy Principles throughout their lifecycle. This is fully integrated into the organization's overall AI development and governance processes, including model documentation </w:t>
            </w:r>
            <w:r w:rsidRPr="00963E47">
              <w:rPr>
                <w:rFonts w:ascii="Aptos" w:hAnsi="Aptos" w:cs="Times New Roman"/>
                <w:noProof/>
                <w:color w:val="auto"/>
                <w:sz w:val="20"/>
                <w:szCs w:val="20"/>
              </w:rPr>
              <w:lastRenderedPageBreak/>
              <w:t>templates or other documentation artifacts. These standards are consistently applied, regularly reviewed and updated based on emerging best practices and the organization's evolving AI Trustworthy Principles, and are deeply embedded into all aspects of the organization's AI model development, testing, and monitoring activities.</w:t>
            </w:r>
          </w:p>
        </w:tc>
      </w:tr>
    </w:tbl>
    <w:p w14:paraId="5991C851"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7E416BD3" w14:textId="77777777" w:rsidTr="005C00A5">
        <w:tc>
          <w:tcPr>
            <w:tcW w:w="2250" w:type="dxa"/>
          </w:tcPr>
          <w:p w14:paraId="48BEAD5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560D656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5AF82F7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45771592" w14:textId="77777777" w:rsidTr="005C00A5">
        <w:tc>
          <w:tcPr>
            <w:tcW w:w="2250" w:type="dxa"/>
          </w:tcPr>
          <w:p w14:paraId="2ED2731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5A951EE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Insufficient AI Standards</w:t>
            </w:r>
          </w:p>
        </w:tc>
        <w:tc>
          <w:tcPr>
            <w:tcW w:w="5300" w:type="dxa"/>
          </w:tcPr>
          <w:p w14:paraId="25D05C7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Standards for AI experimental design, data quality, and model training are insufficient</w:t>
            </w:r>
          </w:p>
        </w:tc>
      </w:tr>
    </w:tbl>
    <w:p w14:paraId="0483569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D9C819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38246F4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8CE909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Integrate AI-specific considerations into governance policies, risk controls, model training, testing and validation processes, as well as legal, compliance, enterprise risk management (ERM), and audit frameworks. This integration will enhance the identification, assessment, management, and monitoring of AI risks across the organization.</w:t>
      </w:r>
    </w:p>
    <w:p w14:paraId="578E1D30"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202B1F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AI risk assessment templates, define roles and responsibilities for managing AI risks, and establish processes for the regular review and reporting of these risks. Ensure that the updated frameworks promote transparency, accountability, and alignment with the organization's AI Trustworthy Principles throughout the AI lifecycle.</w:t>
      </w:r>
    </w:p>
    <w:p w14:paraId="3C718641"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A38305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08A2C04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6B78C1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Standardized Experimental Design and Documentation Templates</w:t>
      </w:r>
    </w:p>
    <w:p w14:paraId="2A85DA1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Require use of standardized templates for experiment design that capture objectives, hypotheses, assumptions, datasets, preprocessing steps, evaluation metrics, and stopping criteria; mandate retention of experiment artifacts for reproducibility.</w:t>
      </w:r>
    </w:p>
    <w:p w14:paraId="6C0D9E9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18A040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Completed experiment design templates for sampled projects showing hypotheses, assumptions, datasets, and evaluation plans.</w:t>
      </w:r>
    </w:p>
    <w:p w14:paraId="06CAA15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experiment artifact folders (notebooks, config files, parameter logs).</w:t>
      </w:r>
    </w:p>
    <w:p w14:paraId="269D7EE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Peer review or approval records prior to running experiments.</w:t>
      </w:r>
    </w:p>
    <w:p w14:paraId="0319F8A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Reproducibility checks or reproduction attempts demonstrating results can be recreated.</w:t>
      </w:r>
    </w:p>
    <w:p w14:paraId="1665C46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92BE50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Data Quality and Lineage Controls</w:t>
      </w:r>
    </w:p>
    <w:p w14:paraId="03FD3C7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data quality standards and automated lineage tracking for all datasets used in experiments and training, including provenance metadata, quality metrics (completeness, accuracy, bias checks), and remediation workflows for identified issues.</w:t>
      </w:r>
    </w:p>
    <w:p w14:paraId="2504962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C019E4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catalog entries with lineage metadata, provenance, and sensitivity classification for training and test datasets.</w:t>
      </w:r>
    </w:p>
    <w:p w14:paraId="2522D00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quality reports showing metrics, thresholds, and remediation tickets for issues found.</w:t>
      </w:r>
    </w:p>
    <w:p w14:paraId="4393978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Automated extract, transform, and load (ETL)/data validation logs demonstrating checks (schema, missingness, distribution drift).</w:t>
      </w:r>
    </w:p>
    <w:p w14:paraId="1027E61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history showing dataset versions and approvals for use in training.</w:t>
      </w:r>
    </w:p>
    <w:p w14:paraId="65B3AD7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913952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Model Versioning, Configuration Management and Artifact Registry</w:t>
      </w:r>
    </w:p>
    <w:p w14:paraId="3F4D3BC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Enforce model versioning and configuration management by storing models, training code, hyperparameters, random seeds, and environment specifications in a secured artifact registry with immutable identifiers and access controls.</w:t>
      </w:r>
    </w:p>
    <w:p w14:paraId="10FC0A6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3026FC1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Artifact registry entries listing model versions, hashes, training configs, and environment manifests.</w:t>
      </w:r>
    </w:p>
    <w:p w14:paraId="62A1B17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Deployment manifests mapping deployed model instances to specific version identifications (IDs) and provenance.</w:t>
      </w:r>
    </w:p>
    <w:p w14:paraId="7021AAB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Access and change logs showing who published or promoted model artifacts and when.</w:t>
      </w:r>
    </w:p>
    <w:p w14:paraId="569E5CA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Rollback or reproduction records demonstrating reinstatement of a prior model version.</w:t>
      </w:r>
    </w:p>
    <w:p w14:paraId="14558BC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0DEFBC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Standardized Evaluation, Validation and Bias/Fairness Testing</w:t>
      </w:r>
    </w:p>
    <w:p w14:paraId="756CB4A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Require standardized evaluation protocols including holdout strategies, cross-validation, robustness/adversarial testing, and fairness/bias assessments with predefined thresholds and documented remediation when thresholds are not met.</w:t>
      </w:r>
    </w:p>
    <w:p w14:paraId="665BB54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7461E4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Validation reports for sampled models showing metric calculations, cross-validation results, robustness tests, and fairness assessment outputs.</w:t>
      </w:r>
    </w:p>
    <w:p w14:paraId="0803D66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 datasets and scripts with documented procedures for bias and edge-case testing.</w:t>
      </w:r>
    </w:p>
    <w:p w14:paraId="1644A34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Remediation tickets and evidence of mitigation actions (retraining, feature removal, weighting) when thresholds were exceeded.</w:t>
      </w:r>
    </w:p>
    <w:p w14:paraId="6239AD2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Approval records showing models met validation criteria before promotion to production.</w:t>
      </w:r>
    </w:p>
    <w:p w14:paraId="59B52F8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6EE016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Performance Monitoring and Review Process</w:t>
      </w:r>
    </w:p>
    <w:p w14:paraId="43B8835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production monitoring and periodic review processes that track model performance, data drift, fairness metrics, and resource usage; require triggers for retraining, rollback, or escalation and a cadence of periodic formal model reviews.</w:t>
      </w:r>
    </w:p>
    <w:p w14:paraId="18937FE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D9F0FA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dashboards and alert logs showing performance metrics, drift detection, and triggered investigations.</w:t>
      </w:r>
    </w:p>
    <w:p w14:paraId="0A280C6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Model review meeting minutes and formal review reports with action items and timelines.</w:t>
      </w:r>
    </w:p>
    <w:p w14:paraId="3D708EC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Retraining/change logs and post-change validation results following remediation or updates.</w:t>
      </w:r>
    </w:p>
    <w:p w14:paraId="22224D7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SLA/operational reports mapping review cadence to model criticality and showing compliance with review schedules.</w:t>
      </w:r>
    </w:p>
    <w:p w14:paraId="1901F07F"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11" w:name="_Toc214874756"/>
      <w:r w:rsidRPr="00963E47">
        <w:rPr>
          <w:rFonts w:ascii="Aptos" w:eastAsia="Aptos" w:hAnsi="Aptos" w:cs="Times New Roman"/>
          <w:b/>
          <w:bCs/>
          <w:noProof/>
          <w:color w:val="35256B"/>
          <w:kern w:val="2"/>
          <w:sz w:val="24"/>
          <w14:ligatures w14:val="standardContextual"/>
        </w:rPr>
        <w:t>GOVERN / Establishing Key Policies &amp; Processes / Establishing Risk Management Processes</w:t>
      </w:r>
      <w:bookmarkEnd w:id="11"/>
      <w:r w:rsidRPr="00963E47">
        <w:rPr>
          <w:rFonts w:ascii="Aptos" w:eastAsia="Aptos" w:hAnsi="Aptos" w:cs="Times New Roman"/>
          <w:b/>
          <w:bCs/>
          <w:noProof/>
          <w:color w:val="35256B"/>
          <w:kern w:val="2"/>
          <w:sz w:val="24"/>
          <w14:ligatures w14:val="standardContextual"/>
        </w:rPr>
        <w:t xml:space="preserve"> </w:t>
      </w:r>
    </w:p>
    <w:p w14:paraId="7A74090E"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508C64E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3507034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4EA16EA6" w14:textId="77777777" w:rsidTr="005C00A5">
        <w:tc>
          <w:tcPr>
            <w:tcW w:w="1170" w:type="dxa"/>
          </w:tcPr>
          <w:p w14:paraId="69147D3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5214DEC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05B367C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67B37ED7" w14:textId="77777777" w:rsidTr="005C00A5">
        <w:tc>
          <w:tcPr>
            <w:tcW w:w="1170" w:type="dxa"/>
          </w:tcPr>
          <w:p w14:paraId="221EADF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GV-1.3.1</w:t>
            </w:r>
          </w:p>
        </w:tc>
        <w:tc>
          <w:tcPr>
            <w:tcW w:w="2160" w:type="dxa"/>
          </w:tcPr>
          <w:p w14:paraId="0E04F0D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Risk Assessment Models</w:t>
            </w:r>
          </w:p>
        </w:tc>
        <w:tc>
          <w:tcPr>
            <w:tcW w:w="6740" w:type="dxa"/>
          </w:tcPr>
          <w:p w14:paraId="6E992C1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updates its risk assessment methods, consistent with those in ERM and Model Risk Management, to address the unique risks of AI systems during development, deployment, and operation and evaluate the impact and likelihood of AI-specific risks consistently for a unified view.</w:t>
            </w:r>
          </w:p>
          <w:p w14:paraId="053D7E72" w14:textId="77777777" w:rsidR="00963E47" w:rsidRPr="00963E47" w:rsidRDefault="00963E47" w:rsidP="004C3837">
            <w:pPr>
              <w:keepNext/>
              <w:rPr>
                <w:rFonts w:ascii="Aptos" w:hAnsi="Aptos" w:cs="Times New Roman"/>
                <w:b/>
                <w:bCs/>
                <w:color w:val="000000"/>
                <w:sz w:val="20"/>
                <w:szCs w:val="20"/>
              </w:rPr>
            </w:pPr>
          </w:p>
          <w:p w14:paraId="23289A48" w14:textId="77777777" w:rsidR="00963E47" w:rsidRPr="00963E47" w:rsidRDefault="00963E47" w:rsidP="004C3837">
            <w:pPr>
              <w:keepNext/>
              <w:rPr>
                <w:rFonts w:ascii="Aptos" w:hAnsi="Aptos" w:cs="Times New Roman"/>
                <w:b/>
                <w:bCs/>
                <w:color w:val="000000"/>
                <w:sz w:val="20"/>
                <w:szCs w:val="20"/>
              </w:rPr>
            </w:pPr>
            <w:hyperlink r:id="rId26" w:anchor="govern-1-3" w:history="1">
              <w:r w:rsidRPr="00963E47">
                <w:rPr>
                  <w:rFonts w:ascii="Aptos" w:hAnsi="Aptos" w:cs="Times New Roman"/>
                  <w:color w:val="000000"/>
                  <w:sz w:val="20"/>
                  <w:szCs w:val="20"/>
                  <w:u w:val="single"/>
                </w:rPr>
                <w:t>Link to NIST AI RMF Playbook</w:t>
              </w:r>
            </w:hyperlink>
          </w:p>
        </w:tc>
      </w:tr>
    </w:tbl>
    <w:p w14:paraId="6C15F145"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0D5C4E0"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43EE92ED"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03897317" w14:textId="77777777" w:rsidTr="005C00A5">
        <w:trPr>
          <w:tblHeader/>
        </w:trPr>
        <w:tc>
          <w:tcPr>
            <w:tcW w:w="2160" w:type="dxa"/>
            <w:shd w:val="clear" w:color="auto" w:fill="CCDCDC"/>
            <w:vAlign w:val="center"/>
          </w:tcPr>
          <w:p w14:paraId="328767DD"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0FA853FE"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47AAEE6C"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650F172B" w14:textId="77777777" w:rsidTr="005C00A5">
        <w:tc>
          <w:tcPr>
            <w:tcW w:w="2160" w:type="dxa"/>
            <w:shd w:val="clear" w:color="auto" w:fill="CCDCDC"/>
          </w:tcPr>
          <w:p w14:paraId="4B10E24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61C52B4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41A6E8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6B4717B8" w14:textId="77777777" w:rsidTr="005C00A5">
        <w:tc>
          <w:tcPr>
            <w:tcW w:w="2160" w:type="dxa"/>
            <w:shd w:val="clear" w:color="auto" w:fill="CCDCDC"/>
          </w:tcPr>
          <w:p w14:paraId="0EF8BC9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7766C86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D22634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4C51572F" w14:textId="77777777" w:rsidTr="005C00A5">
        <w:tc>
          <w:tcPr>
            <w:tcW w:w="2160" w:type="dxa"/>
            <w:shd w:val="clear" w:color="auto" w:fill="CCDCDC"/>
          </w:tcPr>
          <w:p w14:paraId="2165DCE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5BD7D1C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0198571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evolving stage, organizations have updated their risk assessment models to address the unique risks of AI systems during development, deployment, and operation. These updates enable the organization to evaluate the impact and likelihood of AI-specific risks </w:t>
            </w:r>
            <w:r w:rsidRPr="00963E47">
              <w:rPr>
                <w:rFonts w:ascii="Aptos" w:hAnsi="Aptos" w:cs="Times New Roman"/>
                <w:noProof/>
                <w:color w:val="auto"/>
                <w:sz w:val="20"/>
                <w:szCs w:val="20"/>
              </w:rPr>
              <w:lastRenderedPageBreak/>
              <w:t>consistently for a unified view, although their implementation may not yet be fully mature or integrated across all risk assessment processes.</w:t>
            </w:r>
          </w:p>
        </w:tc>
      </w:tr>
      <w:tr w:rsidR="00963E47" w:rsidRPr="00963E47" w14:paraId="36FB8295" w14:textId="77777777" w:rsidTr="005C00A5">
        <w:tc>
          <w:tcPr>
            <w:tcW w:w="2160" w:type="dxa"/>
            <w:shd w:val="clear" w:color="auto" w:fill="CCDCDC"/>
          </w:tcPr>
          <w:p w14:paraId="678A736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4: Embedded</w:t>
            </w:r>
          </w:p>
        </w:tc>
        <w:tc>
          <w:tcPr>
            <w:tcW w:w="1350" w:type="dxa"/>
          </w:tcPr>
          <w:p w14:paraId="457A06B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561761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update risk assessment models to address the unique risks of AI systems and evaluate the impact and likelihood of AI-specific risks consistently. This is fully integrated into the organization's overall risk management processes. These updates are consistently applied, regularly reviewed and updated based on emerging AI risks and best practices, and are deeply embedded into all aspects of the organization's AI risk assessment and management activities.</w:t>
            </w:r>
          </w:p>
        </w:tc>
      </w:tr>
    </w:tbl>
    <w:p w14:paraId="69CD5349"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3B72C653" w14:textId="77777777" w:rsidTr="005C00A5">
        <w:tc>
          <w:tcPr>
            <w:tcW w:w="2250" w:type="dxa"/>
          </w:tcPr>
          <w:p w14:paraId="05010A7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13FB1CC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238B8B7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3102A732" w14:textId="77777777" w:rsidTr="005C00A5">
        <w:tc>
          <w:tcPr>
            <w:tcW w:w="2250" w:type="dxa"/>
          </w:tcPr>
          <w:p w14:paraId="3D2F336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56D484D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Inadequate AI Risk Assessment</w:t>
            </w:r>
          </w:p>
        </w:tc>
        <w:tc>
          <w:tcPr>
            <w:tcW w:w="5300" w:type="dxa"/>
          </w:tcPr>
          <w:p w14:paraId="31F8CDF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system risks are not adequately addressed in risk assessment methods</w:t>
            </w:r>
          </w:p>
        </w:tc>
      </w:tr>
    </w:tbl>
    <w:p w14:paraId="4DD4E58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B7761D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2DF216A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B5AF2E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Identify the unique characteristics and potential risks associated with AI systems during development, deployment, and operation, such as data bias, model interpretability, performance drift, and unintended consequences. Adapt existing risk assessment frameworks, such as those used in ERM and model risk management (MRM), to include these AI-specific risks.</w:t>
      </w:r>
    </w:p>
    <w:p w14:paraId="2B268980"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075C2B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 standardized approach for assessing the impact and likelihood of these risks, considering factors such as the nature of the AI system, its intended use, and the potential consequences of failure. Apply this adapted risk assessment approach consistently across the organization’s AI portfolio to provide a comprehensive and unified view of AI-related risks.</w:t>
      </w:r>
    </w:p>
    <w:p w14:paraId="40BB26A4"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6C644B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5F46C4F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8FF498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AI Risk Assessment Methodology Review and Update</w:t>
      </w:r>
    </w:p>
    <w:p w14:paraId="34B51F1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process for regularly reviewing and updating the organization’s risk assessment methodology to incorporate AI-specific risks in line with ERM and MRM frameworks, ensuring assessments are current and comprehensive across all AI system lifecycle stages.</w:t>
      </w:r>
    </w:p>
    <w:p w14:paraId="23771ED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BE6AAE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Documented procedures outlining the review and update process for risk assessment methods.</w:t>
      </w:r>
    </w:p>
    <w:p w14:paraId="4B37D58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periodic review meetings and updates to the methodology documentation.</w:t>
      </w:r>
    </w:p>
    <w:p w14:paraId="3807AC4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Comparison reports showing revisions to risk assessment criteria related to AI risks.</w:t>
      </w:r>
    </w:p>
    <w:p w14:paraId="196912E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records for staff on updated AI-specific risk assessment procedures.</w:t>
      </w:r>
    </w:p>
    <w:p w14:paraId="6F0641F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E1C8C3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AI-Specific Risk Identification and Evaluation Protocols</w:t>
      </w:r>
    </w:p>
    <w:p w14:paraId="083C404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and implement standardized protocols to identify and evaluate AI-specific risks (e.g., bias, model drift, and operational failure) and assess their impact and likelihood uniformly across projects.</w:t>
      </w:r>
    </w:p>
    <w:p w14:paraId="0A798D0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424EF3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assessment templates explicitly tailored for AI-related risks.</w:t>
      </w:r>
    </w:p>
    <w:p w14:paraId="47FA9D8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Sample completed risk assessments demonstrating consistent application of protocols.</w:t>
      </w:r>
    </w:p>
    <w:p w14:paraId="7479F78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materials and records on AI-specific risk identification and evaluation.</w:t>
      </w:r>
    </w:p>
    <w:p w14:paraId="06197AF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notes or reports showing risk assessments discussed and approved at project review meetings.</w:t>
      </w:r>
    </w:p>
    <w:p w14:paraId="1A90157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493B8F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of AI Risks into Enterprise Risk Management (ERM) System</w:t>
      </w:r>
    </w:p>
    <w:p w14:paraId="522AB90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Ensure AI risk assessments are integrated into the organization’s ERM system, providing a unified view of risks across the organization that reflects AI-specific considerations.</w:t>
      </w:r>
    </w:p>
    <w:p w14:paraId="4C0A678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632F2F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ERM system entries with AI-related risk data and assessments.</w:t>
      </w:r>
    </w:p>
    <w:p w14:paraId="2BA00C2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or dashboards illustrating AI risks alongside other enterprise risks.</w:t>
      </w:r>
    </w:p>
    <w:p w14:paraId="35FE276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logs showing the inclusion of AI risk assessments in ERM updates.</w:t>
      </w:r>
    </w:p>
    <w:p w14:paraId="7239827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Policies requiring AI risk documentation to be centrally stored within the ERM platform.</w:t>
      </w:r>
    </w:p>
    <w:p w14:paraId="234EDAF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333C19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Ongoing Monitoring and Review of AI Risks</w:t>
      </w:r>
    </w:p>
    <w:p w14:paraId="1396F27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continuous monitoring processes for AI risks during development, deployment, and operation phases, including periodic reassessment and updating of risk evaluations based on new information or system changes.</w:t>
      </w:r>
    </w:p>
    <w:p w14:paraId="20DF5CB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3F4FB3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logs tracking AI risk indicators and performance metrics.</w:t>
      </w:r>
    </w:p>
    <w:p w14:paraId="5856A7A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periodic risk review meetings and updates to risk assessment documents.</w:t>
      </w:r>
    </w:p>
    <w:p w14:paraId="0F6990E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reports or post-deployment reviews reflecting changes in AI risk profile.</w:t>
      </w:r>
    </w:p>
    <w:p w14:paraId="5FE79C7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Automated alerts or dashboards showing changes in AI system risk status.</w:t>
      </w:r>
    </w:p>
    <w:p w14:paraId="536B73A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C418EE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Risk Communication and Reporting Framework for AI Risks</w:t>
      </w:r>
    </w:p>
    <w:p w14:paraId="5A13688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clear framework for communicating AI-specific risks and their evaluations across relevant stakeholder groups, ensuring consistent understanding and decision-making.</w:t>
      </w:r>
    </w:p>
    <w:p w14:paraId="359E5A5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6FB834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assessment reports circulated to management and stakeholders with analysis of AI risks.</w:t>
      </w:r>
    </w:p>
    <w:p w14:paraId="49E8414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or presentations discussing AI risk evaluations.</w:t>
      </w:r>
    </w:p>
    <w:p w14:paraId="6E1D8F7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Internal newsletters or alerts highlighting significant AI risk updates.</w:t>
      </w:r>
    </w:p>
    <w:p w14:paraId="7F14E0E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records on how to interpret AI risk reports and incorporate findings into decision-making.</w:t>
      </w:r>
    </w:p>
    <w:p w14:paraId="5F04EBB0"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5AD29CD2"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5CD714F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424CC23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10492C06" w14:textId="77777777" w:rsidTr="005C00A5">
        <w:tc>
          <w:tcPr>
            <w:tcW w:w="1170" w:type="dxa"/>
          </w:tcPr>
          <w:p w14:paraId="15C39A7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0C08881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3E59A62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6C7412E2" w14:textId="77777777" w:rsidTr="005C00A5">
        <w:tc>
          <w:tcPr>
            <w:tcW w:w="1170" w:type="dxa"/>
          </w:tcPr>
          <w:p w14:paraId="622A989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GV-1.3.2</w:t>
            </w:r>
          </w:p>
        </w:tc>
        <w:tc>
          <w:tcPr>
            <w:tcW w:w="2160" w:type="dxa"/>
          </w:tcPr>
          <w:p w14:paraId="172C3AA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Risk Monitoring and Escalation</w:t>
            </w:r>
          </w:p>
        </w:tc>
        <w:tc>
          <w:tcPr>
            <w:tcW w:w="6740" w:type="dxa"/>
          </w:tcPr>
          <w:p w14:paraId="16D3378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integrates AI-specific considerations into its monitoring, reporting, and escalation processes, aligned with its risk criteria, capacity, and appetite. It establishes or adapts practices based on the AI system’s risk profile to provide effective oversight throughout the AI lifecycle.</w:t>
            </w:r>
          </w:p>
          <w:p w14:paraId="40059FCA" w14:textId="77777777" w:rsidR="00963E47" w:rsidRPr="00963E47" w:rsidRDefault="00963E47" w:rsidP="004C3837">
            <w:pPr>
              <w:keepNext/>
              <w:rPr>
                <w:rFonts w:ascii="Aptos" w:hAnsi="Aptos" w:cs="Times New Roman"/>
                <w:b/>
                <w:bCs/>
                <w:color w:val="000000"/>
                <w:sz w:val="20"/>
                <w:szCs w:val="20"/>
              </w:rPr>
            </w:pPr>
          </w:p>
          <w:p w14:paraId="32CFE43F" w14:textId="77777777" w:rsidR="00963E47" w:rsidRPr="00963E47" w:rsidRDefault="00963E47" w:rsidP="004C3837">
            <w:pPr>
              <w:keepNext/>
              <w:rPr>
                <w:rFonts w:ascii="Aptos" w:hAnsi="Aptos" w:cs="Times New Roman"/>
                <w:b/>
                <w:bCs/>
                <w:color w:val="000000"/>
                <w:sz w:val="20"/>
                <w:szCs w:val="20"/>
              </w:rPr>
            </w:pPr>
            <w:hyperlink r:id="rId27" w:anchor="govern-1-3" w:history="1">
              <w:r w:rsidRPr="00963E47">
                <w:rPr>
                  <w:rFonts w:ascii="Aptos" w:hAnsi="Aptos" w:cs="Times New Roman"/>
                  <w:color w:val="000000"/>
                  <w:sz w:val="20"/>
                  <w:szCs w:val="20"/>
                  <w:u w:val="single"/>
                </w:rPr>
                <w:t>Link to NIST AI RMF Playbook</w:t>
              </w:r>
            </w:hyperlink>
          </w:p>
        </w:tc>
      </w:tr>
    </w:tbl>
    <w:p w14:paraId="3C056BAD"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700A430"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2EA7A532"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68455EE3" w14:textId="77777777" w:rsidTr="005C00A5">
        <w:trPr>
          <w:tblHeader/>
        </w:trPr>
        <w:tc>
          <w:tcPr>
            <w:tcW w:w="2160" w:type="dxa"/>
            <w:shd w:val="clear" w:color="auto" w:fill="CCDCDC"/>
            <w:vAlign w:val="center"/>
          </w:tcPr>
          <w:p w14:paraId="70794E3F"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78BBB3FB"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53F49001"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37D4997A" w14:textId="77777777" w:rsidTr="005C00A5">
        <w:tc>
          <w:tcPr>
            <w:tcW w:w="2160" w:type="dxa"/>
            <w:shd w:val="clear" w:color="auto" w:fill="CCDCDC"/>
          </w:tcPr>
          <w:p w14:paraId="4856133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292BFC4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779D45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284E560" w14:textId="77777777" w:rsidTr="005C00A5">
        <w:tc>
          <w:tcPr>
            <w:tcW w:w="2160" w:type="dxa"/>
            <w:shd w:val="clear" w:color="auto" w:fill="CCDCDC"/>
          </w:tcPr>
          <w:p w14:paraId="72109EC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02A93B9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16032A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558C3EA" w14:textId="77777777" w:rsidTr="005C00A5">
        <w:tc>
          <w:tcPr>
            <w:tcW w:w="2160" w:type="dxa"/>
            <w:shd w:val="clear" w:color="auto" w:fill="CCDCDC"/>
          </w:tcPr>
          <w:p w14:paraId="4F606C2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412179D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C4D1CD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evolving stage, organizations have established processes and procedures for regular risk assessments, ongoing risk monitoring, risk reporting, and risk escalation for AI systems based on established risk criteria and predefined risk capacity, appetite, and tolerance. Monitoring activities are determined by the system's risk profile, with higher-risk systems subject to more frequent and rigorous monitoring, </w:t>
            </w:r>
            <w:r w:rsidRPr="00963E47">
              <w:rPr>
                <w:rFonts w:ascii="Aptos" w:hAnsi="Aptos" w:cs="Times New Roman"/>
                <w:noProof/>
                <w:color w:val="auto"/>
                <w:sz w:val="20"/>
                <w:szCs w:val="20"/>
              </w:rPr>
              <w:lastRenderedPageBreak/>
              <w:t>although their implementation may not yet be fully mature or consistent across all AI systems.</w:t>
            </w:r>
          </w:p>
        </w:tc>
      </w:tr>
      <w:tr w:rsidR="00963E47" w:rsidRPr="00963E47" w14:paraId="7D784ACF" w14:textId="77777777" w:rsidTr="005C00A5">
        <w:tc>
          <w:tcPr>
            <w:tcW w:w="2160" w:type="dxa"/>
            <w:shd w:val="clear" w:color="auto" w:fill="CCDCDC"/>
          </w:tcPr>
          <w:p w14:paraId="6960D75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4: Embedded</w:t>
            </w:r>
          </w:p>
        </w:tc>
        <w:tc>
          <w:tcPr>
            <w:tcW w:w="1350" w:type="dxa"/>
          </w:tcPr>
          <w:p w14:paraId="43326E8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0C76B9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establish processes and procedures for regular risk assessments, ongoing risk monitoring, risk reporting, and risk escalation for AI systems based on established risk criteria and predefined risk capacity, appetite, and tolerance, which is fully integrated into the organization's overall risk management processes. These processes and procedures are consistently applied, regularly reviewed and updated based on emerging AI risks and best practices, and are deeply embedded into all aspects of the organization's AI risk monitoring and escalation activities.</w:t>
            </w:r>
          </w:p>
        </w:tc>
      </w:tr>
    </w:tbl>
    <w:p w14:paraId="0ADAF32C"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6511FEF2" w14:textId="77777777" w:rsidTr="005C00A5">
        <w:tc>
          <w:tcPr>
            <w:tcW w:w="2250" w:type="dxa"/>
          </w:tcPr>
          <w:p w14:paraId="0CAF835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444DE4A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7B4A1B9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7FC988D6" w14:textId="77777777" w:rsidTr="005C00A5">
        <w:tc>
          <w:tcPr>
            <w:tcW w:w="2250" w:type="dxa"/>
          </w:tcPr>
          <w:p w14:paraId="7E6E6AA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6CFE28E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Unintegrated AI Risks</w:t>
            </w:r>
          </w:p>
        </w:tc>
        <w:tc>
          <w:tcPr>
            <w:tcW w:w="5300" w:type="dxa"/>
          </w:tcPr>
          <w:p w14:paraId="6D736A7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AI-specific risks are not adequately integrated into risk monitoring and reporting</w:t>
            </w:r>
          </w:p>
        </w:tc>
      </w:tr>
    </w:tbl>
    <w:p w14:paraId="71937FF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2A0005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0F38ED1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5EC075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clear standards for integrating AI-specific considerations into risk management practices, including ongoing risk monitoring, risk reporting, and risk escalation procedures. These standards should specify how to monitor AI system risks beyond traditional assessments, such as tracking key performance indicators (KPIs), security events, data quality metrics, model drift, and potential bias indicators throughout the AI lifecycle. For high-risk AI systems, implement automated alerting and real-time dashboards to detect anomalies, performance degradation, or security breaches in a timely manner.</w:t>
      </w:r>
    </w:p>
    <w:p w14:paraId="1AE142E2"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4ECFA22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standardized templates and tools that capture AI-specific risk factors, such as data provenance, model explainability, and operational stability, to ensure consistent evaluation across systems. Assign clear roles and responsibilities for risk monitoring activities, including designated personnel or teams accountable for ongoing oversight. Provide training on AI risk indicators and monitoring practices to ensure stakeholders can effectively identify and respond to emerging risks or deviations from expected performance.</w:t>
      </w:r>
    </w:p>
    <w:p w14:paraId="0E8BB784"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10BE92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60FCE28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08B089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AI Risk Integration into Existing Risk Management Processes</w:t>
      </w:r>
    </w:p>
    <w:p w14:paraId="50D587D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Incorporate AI-specific risks into the organization’s formal risk assessment, monitoring, reporting, and escalation procedures to ensure these risks are managed consistently alongside other enterprise risks.</w:t>
      </w:r>
    </w:p>
    <w:p w14:paraId="2AC9D83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C779E6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risk management policies including AI-specific risk criteria.</w:t>
      </w:r>
    </w:p>
    <w:p w14:paraId="34049DA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Procedure documents illustrating how AI risks are identified, assessed, and escalated.</w:t>
      </w:r>
    </w:p>
    <w:p w14:paraId="3020C70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risk assessments or updates that explicitly include AI-related risks.</w:t>
      </w:r>
    </w:p>
    <w:p w14:paraId="7480AD6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Dashboards or reports demonstrating AI risks integrated into overall risk reports.</w:t>
      </w:r>
    </w:p>
    <w:p w14:paraId="0788983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E453DF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Practices Development Based on AI Risk Profiles</w:t>
      </w:r>
    </w:p>
    <w:p w14:paraId="616621F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or adapt risk management practices based on the AI system’s risk profile, such as implementing more frequent reviews for higher-risk AI models or deploying specialized oversight for critical AI functions.</w:t>
      </w:r>
    </w:p>
    <w:p w14:paraId="2631CB4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F507F1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management procedures tailored for different AI risk categories.</w:t>
      </w:r>
    </w:p>
    <w:p w14:paraId="2E2891D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practice updates or process adaptations linked to specific AI risk profiles.</w:t>
      </w:r>
    </w:p>
    <w:p w14:paraId="656EA71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materials on new or adapted risk practices for AI systems.</w:t>
      </w:r>
    </w:p>
    <w:p w14:paraId="610CDE9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Meeting minutes showing discussions and approvals of practice modifications.</w:t>
      </w:r>
    </w:p>
    <w:p w14:paraId="45C5354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998E0F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Lifecycle Oversight and Continuous Monitoring</w:t>
      </w:r>
    </w:p>
    <w:p w14:paraId="38FC5D1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mechanisms for continuous oversight and monitoring of AI risks throughout the lifecycle of AI systems, with processes that allow for timely updates and interventions based on risk evaluations.</w:t>
      </w:r>
    </w:p>
    <w:p w14:paraId="448B4B7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EDBCCF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Lifecycle monitoring plans including AI risk considerations.</w:t>
      </w:r>
    </w:p>
    <w:p w14:paraId="4153997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Logs or records of ongoing risk monitoring activities and results.</w:t>
      </w:r>
    </w:p>
    <w:p w14:paraId="3F3353B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or change management reports related to AI risks detected post-deployment.</w:t>
      </w:r>
    </w:p>
    <w:p w14:paraId="2F1FFD2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Automated systems or dashboards tracking AI risk indicators in real-time.</w:t>
      </w:r>
    </w:p>
    <w:p w14:paraId="7940BC2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37F1A5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Risk Escalation and Reporting Protocols</w:t>
      </w:r>
    </w:p>
    <w:p w14:paraId="7E21F39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clear escalation procedures that trigger when AI risks exceed acceptable thresholds, ensuring prompt reporting to senior management and relevant oversight bodies.</w:t>
      </w:r>
    </w:p>
    <w:p w14:paraId="778AB0F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EB4982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Escalation procedures documented and communicated to staff.</w:t>
      </w:r>
    </w:p>
    <w:p w14:paraId="113ECE1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risk threshold breaches and escalation actions taken.</w:t>
      </w:r>
    </w:p>
    <w:p w14:paraId="317516B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reports or risk event logs involving AI systems.</w:t>
      </w:r>
    </w:p>
    <w:p w14:paraId="73F5DD9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Management review meeting minutes addressing escalated AI risks.</w:t>
      </w:r>
    </w:p>
    <w:p w14:paraId="3A4406D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EC8078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Alignment with Risk Criteria, Capacity, and Appetite</w:t>
      </w:r>
    </w:p>
    <w:p w14:paraId="3AD6A01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Ensure AI risk management practices are aligned with the organization’s risk criteria, capacity, and appetite, with periodic reviews to adapt practices based on evolving AI risk profiles and organizational risk tolerance.</w:t>
      </w:r>
    </w:p>
    <w:p w14:paraId="56C7589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89F277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management policies explicitly referencing organizational risk appetite and criteria.</w:t>
      </w:r>
    </w:p>
    <w:p w14:paraId="4CBB104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periodic reviews and updates to risk management practices related to AI.</w:t>
      </w:r>
    </w:p>
    <w:p w14:paraId="3F6C1EC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showing alignment of AI risks with risk appetite thresholds.</w:t>
      </w:r>
    </w:p>
    <w:p w14:paraId="31E6825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meeting documentation discussing adjustments based on risk capacity and appetite.</w:t>
      </w:r>
    </w:p>
    <w:p w14:paraId="73239567"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37278109"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018E106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4218535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3A6BC3D3" w14:textId="77777777" w:rsidTr="005C00A5">
        <w:tc>
          <w:tcPr>
            <w:tcW w:w="1170" w:type="dxa"/>
          </w:tcPr>
          <w:p w14:paraId="3A41866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7ECEB86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5B85E33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41A717E2" w14:textId="77777777" w:rsidTr="005C00A5">
        <w:tc>
          <w:tcPr>
            <w:tcW w:w="1170" w:type="dxa"/>
          </w:tcPr>
          <w:p w14:paraId="53444A9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GV-1.3.3</w:t>
            </w:r>
          </w:p>
        </w:tc>
        <w:tc>
          <w:tcPr>
            <w:tcW w:w="2160" w:type="dxa"/>
          </w:tcPr>
          <w:p w14:paraId="7DEF8ED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Impact Measurement Policies</w:t>
            </w:r>
          </w:p>
        </w:tc>
        <w:tc>
          <w:tcPr>
            <w:tcW w:w="6740" w:type="dxa"/>
          </w:tcPr>
          <w:p w14:paraId="6A4819E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organization’s policies describe methods for regularly measuring AI system impact (e.g., outcomes analysis, impact assessments) and impact at key stages of the AI lifecycle. Assessments are triggered by system changes to better identify and evaluate potential risks and effects on stakeholders, business processes, applications, and broader systems.</w:t>
            </w:r>
          </w:p>
          <w:p w14:paraId="6B16DBE1" w14:textId="77777777" w:rsidR="00963E47" w:rsidRPr="00963E47" w:rsidRDefault="00963E47" w:rsidP="004C3837">
            <w:pPr>
              <w:keepNext/>
              <w:rPr>
                <w:rFonts w:ascii="Aptos" w:hAnsi="Aptos" w:cs="Times New Roman"/>
                <w:b/>
                <w:bCs/>
                <w:color w:val="000000"/>
                <w:sz w:val="20"/>
                <w:szCs w:val="20"/>
              </w:rPr>
            </w:pPr>
          </w:p>
          <w:p w14:paraId="66FE3794" w14:textId="77777777" w:rsidR="00963E47" w:rsidRPr="00963E47" w:rsidRDefault="00963E47" w:rsidP="004C3837">
            <w:pPr>
              <w:keepNext/>
              <w:rPr>
                <w:rFonts w:ascii="Aptos" w:hAnsi="Aptos" w:cs="Times New Roman"/>
                <w:b/>
                <w:bCs/>
                <w:color w:val="000000"/>
                <w:sz w:val="20"/>
                <w:szCs w:val="20"/>
              </w:rPr>
            </w:pPr>
            <w:hyperlink r:id="rId28" w:anchor="govern-1-3" w:history="1">
              <w:r w:rsidRPr="00963E47">
                <w:rPr>
                  <w:rFonts w:ascii="Aptos" w:hAnsi="Aptos" w:cs="Times New Roman"/>
                  <w:color w:val="000000"/>
                  <w:sz w:val="20"/>
                  <w:szCs w:val="20"/>
                  <w:u w:val="single"/>
                </w:rPr>
                <w:t>Link to NIST AI RMF Playbook</w:t>
              </w:r>
            </w:hyperlink>
          </w:p>
        </w:tc>
      </w:tr>
    </w:tbl>
    <w:p w14:paraId="424C2141"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DA48085"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2AE35A37"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2C5ACF06" w14:textId="77777777" w:rsidTr="005C00A5">
        <w:trPr>
          <w:tblHeader/>
        </w:trPr>
        <w:tc>
          <w:tcPr>
            <w:tcW w:w="2160" w:type="dxa"/>
            <w:shd w:val="clear" w:color="auto" w:fill="CCDCDC"/>
            <w:vAlign w:val="center"/>
          </w:tcPr>
          <w:p w14:paraId="6F08B908"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3CAF6BEE"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30CC6566"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1A05C0AC" w14:textId="77777777" w:rsidTr="005C00A5">
        <w:tc>
          <w:tcPr>
            <w:tcW w:w="2160" w:type="dxa"/>
            <w:shd w:val="clear" w:color="auto" w:fill="CCDCDC"/>
          </w:tcPr>
          <w:p w14:paraId="32C4F245"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488F19C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4DCE9E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2BF9E696" w14:textId="77777777" w:rsidTr="005C00A5">
        <w:tc>
          <w:tcPr>
            <w:tcW w:w="2160" w:type="dxa"/>
            <w:shd w:val="clear" w:color="auto" w:fill="CCDCDC"/>
          </w:tcPr>
          <w:p w14:paraId="69BD4F1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1E8FFF9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54C523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B9D54E6" w14:textId="77777777" w:rsidTr="005C00A5">
        <w:tc>
          <w:tcPr>
            <w:tcW w:w="2160" w:type="dxa"/>
            <w:shd w:val="clear" w:color="auto" w:fill="CCDCDC"/>
          </w:tcPr>
          <w:p w14:paraId="2D0FD89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53F4F95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80F3CD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evolving stage, organizations have established policies that describe methods for regularly measuring AI system impact and impact at key stages of the AI lifecycle. Assessments are triggered by system changes to better identify and evaluate potential risks and </w:t>
            </w:r>
            <w:r w:rsidRPr="00963E47">
              <w:rPr>
                <w:rFonts w:ascii="Aptos" w:hAnsi="Aptos" w:cs="Times New Roman"/>
                <w:noProof/>
                <w:color w:val="auto"/>
                <w:sz w:val="20"/>
                <w:szCs w:val="20"/>
              </w:rPr>
              <w:lastRenderedPageBreak/>
              <w:t>effects on stakeholders, business processes, applications, and broader systems, although their implementation may not yet be fully mature or consistent across all AI systems.</w:t>
            </w:r>
          </w:p>
        </w:tc>
      </w:tr>
      <w:tr w:rsidR="00963E47" w:rsidRPr="00963E47" w14:paraId="117F33AD" w14:textId="77777777" w:rsidTr="005C00A5">
        <w:tc>
          <w:tcPr>
            <w:tcW w:w="2160" w:type="dxa"/>
            <w:shd w:val="clear" w:color="auto" w:fill="CCDCDC"/>
          </w:tcPr>
          <w:p w14:paraId="5DCEEB45"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4: Embedded</w:t>
            </w:r>
          </w:p>
        </w:tc>
        <w:tc>
          <w:tcPr>
            <w:tcW w:w="1350" w:type="dxa"/>
          </w:tcPr>
          <w:p w14:paraId="6624AFA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874521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establish policies that describe methods for regularly measuring AI system impact and impact at key stages of the AI lifecycle and is fully integrated into the organization's overall AI governance and risk management processes. These policies are consistently applied, regularly reviewed and updated based on emerging AI risks and best practices, and are deeply embedded into all aspects of the organization's AI impact assessment and risk evaluation activities.</w:t>
            </w:r>
          </w:p>
        </w:tc>
      </w:tr>
    </w:tbl>
    <w:p w14:paraId="57EE211A"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714EFAD5" w14:textId="77777777" w:rsidTr="005C00A5">
        <w:tc>
          <w:tcPr>
            <w:tcW w:w="2250" w:type="dxa"/>
          </w:tcPr>
          <w:p w14:paraId="6578D78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67F25F1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5837D76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6D05503D" w14:textId="77777777" w:rsidTr="005C00A5">
        <w:tc>
          <w:tcPr>
            <w:tcW w:w="2250" w:type="dxa"/>
          </w:tcPr>
          <w:p w14:paraId="7DF99F9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6C6D029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Inadequate Impact Measurement</w:t>
            </w:r>
          </w:p>
        </w:tc>
        <w:tc>
          <w:tcPr>
            <w:tcW w:w="5300" w:type="dxa"/>
          </w:tcPr>
          <w:p w14:paraId="2D09D38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impact measurement methods are inadequate or not routinely applied.</w:t>
            </w:r>
          </w:p>
        </w:tc>
      </w:tr>
    </w:tbl>
    <w:p w14:paraId="7FE41EB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D7AEAF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1F95884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69B128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and implement policies that outline the methods for measuring the impact of AI systems and the likelihood of that impact at key stages of the AI lifecycle and on a regular basis. Include guidelines for conducting outcomes analysis or impact assessments that evaluate the potential risks and effects of AI systems on stakeholders, business processes, applications, and broader systems.</w:t>
      </w:r>
    </w:p>
    <w:p w14:paraId="46234227"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1AD9BF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Define triggers for conducting impact assessments, such as significant changes to the AI system, its intended use, or the data it relies on. Establish a standardized approach for measuring impact, considering factors such as the scale and severity of potential consequences, the likelihood of occurrence, and the organization’s ability to mitigate or recover from adverse events. Ensure that impact assessments are conducted by qualified personnel and that results are documented and communicated to relevant stakeholders.</w:t>
      </w:r>
    </w:p>
    <w:p w14:paraId="0C457614"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FCF8FD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38CE1C3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61E815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Implementation of Impact Measurement Methods in Policies</w:t>
      </w:r>
    </w:p>
    <w:p w14:paraId="6B55BCE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and document methods within organizational policies for regularly measuring AI system impact, including outcomes analysis and impact assessments at critical lifecycle stages.</w:t>
      </w:r>
    </w:p>
    <w:p w14:paraId="533BD36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9295A1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Published policies outlining impact measurement methods for AI systems.</w:t>
      </w:r>
    </w:p>
    <w:p w14:paraId="027268D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Procedure documents detailing how impact assessments are conducted at various lifecycle stages.</w:t>
      </w:r>
    </w:p>
    <w:p w14:paraId="7A2BFDC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manuals and records on impact measurement techniques.</w:t>
      </w:r>
    </w:p>
    <w:p w14:paraId="04B4A68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Communication materials explaining impact assessment processes to stakeholders.</w:t>
      </w:r>
    </w:p>
    <w:p w14:paraId="21662A32"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76D71C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Trigger-Based Impact Assessments for System Changes</w:t>
      </w:r>
    </w:p>
    <w:p w14:paraId="6CB24F7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processes to initiate impact assessments whenever AI systems undergo significant changes, ensuring continuous evaluation of potential risks and effects.</w:t>
      </w:r>
    </w:p>
    <w:p w14:paraId="0FA0156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B60C8B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management procedures including mandatory impact assessments for system modifications.</w:t>
      </w:r>
    </w:p>
    <w:p w14:paraId="1B01AB5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impact assessments triggered by specific system updates or adjustments.</w:t>
      </w:r>
    </w:p>
    <w:p w14:paraId="2A17EB2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Automated alerts or workflows that prompt impact evaluations upon change detection.</w:t>
      </w:r>
    </w:p>
    <w:p w14:paraId="72A5CF6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impact assessment reports linked to system change events.</w:t>
      </w:r>
    </w:p>
    <w:p w14:paraId="5E1262C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2646DB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Impact Evaluation at Key Lifecycle Stages</w:t>
      </w:r>
    </w:p>
    <w:p w14:paraId="61D113B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impact assessments at designated key stages of the AI lifecycle, such as development, deployment, and post-deployment, to identify and evaluate potential risks or adverse effects.</w:t>
      </w:r>
    </w:p>
    <w:p w14:paraId="2CEF1DD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C58AC5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Impact assessment checklists completed at each lifecycle stage.</w:t>
      </w:r>
    </w:p>
    <w:p w14:paraId="20D7E99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impact evaluations performed during model development, deployment, and monitoring phases.</w:t>
      </w:r>
    </w:p>
    <w:p w14:paraId="1628D5A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noting impact discussions during gating or review points.</w:t>
      </w:r>
    </w:p>
    <w:p w14:paraId="3799C11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sign-off documentation verifying impact assessments were completed at each stage.</w:t>
      </w:r>
    </w:p>
    <w:p w14:paraId="20922DA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2EE61B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Stakeholder and Business Impact Documentation</w:t>
      </w:r>
    </w:p>
    <w:p w14:paraId="2E289C7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documentation of impacts on stakeholders, business processes, applications, and broader systems to inform risk management and decision-making.</w:t>
      </w:r>
    </w:p>
    <w:p w14:paraId="6706CD3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AFC280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Impact reports highlighting stakeholder and business effects of AI systems.</w:t>
      </w:r>
    </w:p>
    <w:p w14:paraId="069854F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feedback forms and survey results related to AI impacts.</w:t>
      </w:r>
    </w:p>
    <w:p w14:paraId="1D01031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registers including impacts identified through assessments.</w:t>
      </w:r>
    </w:p>
    <w:p w14:paraId="4AE158E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Analysis reports linking impact assessments to broader system performance and risks.</w:t>
      </w:r>
    </w:p>
    <w:p w14:paraId="421BBEC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D72A89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Review and Update of Impact Measurement Practices</w:t>
      </w:r>
    </w:p>
    <w:p w14:paraId="72BB847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review and update impact measurement methods and assessment triggers to adapt to evolving AI systems, stakeholder needs, and operational environments.</w:t>
      </w:r>
    </w:p>
    <w:p w14:paraId="1ED4FB7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BBF7CA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periodic reviews of impact measurement policies and practices.</w:t>
      </w:r>
    </w:p>
    <w:p w14:paraId="2C1E525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updates to impact assessment procedures based on lessons learned or new standards.</w:t>
      </w:r>
    </w:p>
    <w:p w14:paraId="2249794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records on new impact measurement approaches or tools.</w:t>
      </w:r>
    </w:p>
    <w:p w14:paraId="77BF1A1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Management review reports on the effectiveness of impact assessment processes.</w:t>
      </w:r>
    </w:p>
    <w:p w14:paraId="7959017A"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669AA1C6"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553D1DE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24B0A26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5C60CD84" w14:textId="77777777" w:rsidTr="005C00A5">
        <w:tc>
          <w:tcPr>
            <w:tcW w:w="1170" w:type="dxa"/>
          </w:tcPr>
          <w:p w14:paraId="2753E6F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58D09AD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55D1601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449E05AD" w14:textId="77777777" w:rsidTr="005C00A5">
        <w:tc>
          <w:tcPr>
            <w:tcW w:w="1170" w:type="dxa"/>
          </w:tcPr>
          <w:p w14:paraId="08B9156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GV-1.3.4</w:t>
            </w:r>
          </w:p>
        </w:tc>
        <w:tc>
          <w:tcPr>
            <w:tcW w:w="2160" w:type="dxa"/>
          </w:tcPr>
          <w:p w14:paraId="3F76B8B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Use Risk Acceptance and Rejection Framework</w:t>
            </w:r>
          </w:p>
        </w:tc>
        <w:tc>
          <w:tcPr>
            <w:tcW w:w="6740" w:type="dxa"/>
          </w:tcPr>
          <w:p w14:paraId="4899AD2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has clear policies and decision-making processes, informed by executive leadership, to ensure that AI system use aligns with its defined risk tolerance. These policies outline criteria for identifying and rejecting AI uses that exceed acceptable risk levels as determined by the organization's risk assessment. Decisions to reject an AI system are based on a thorough evaluation of potential risks and impacts, with documentation of the rationale. Rejected uses are reviewed periodically to ensure the organization's risk tolerance remains appropriate and aligned with its overall risk management strategy.</w:t>
            </w:r>
          </w:p>
          <w:p w14:paraId="4A93CAF7" w14:textId="77777777" w:rsidR="00963E47" w:rsidRPr="00963E47" w:rsidRDefault="00963E47" w:rsidP="004C3837">
            <w:pPr>
              <w:keepNext/>
              <w:rPr>
                <w:rFonts w:ascii="Aptos" w:hAnsi="Aptos" w:cs="Times New Roman"/>
                <w:b/>
                <w:bCs/>
                <w:color w:val="000000"/>
                <w:sz w:val="20"/>
                <w:szCs w:val="20"/>
              </w:rPr>
            </w:pPr>
          </w:p>
          <w:p w14:paraId="22DE48DD" w14:textId="77777777" w:rsidR="00963E47" w:rsidRPr="00963E47" w:rsidRDefault="00963E47" w:rsidP="004C3837">
            <w:pPr>
              <w:keepNext/>
              <w:rPr>
                <w:rFonts w:ascii="Aptos" w:hAnsi="Aptos" w:cs="Times New Roman"/>
                <w:b/>
                <w:bCs/>
                <w:color w:val="000000"/>
                <w:sz w:val="20"/>
                <w:szCs w:val="20"/>
              </w:rPr>
            </w:pPr>
            <w:hyperlink r:id="rId29" w:anchor="govern-1-3" w:history="1">
              <w:r w:rsidRPr="00963E47">
                <w:rPr>
                  <w:rFonts w:ascii="Aptos" w:hAnsi="Aptos" w:cs="Times New Roman"/>
                  <w:color w:val="000000"/>
                  <w:sz w:val="20"/>
                  <w:szCs w:val="20"/>
                  <w:u w:val="single"/>
                </w:rPr>
                <w:t>Link to NIST AI RMF Playbook</w:t>
              </w:r>
            </w:hyperlink>
          </w:p>
        </w:tc>
      </w:tr>
    </w:tbl>
    <w:p w14:paraId="7D4C8AF2"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C7B6297"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248244A7"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79818E60" w14:textId="77777777" w:rsidTr="005C00A5">
        <w:trPr>
          <w:tblHeader/>
        </w:trPr>
        <w:tc>
          <w:tcPr>
            <w:tcW w:w="2160" w:type="dxa"/>
            <w:shd w:val="clear" w:color="auto" w:fill="CCDCDC"/>
            <w:vAlign w:val="center"/>
          </w:tcPr>
          <w:p w14:paraId="34906FA5"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2417D087"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40A79EBD"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06C96DAC" w14:textId="77777777" w:rsidTr="005C00A5">
        <w:tc>
          <w:tcPr>
            <w:tcW w:w="2160" w:type="dxa"/>
            <w:shd w:val="clear" w:color="auto" w:fill="CCDCDC"/>
          </w:tcPr>
          <w:p w14:paraId="7A3FF14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0218537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A46BCE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19FA098F" w14:textId="77777777" w:rsidTr="005C00A5">
        <w:tc>
          <w:tcPr>
            <w:tcW w:w="2160" w:type="dxa"/>
            <w:shd w:val="clear" w:color="auto" w:fill="CCDCDC"/>
          </w:tcPr>
          <w:p w14:paraId="788106D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08EF8DF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9270BB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275380A" w14:textId="77777777" w:rsidTr="005C00A5">
        <w:tc>
          <w:tcPr>
            <w:tcW w:w="2160" w:type="dxa"/>
            <w:shd w:val="clear" w:color="auto" w:fill="CCDCDC"/>
          </w:tcPr>
          <w:p w14:paraId="284D79C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3F44D3E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E82293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evolving stage, organizations have established clear policies and decision-making processes to ensure that AI system use aligns </w:t>
            </w:r>
            <w:r w:rsidRPr="00963E47">
              <w:rPr>
                <w:rFonts w:ascii="Aptos" w:hAnsi="Aptos" w:cs="Times New Roman"/>
                <w:noProof/>
                <w:color w:val="auto"/>
                <w:sz w:val="20"/>
                <w:szCs w:val="20"/>
              </w:rPr>
              <w:lastRenderedPageBreak/>
              <w:t>with its defined risk tolerance. These policies outline criteria for identifying and rejecting AI uses that exceed acceptable risk levels, and decisions to reject an AI system are based on a thorough evaluation of potential risks and impacts, with documentation of the rationale. However, the implementation of these policies and processes may not yet be fully mature or consistent across all AI systems.</w:t>
            </w:r>
          </w:p>
        </w:tc>
      </w:tr>
      <w:tr w:rsidR="00963E47" w:rsidRPr="00963E47" w14:paraId="4A77E766" w14:textId="77777777" w:rsidTr="005C00A5">
        <w:tc>
          <w:tcPr>
            <w:tcW w:w="2160" w:type="dxa"/>
            <w:shd w:val="clear" w:color="auto" w:fill="CCDCDC"/>
          </w:tcPr>
          <w:p w14:paraId="15F3D5E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4: Embedded</w:t>
            </w:r>
          </w:p>
        </w:tc>
        <w:tc>
          <w:tcPr>
            <w:tcW w:w="1350" w:type="dxa"/>
          </w:tcPr>
          <w:p w14:paraId="466141D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C28209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establish clear policies and decision-making processes to ensure that AI system use aligns with the organization's defined risk tolerance and is fully integrated into the organization's overall AI governance and risk management processes. These policies and processes are consistently applied, regularly reviewed and updated based on emerging AI risks and best practices, and are deeply embedded into all aspects of the organization's AI system approval and rejection activities. Rejected uses are periodically reviewed to ensure the organization's risk tolerance remains appropriate and aligned with its overall risk management strategy.</w:t>
            </w:r>
          </w:p>
        </w:tc>
      </w:tr>
    </w:tbl>
    <w:p w14:paraId="74F50F04"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2DD1B1F4" w14:textId="77777777" w:rsidTr="005C00A5">
        <w:tc>
          <w:tcPr>
            <w:tcW w:w="2250" w:type="dxa"/>
          </w:tcPr>
          <w:p w14:paraId="784DF9E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6279BB1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730BFC0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006B337A" w14:textId="77777777" w:rsidTr="005C00A5">
        <w:tc>
          <w:tcPr>
            <w:tcW w:w="2250" w:type="dxa"/>
          </w:tcPr>
          <w:p w14:paraId="60A4A3B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2728DD8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Risk Tolerance Breach</w:t>
            </w:r>
          </w:p>
        </w:tc>
        <w:tc>
          <w:tcPr>
            <w:tcW w:w="5300" w:type="dxa"/>
          </w:tcPr>
          <w:p w14:paraId="65C6385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system use exceeds defined risk tolerance</w:t>
            </w:r>
          </w:p>
        </w:tc>
      </w:tr>
    </w:tbl>
    <w:p w14:paraId="2BA27DB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3BD269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5A7DC5F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62117F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Espouse a clear risk tolerance, appetite, or profile statement for AI use, establishing criteria for accepting, monitoring, or rejecting AI applications. Develop formal decision-making processes that outline how risks are evaluated against organizational risk thresholds, including procedures for approving, conditionally approving, or rejecting AI system uses based on comprehensive risk assessments.</w:t>
      </w:r>
    </w:p>
    <w:p w14:paraId="5EA07455"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4C9BBD6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Implement structured review processes that document rationale for each decision to accept or reject AI use, ensuring transparency and accountability. Establish a review cycle where rejected or conditional uses are periodically re-evaluated to confirm alignment with current risk tolerance and strategic priorities.</w:t>
      </w:r>
    </w:p>
    <w:p w14:paraId="0DBE71DD"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E22E36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standardized criteria, metrics, and KPIs—such as risk scores, impact assessments, and compliance indicators—to support risk-based decision-making. Assign responsibilities for assessing AI use proposals, monitoring risk levels, and making approval or rejection decisions to qualified personnel with appropriate training. Ensure communication channels are in place for clear reporting, escalation, and documentation of decisions, including rationale and review outcomes, with oversight from senior management, legal, and compliance stakeholders.</w:t>
      </w:r>
    </w:p>
    <w:p w14:paraId="7B7AE87D"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536103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76185A0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F43A9A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AI Use Policies Aligned with Risk Tolerance</w:t>
      </w:r>
    </w:p>
    <w:p w14:paraId="01D001C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clear policies that define how AI system use is evaluated against the organization’s risk tolerance, including criteria for acceptance and rejection of AI applications.</w:t>
      </w:r>
    </w:p>
    <w:p w14:paraId="23E0D2D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3042CC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Formalized policies outlining AI use evaluation criteria aligned with risk appetite.</w:t>
      </w:r>
    </w:p>
    <w:p w14:paraId="523706D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Policy approval documentation with endorsement from executive leadership.</w:t>
      </w:r>
    </w:p>
    <w:p w14:paraId="240E4E8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Communication materials distributing policies across relevant departments.</w:t>
      </w:r>
    </w:p>
    <w:p w14:paraId="53E8965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records on AI use policies and risk criteria.</w:t>
      </w:r>
    </w:p>
    <w:p w14:paraId="1CDD8CD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A719F4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Decision-Making Processes for AI Use Rejection</w:t>
      </w:r>
    </w:p>
    <w:p w14:paraId="73F91C7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structured decision-making processes that thoroughly evaluate potential risks and impacts of AI uses and document the rationale for rejection decisions.</w:t>
      </w:r>
    </w:p>
    <w:p w14:paraId="36C61D2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959613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Standardized decision log templates capturing evaluations and rationale for reject decisions.</w:t>
      </w:r>
    </w:p>
    <w:p w14:paraId="24F38B7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risk assessments conducted prior to rejecting AI applications.</w:t>
      </w:r>
    </w:p>
    <w:p w14:paraId="2E394FA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where rejection decisions and justifications are discussed and approved.</w:t>
      </w:r>
    </w:p>
    <w:p w14:paraId="67B2BA0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stakeholders involved in rejection decision processes.</w:t>
      </w:r>
    </w:p>
    <w:p w14:paraId="4E98578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562582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Periodic Review of Rejected AI Uses</w:t>
      </w:r>
    </w:p>
    <w:p w14:paraId="68DC3A3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periodic reviews of rejected AI applications to confirm that risk assessments and organizational risk tolerance remain current and appropriate.</w:t>
      </w:r>
    </w:p>
    <w:p w14:paraId="63B2215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3B65D9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and completion records for previously rejected AI uses.</w:t>
      </w:r>
    </w:p>
    <w:p w14:paraId="4630AF1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risk evaluations and documentation justifying continued rejection or reconsideration.</w:t>
      </w:r>
    </w:p>
    <w:p w14:paraId="54BAB5C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summarizing review findings and any policy or criteria modifications.</w:t>
      </w:r>
    </w:p>
    <w:p w14:paraId="19DCE07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reassessment meetings with involved stakeholders.</w:t>
      </w:r>
    </w:p>
    <w:p w14:paraId="499B5BF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824EC4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Executive and Stakeholder Oversight</w:t>
      </w:r>
    </w:p>
    <w:p w14:paraId="6B8A155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Ensure senior leadership and relevant stakeholders are involved in establishing and reviewing AI use policies and rejection criteria to maintain oversight and alignment with organizational risk appetite.</w:t>
      </w:r>
    </w:p>
    <w:p w14:paraId="2B60D25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C722EA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agendas and minutes involving leadership on AI policy decisions.</w:t>
      </w:r>
    </w:p>
    <w:p w14:paraId="03743E0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Endorsement records from executive review of AI risk management strategies.</w:t>
      </w:r>
    </w:p>
    <w:p w14:paraId="1D7C03A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sign-off records on policy updates and rejection criteria.</w:t>
      </w:r>
    </w:p>
    <w:p w14:paraId="39A4321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demonstrating ongoing engagement with leadership on AI risk issues.</w:t>
      </w:r>
    </w:p>
    <w:p w14:paraId="6B21BCA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84FEE0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and Communication of AI Use Decisions</w:t>
      </w:r>
    </w:p>
    <w:p w14:paraId="7D6C1AF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comprehensive records of AI use evaluations, rejection decisions, and rationales, and communicate these clearly across relevant organizational units to ensure transparency and compliance.</w:t>
      </w:r>
    </w:p>
    <w:p w14:paraId="3754A44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52EB9D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Repository of decision logs with detailed rationales for rejects.</w:t>
      </w:r>
    </w:p>
    <w:p w14:paraId="2C9B5D1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Policy distribution records confirming communication of rejection criteria.</w:t>
      </w:r>
    </w:p>
    <w:p w14:paraId="5F4F373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Alert or notification systems documenting decisions to reject or reconsider AI uses.</w:t>
      </w:r>
    </w:p>
    <w:p w14:paraId="7D05F61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Internal audit or review reports confirming adherence to documented decision processes.</w:t>
      </w:r>
    </w:p>
    <w:p w14:paraId="68BFE57E"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12" w:name="_Toc214874757"/>
      <w:r w:rsidRPr="00963E47">
        <w:rPr>
          <w:rFonts w:ascii="Aptos" w:eastAsia="Aptos" w:hAnsi="Aptos" w:cs="Times New Roman"/>
          <w:b/>
          <w:bCs/>
          <w:noProof/>
          <w:color w:val="35256B"/>
          <w:kern w:val="2"/>
          <w:sz w:val="24"/>
          <w14:ligatures w14:val="standardContextual"/>
        </w:rPr>
        <w:lastRenderedPageBreak/>
        <w:t>GOVERN / Establishing Key Policies &amp; Processes / Establishing Transparency and Documentation Processes</w:t>
      </w:r>
      <w:bookmarkEnd w:id="12"/>
      <w:r w:rsidRPr="00963E47">
        <w:rPr>
          <w:rFonts w:ascii="Aptos" w:eastAsia="Aptos" w:hAnsi="Aptos" w:cs="Times New Roman"/>
          <w:b/>
          <w:bCs/>
          <w:noProof/>
          <w:color w:val="35256B"/>
          <w:kern w:val="2"/>
          <w:sz w:val="24"/>
          <w14:ligatures w14:val="standardContextual"/>
        </w:rPr>
        <w:t xml:space="preserve"> </w:t>
      </w:r>
    </w:p>
    <w:p w14:paraId="24D3F1B6"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71EC8BE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1AC05DB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33250E49" w14:textId="77777777" w:rsidTr="005C00A5">
        <w:tc>
          <w:tcPr>
            <w:tcW w:w="1170" w:type="dxa"/>
          </w:tcPr>
          <w:p w14:paraId="60D7D08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5267BAD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70777DE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4652F8E5" w14:textId="77777777" w:rsidTr="005C00A5">
        <w:tc>
          <w:tcPr>
            <w:tcW w:w="1170" w:type="dxa"/>
          </w:tcPr>
          <w:p w14:paraId="2FA1CF9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GV-1.4.1</w:t>
            </w:r>
          </w:p>
        </w:tc>
        <w:tc>
          <w:tcPr>
            <w:tcW w:w="2160" w:type="dxa"/>
          </w:tcPr>
          <w:p w14:paraId="6DA5180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Risk Management Framework</w:t>
            </w:r>
          </w:p>
        </w:tc>
        <w:tc>
          <w:tcPr>
            <w:tcW w:w="6740" w:type="dxa"/>
          </w:tcPr>
          <w:p w14:paraId="7198F99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establishes policies and documentation practices for AI risk management processes, ensuring transparency and alignment with organizational risk priorities. These policies acknowledge the reality of automatically generated or AI-generated documentation, providing guidance on maintaining accuracy, verifiability, and accountability. They specify roles, responsibilities, and mechanisms for oversight and escalation throughout the AI lifecycle, supported by routine reviews and performance metrics to ensure effective management and continuous improvement.</w:t>
            </w:r>
          </w:p>
          <w:p w14:paraId="14AC500E" w14:textId="77777777" w:rsidR="00963E47" w:rsidRPr="00963E47" w:rsidRDefault="00963E47" w:rsidP="004C3837">
            <w:pPr>
              <w:keepNext/>
              <w:rPr>
                <w:rFonts w:ascii="Aptos" w:hAnsi="Aptos" w:cs="Times New Roman"/>
                <w:b/>
                <w:bCs/>
                <w:color w:val="000000"/>
                <w:sz w:val="20"/>
                <w:szCs w:val="20"/>
              </w:rPr>
            </w:pPr>
          </w:p>
          <w:p w14:paraId="3187EB19" w14:textId="77777777" w:rsidR="00963E47" w:rsidRPr="00963E47" w:rsidRDefault="00963E47" w:rsidP="004C3837">
            <w:pPr>
              <w:keepNext/>
              <w:rPr>
                <w:rFonts w:ascii="Aptos" w:hAnsi="Aptos" w:cs="Times New Roman"/>
                <w:b/>
                <w:bCs/>
                <w:color w:val="000000"/>
                <w:sz w:val="20"/>
                <w:szCs w:val="20"/>
              </w:rPr>
            </w:pPr>
            <w:hyperlink r:id="rId30" w:anchor="govern-1-4" w:history="1">
              <w:r w:rsidRPr="00963E47">
                <w:rPr>
                  <w:rFonts w:ascii="Aptos" w:hAnsi="Aptos" w:cs="Times New Roman"/>
                  <w:color w:val="000000"/>
                  <w:sz w:val="20"/>
                  <w:szCs w:val="20"/>
                  <w:u w:val="single"/>
                </w:rPr>
                <w:t>Link to NIST AI RMF Playbook</w:t>
              </w:r>
            </w:hyperlink>
          </w:p>
        </w:tc>
      </w:tr>
    </w:tbl>
    <w:p w14:paraId="782348B9"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CA9D1BF"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19E085FF"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5B9A1EB4" w14:textId="77777777" w:rsidTr="005C00A5">
        <w:trPr>
          <w:tblHeader/>
        </w:trPr>
        <w:tc>
          <w:tcPr>
            <w:tcW w:w="2160" w:type="dxa"/>
            <w:shd w:val="clear" w:color="auto" w:fill="CCDCDC"/>
            <w:vAlign w:val="center"/>
          </w:tcPr>
          <w:p w14:paraId="558159FB"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5E65E3EC"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05E5CA9A"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3F82462E" w14:textId="77777777" w:rsidTr="005C00A5">
        <w:tc>
          <w:tcPr>
            <w:tcW w:w="2160" w:type="dxa"/>
            <w:shd w:val="clear" w:color="auto" w:fill="CCDCDC"/>
          </w:tcPr>
          <w:p w14:paraId="4298D86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7CB2A84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CEF9DB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0586BBD5" w14:textId="77777777" w:rsidTr="005C00A5">
        <w:tc>
          <w:tcPr>
            <w:tcW w:w="2160" w:type="dxa"/>
            <w:shd w:val="clear" w:color="auto" w:fill="CCDCDC"/>
          </w:tcPr>
          <w:p w14:paraId="03CB1E5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2256C77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62F095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minimal stage establish basic policies and documentation practices for AI risk management, focusing on essential guidance and oversight to ensure fundamental accountability and transparency. These initial policies provide a foundation for more comprehensive frameworks as AI adoption advances into the evolving and embedded stages.</w:t>
            </w:r>
          </w:p>
        </w:tc>
      </w:tr>
      <w:tr w:rsidR="00963E47" w:rsidRPr="00963E47" w14:paraId="08D0A111" w14:textId="77777777" w:rsidTr="005C00A5">
        <w:tc>
          <w:tcPr>
            <w:tcW w:w="2160" w:type="dxa"/>
            <w:shd w:val="clear" w:color="auto" w:fill="CCDCDC"/>
          </w:tcPr>
          <w:p w14:paraId="1CE090D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6E21D70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344287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have established policies, procedures, and controls for AI risk management processes and intended outcomes, creating transparency and alignment with organizational risk priorities. These policies specify roles, responsibilities, and mechanisms for accountability across the AI lifecycle, although their implementation may not yet be fully mature or consistent across all AI systems.</w:t>
            </w:r>
          </w:p>
        </w:tc>
      </w:tr>
      <w:tr w:rsidR="00963E47" w:rsidRPr="00963E47" w14:paraId="45B641AA" w14:textId="77777777" w:rsidTr="005C00A5">
        <w:tc>
          <w:tcPr>
            <w:tcW w:w="2160" w:type="dxa"/>
            <w:shd w:val="clear" w:color="auto" w:fill="CCDCDC"/>
          </w:tcPr>
          <w:p w14:paraId="46BFC21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4586FAE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654290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establish policies, procedures, and controls for AI risk management processes and intended outcomes, creating transparency and alignment with organizational risk priorities, which is fully integrated into the organization's overall risk management and governance processes. These policies, procedures, and controls are consistently applied, regularly reviewed and updated based on emerging AI risks and best practices, and are deeply embedded into all aspects of the organization's AI lifecycle management activities.</w:t>
            </w:r>
          </w:p>
        </w:tc>
      </w:tr>
    </w:tbl>
    <w:p w14:paraId="7C01EDF9"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63A32274" w14:textId="77777777" w:rsidTr="005C00A5">
        <w:tc>
          <w:tcPr>
            <w:tcW w:w="2250" w:type="dxa"/>
          </w:tcPr>
          <w:p w14:paraId="711353C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lastRenderedPageBreak/>
              <w:t>AI Principle</w:t>
            </w:r>
          </w:p>
        </w:tc>
        <w:tc>
          <w:tcPr>
            <w:tcW w:w="2520" w:type="dxa"/>
          </w:tcPr>
          <w:p w14:paraId="0D81EFE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4CDD5F7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293CC4DC" w14:textId="77777777" w:rsidTr="005C00A5">
        <w:tc>
          <w:tcPr>
            <w:tcW w:w="2250" w:type="dxa"/>
          </w:tcPr>
          <w:p w14:paraId="046DA30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7D13B95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Unclear Risk Policies</w:t>
            </w:r>
          </w:p>
        </w:tc>
        <w:tc>
          <w:tcPr>
            <w:tcW w:w="5300" w:type="dxa"/>
          </w:tcPr>
          <w:p w14:paraId="78BA96E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risk management policies and accountability for documentation are unclear</w:t>
            </w:r>
          </w:p>
        </w:tc>
      </w:tr>
    </w:tbl>
    <w:p w14:paraId="1B58FFC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058E5D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2D76F2B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74AA03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Define and document transparent and aligned AI risk management policies, procedures, and controls in a clear and accessible manner. Recognize that automatically or AI-generated documentation may be part of these processes and establish guidelines to ensure its verifiability, accuracy, and traceability. Engage relevant stakeholders from across the organization, including IT, legal, compliance, and business units, to ensure that policies reflect organizational risk priorities and are feasible to implement.</w:t>
      </w:r>
    </w:p>
    <w:p w14:paraId="14F02A61"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C96960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Clearly specify roles and responsibilities for AI risk management activities, including system development, testing, deployment, monitoring, and ongoing maintenance. Establish mechanisms for accountability, such as regular reviews of policy adherence, performance metrics for the effectiveness of risk management efforts, and escalation procedures for issues or concerns. Communicate these policies, procedures, and controls to relevant personnel, and provide training to promote understanding, proper implementation, and compliance.</w:t>
      </w:r>
    </w:p>
    <w:p w14:paraId="1805FBEF"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89EC98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3EA71C3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BF306D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AI Risk Management Policies and Documentation Practices</w:t>
      </w:r>
    </w:p>
    <w:p w14:paraId="255AF05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comprehensive policies and documentation standards that ensure transparency, accuracy, and alignment of AI risk management processes with organizational priorities, including guidelines for AI-generated documentation.</w:t>
      </w:r>
    </w:p>
    <w:p w14:paraId="2CC2882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DEE1E8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Formalized policies outlining AI risk management documentation standards.</w:t>
      </w:r>
    </w:p>
    <w:p w14:paraId="731508A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standards that specify roles, responsibilities, and accountability measures.</w:t>
      </w:r>
    </w:p>
    <w:p w14:paraId="08F943E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and communication materials describing policies and practices for AI risk documentation.</w:t>
      </w:r>
    </w:p>
    <w:p w14:paraId="5DAE19E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Policy approval records from senior management or governance bodies.</w:t>
      </w:r>
    </w:p>
    <w:p w14:paraId="7B23B25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37D992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Guidance on AI-Generated Documentation</w:t>
      </w:r>
    </w:p>
    <w:p w14:paraId="24688BF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clear guidance for maintaining accuracy, verifiability, and accountability in automatically or AI-generated documentation, including verification processes and review checkpoints.</w:t>
      </w:r>
    </w:p>
    <w:p w14:paraId="59CF2C3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BDF585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Published guidelines or procedures for verifying AI-generated documentation.</w:t>
      </w:r>
    </w:p>
    <w:p w14:paraId="424D348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validation and review activities for AI-generated outputs.</w:t>
      </w:r>
    </w:p>
    <w:p w14:paraId="26E53C5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materials on verifiability and accountability for teams responsible for documentation.</w:t>
      </w:r>
    </w:p>
    <w:p w14:paraId="4347D36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logs demonstrating review or validation of AI-generated documentation.</w:t>
      </w:r>
    </w:p>
    <w:p w14:paraId="358515E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DA69E8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Defined Roles, Responsibilities, and Oversight Mechanisms</w:t>
      </w:r>
    </w:p>
    <w:p w14:paraId="0C1B954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Clearly define roles and responsibilities throughout the AI lifecycle, establishing oversight and escalation procedures to ensure effective management, monitoring, and accountability.</w:t>
      </w:r>
    </w:p>
    <w:p w14:paraId="193B8E0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CC4815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Role and responsibility matrices related to AI risk management and documentation.</w:t>
      </w:r>
    </w:p>
    <w:p w14:paraId="39A244B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Procedures outlining oversight and escalation processes.</w:t>
      </w:r>
    </w:p>
    <w:p w14:paraId="2133DC9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or reports demonstrating oversight activities.</w:t>
      </w:r>
    </w:p>
    <w:p w14:paraId="5DA2E6E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Organizational charts and responsibility assignment documentation.</w:t>
      </w:r>
    </w:p>
    <w:p w14:paraId="4D80CF0F"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194538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Routine Reviews and Performance Metrics</w:t>
      </w:r>
    </w:p>
    <w:p w14:paraId="1256580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routine review activities and performance metrics to monitor the effectiveness of AI risk management practices, enabling continuous improvement.</w:t>
      </w:r>
    </w:p>
    <w:p w14:paraId="157B345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3294ECB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Scheduled review reports evaluating documentation accuracy and process compliance.</w:t>
      </w:r>
    </w:p>
    <w:p w14:paraId="1649F7E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Performance dashboards tracking key metrics of AI risk management effectiveness.</w:t>
      </w:r>
    </w:p>
    <w:p w14:paraId="2EB8477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management or governance meetings analyzing review findings.</w:t>
      </w:r>
    </w:p>
    <w:p w14:paraId="6E996A7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policies or practices resulting from routine reviews and feedback.</w:t>
      </w:r>
    </w:p>
    <w:p w14:paraId="0E95CB0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39A416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Improvement Based on Feedback and Monitoring</w:t>
      </w:r>
    </w:p>
    <w:p w14:paraId="6FCCDEC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feedback from routine reviews and performance metrics to drive continuous enhancement of AI risk management policies, documentation practices, and oversight mechanisms.</w:t>
      </w:r>
    </w:p>
    <w:p w14:paraId="218BF6A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183181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formal change requests or policy updates following reviews.</w:t>
      </w:r>
    </w:p>
    <w:p w14:paraId="6D405B5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collection forms or surveys from personnel engaged in AI risk management.</w:t>
      </w:r>
    </w:p>
    <w:p w14:paraId="58FCCD6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documenting improvements implemented based on review findings.</w:t>
      </w:r>
    </w:p>
    <w:p w14:paraId="7561D10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Management review summaries evaluating the effectiveness of ongoing practices.</w:t>
      </w:r>
    </w:p>
    <w:p w14:paraId="449D9C44"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6D80AD8C"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7C8ED3A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0E5BDC4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6AC677F7" w14:textId="77777777" w:rsidTr="005C00A5">
        <w:tc>
          <w:tcPr>
            <w:tcW w:w="1170" w:type="dxa"/>
          </w:tcPr>
          <w:p w14:paraId="751E8BC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2FE6028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25FCB55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3E6A82C8" w14:textId="77777777" w:rsidTr="005C00A5">
        <w:tc>
          <w:tcPr>
            <w:tcW w:w="1170" w:type="dxa"/>
          </w:tcPr>
          <w:p w14:paraId="5AF52DF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GV-1.4.2</w:t>
            </w:r>
          </w:p>
        </w:tc>
        <w:tc>
          <w:tcPr>
            <w:tcW w:w="2160" w:type="dxa"/>
          </w:tcPr>
          <w:p w14:paraId="0AF285C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Risk Documentation Standards</w:t>
            </w:r>
          </w:p>
        </w:tc>
        <w:tc>
          <w:tcPr>
            <w:tcW w:w="6740" w:type="dxa"/>
          </w:tcPr>
          <w:p w14:paraId="1503CE1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establishes documentation requirements in its AI risk management policies and procedures, covering AI system design and implementation, model development (including model type, training data sources and selection criteria, assumptions, and limitations), the justification and rationale of key decisions, the acceptable use of proxies, testing, evaluation, validation, and risk mitigation processes (including methodologies and outcomes), and regular monitoring and change management activities.</w:t>
            </w:r>
          </w:p>
          <w:p w14:paraId="4E06CA55" w14:textId="77777777" w:rsidR="00963E47" w:rsidRPr="00963E47" w:rsidRDefault="00963E47" w:rsidP="004C3837">
            <w:pPr>
              <w:keepNext/>
              <w:rPr>
                <w:rFonts w:ascii="Aptos" w:hAnsi="Aptos" w:cs="Times New Roman"/>
                <w:b/>
                <w:bCs/>
                <w:color w:val="000000"/>
                <w:sz w:val="20"/>
                <w:szCs w:val="20"/>
              </w:rPr>
            </w:pPr>
          </w:p>
          <w:p w14:paraId="758D07A0" w14:textId="77777777" w:rsidR="00963E47" w:rsidRPr="00963E47" w:rsidRDefault="00963E47" w:rsidP="004C3837">
            <w:pPr>
              <w:keepNext/>
              <w:rPr>
                <w:rFonts w:ascii="Aptos" w:hAnsi="Aptos" w:cs="Times New Roman"/>
                <w:b/>
                <w:bCs/>
                <w:color w:val="000000"/>
                <w:sz w:val="20"/>
                <w:szCs w:val="20"/>
              </w:rPr>
            </w:pPr>
            <w:hyperlink r:id="rId31" w:anchor="govern-1-4" w:history="1">
              <w:r w:rsidRPr="00963E47">
                <w:rPr>
                  <w:rFonts w:ascii="Aptos" w:hAnsi="Aptos" w:cs="Times New Roman"/>
                  <w:color w:val="000000"/>
                  <w:sz w:val="20"/>
                  <w:szCs w:val="20"/>
                  <w:u w:val="single"/>
                </w:rPr>
                <w:t>Link to NIST AI RMF Playbook</w:t>
              </w:r>
            </w:hyperlink>
          </w:p>
        </w:tc>
      </w:tr>
    </w:tbl>
    <w:p w14:paraId="1727FDAA"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43B0F6A"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18CB393D"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7C1E2244" w14:textId="77777777" w:rsidTr="005C00A5">
        <w:trPr>
          <w:tblHeader/>
        </w:trPr>
        <w:tc>
          <w:tcPr>
            <w:tcW w:w="2160" w:type="dxa"/>
            <w:shd w:val="clear" w:color="auto" w:fill="CCDCDC"/>
            <w:vAlign w:val="center"/>
          </w:tcPr>
          <w:p w14:paraId="475FAA02"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3C09E831"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631D74FE"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7BF437AC" w14:textId="77777777" w:rsidTr="005C00A5">
        <w:tc>
          <w:tcPr>
            <w:tcW w:w="2160" w:type="dxa"/>
            <w:shd w:val="clear" w:color="auto" w:fill="CCDCDC"/>
          </w:tcPr>
          <w:p w14:paraId="2B157D6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72794F4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2E4509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426FD6F4" w14:textId="77777777" w:rsidTr="005C00A5">
        <w:tc>
          <w:tcPr>
            <w:tcW w:w="2160" w:type="dxa"/>
            <w:shd w:val="clear" w:color="auto" w:fill="CCDCDC"/>
          </w:tcPr>
          <w:p w14:paraId="6308AFA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5F468DE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0BFA02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minimal stage establish basic documentation requirements covering core aspects of AI system design and development to ensure initial accountability and traceability.</w:t>
            </w:r>
          </w:p>
        </w:tc>
      </w:tr>
      <w:tr w:rsidR="00963E47" w:rsidRPr="00963E47" w14:paraId="01D516B0" w14:textId="77777777" w:rsidTr="005C00A5">
        <w:tc>
          <w:tcPr>
            <w:tcW w:w="2160" w:type="dxa"/>
            <w:shd w:val="clear" w:color="auto" w:fill="CCDCDC"/>
          </w:tcPr>
          <w:p w14:paraId="57961FD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3551373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7C0930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have established documentation requirements in their AI risk management policies and procedures, covering various aspects of AI system design, development, testing, and monitoring. These requirements ensure that key decisions, assumptions, limitations, and risk mitigation processes are documented, although their implementation may not yet be fully mature or consistent across all AI systems.</w:t>
            </w:r>
          </w:p>
        </w:tc>
      </w:tr>
      <w:tr w:rsidR="00963E47" w:rsidRPr="00963E47" w14:paraId="1BA73EB7" w14:textId="77777777" w:rsidTr="005C00A5">
        <w:tc>
          <w:tcPr>
            <w:tcW w:w="2160" w:type="dxa"/>
            <w:shd w:val="clear" w:color="auto" w:fill="CCDCDC"/>
          </w:tcPr>
          <w:p w14:paraId="66D418A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71C3B4A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BF5B17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embedded stage, organizations establish documentation requirements in AI risk management policies and procedures, covering various aspects of AI system design, development, testing, and monitoring, which is fully integrated into the organization's overall risk management and governance processes. These documentation requirements are consistently applied, regularly reviewed and updated </w:t>
            </w:r>
            <w:r w:rsidRPr="00963E47">
              <w:rPr>
                <w:rFonts w:ascii="Aptos" w:hAnsi="Aptos" w:cs="Times New Roman"/>
                <w:noProof/>
                <w:color w:val="auto"/>
                <w:sz w:val="20"/>
                <w:szCs w:val="20"/>
              </w:rPr>
              <w:lastRenderedPageBreak/>
              <w:t>based on emerging AI risks and best practices, and are deeply embedded into all aspects of the organization's AI documentation and knowledge management activities.</w:t>
            </w:r>
          </w:p>
        </w:tc>
      </w:tr>
    </w:tbl>
    <w:p w14:paraId="7A1DA368"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1011C42D" w14:textId="77777777" w:rsidTr="005C00A5">
        <w:tc>
          <w:tcPr>
            <w:tcW w:w="2250" w:type="dxa"/>
          </w:tcPr>
          <w:p w14:paraId="5E12BE1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1012AAF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37353A7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5F8D5661" w14:textId="77777777" w:rsidTr="005C00A5">
        <w:tc>
          <w:tcPr>
            <w:tcW w:w="2250" w:type="dxa"/>
          </w:tcPr>
          <w:p w14:paraId="149FA20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4B16C7E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Inconsistent Documentation Requirements</w:t>
            </w:r>
          </w:p>
        </w:tc>
        <w:tc>
          <w:tcPr>
            <w:tcW w:w="5300" w:type="dxa"/>
          </w:tcPr>
          <w:p w14:paraId="44006E1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risks are not accurately documented</w:t>
            </w:r>
          </w:p>
        </w:tc>
      </w:tr>
    </w:tbl>
    <w:p w14:paraId="4C37AD2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EFA191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2BA261F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F9571A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clear documentation requirements for AI systems within the organization’s AI risk management policies and procedures. These requirements should cover key aspects of the AI lifecycle, including system design, model development, testing, evaluation, validation, risk mitigation, monitoring, and change management and may be implemented through documentation templates.</w:t>
      </w:r>
    </w:p>
    <w:p w14:paraId="73354E6E"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F0ED87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Specify the level of detail required for each documentation component, such as the justification for key decisions, data sources and selection criteria, assumptions, limitations, and acceptable use of proxies. Provide templates and examples to guide the creation of documentation and ensure consistency across AI projects. Assign responsibility for creating, reviewing, and updating documentation to appropriate personnel, and establish timelines for completion. Regularly audit documentation to ensure completeness, accuracy, and adherence to requirements.</w:t>
      </w:r>
    </w:p>
    <w:p w14:paraId="5792DC24"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814308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7996E15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C4FC43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Formal Documentation Requirements in AI Risk Management Policies</w:t>
      </w:r>
    </w:p>
    <w:p w14:paraId="0B26296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and formalize comprehensive documentation requirements within organizational policies that cover all aspects of AI system design, development, testing, validation, and ongoing monitoring.</w:t>
      </w:r>
    </w:p>
    <w:p w14:paraId="520EFE3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43BDE8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Published policies outlining required documentation for AI systems.</w:t>
      </w:r>
    </w:p>
    <w:p w14:paraId="27D574C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templates and standards for documenting model development, data sources, assumptions, and decisions.</w:t>
      </w:r>
    </w:p>
    <w:p w14:paraId="42EDE0E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materials clearly describing documentation expectations.</w:t>
      </w:r>
    </w:p>
    <w:p w14:paraId="3ADA5D0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Policy approval records from senior leadership or governance bodies.</w:t>
      </w:r>
    </w:p>
    <w:p w14:paraId="6630B913"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63909A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Model Development and Design</w:t>
      </w:r>
    </w:p>
    <w:p w14:paraId="05355B1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Ensure detailed documentation of model development activities, including model type, training data sources and criteria, assumptions, and limitations, to support transparency and accountability.</w:t>
      </w:r>
    </w:p>
    <w:p w14:paraId="6AF5279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9FCFE0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Model development logs including design specifications, data sources, and assumptions.</w:t>
      </w:r>
    </w:p>
    <w:p w14:paraId="59AA770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decision rationales for model selection and data use.</w:t>
      </w:r>
    </w:p>
    <w:p w14:paraId="7BA47C7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source documentation demonstrating data provenance and selection criteria.</w:t>
      </w:r>
    </w:p>
    <w:p w14:paraId="7047BAE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Model documentation review and approval records.</w:t>
      </w:r>
    </w:p>
    <w:p w14:paraId="0ADAB38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326C42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Key Decisions and Rationales</w:t>
      </w:r>
    </w:p>
    <w:p w14:paraId="01409C5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records of the justification and rationale for all key decisions related to AI system design, development, testing, validation, and risk mitigation strategies.</w:t>
      </w:r>
    </w:p>
    <w:p w14:paraId="26B951C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E82156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Decision logs or records showing rationale for major model and implementation choices.</w:t>
      </w:r>
    </w:p>
    <w:p w14:paraId="4F7CC5C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discussing and approving critical decisions.</w:t>
      </w:r>
    </w:p>
    <w:p w14:paraId="00BB8CC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 control records tracking changes and associated justifications.</w:t>
      </w:r>
    </w:p>
    <w:p w14:paraId="3614F35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Sign-off sheets reflecting decision approval by responsible parties.</w:t>
      </w:r>
    </w:p>
    <w:p w14:paraId="5CC8B8F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B6C7E9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Testing, Validation, and Risk Mitigation Documentation</w:t>
      </w:r>
    </w:p>
    <w:p w14:paraId="2C4092A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 testing, evaluation, validation methodologies, outcomes, and risk mitigation activities to ensure process integrity and compliance.</w:t>
      </w:r>
    </w:p>
    <w:p w14:paraId="44464AC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7AEE29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 and validation reports detailing methods, outcomes, and conclusions.</w:t>
      </w:r>
    </w:p>
    <w:p w14:paraId="6B38C80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mitigation plans with documented activities and responsible personnel.</w:t>
      </w:r>
    </w:p>
    <w:p w14:paraId="7C5F6FD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validation results against performance metrics.</w:t>
      </w:r>
    </w:p>
    <w:p w14:paraId="7452722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reflecting updates based on testing and validation results.</w:t>
      </w:r>
    </w:p>
    <w:p w14:paraId="19F152E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A06259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Monitoring and Change Management Records</w:t>
      </w:r>
    </w:p>
    <w:p w14:paraId="38DCB1C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records of ongoing monitoring activities and change management processes, including policies, procedures, and reasons for modifications throughout the AI lifecycle.</w:t>
      </w:r>
    </w:p>
    <w:p w14:paraId="059CE14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E7C482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logs tracking performance metrics and risk indicators.</w:t>
      </w:r>
    </w:p>
    <w:p w14:paraId="30E8B95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request and approval records with documented rationale.</w:t>
      </w:r>
    </w:p>
    <w:p w14:paraId="6B1B08D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Routine review reports analyzing ongoing performance and changes.</w:t>
      </w:r>
    </w:p>
    <w:p w14:paraId="072FB9F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documentation reflecting changes made and the reasons behind them.</w:t>
      </w:r>
    </w:p>
    <w:p w14:paraId="4CFEDF46"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68C85B64"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6966F8C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2E63926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48CC2B4D" w14:textId="77777777" w:rsidTr="005C00A5">
        <w:tc>
          <w:tcPr>
            <w:tcW w:w="1170" w:type="dxa"/>
          </w:tcPr>
          <w:p w14:paraId="3CF499F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0EC4629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1F061E7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74B22CB0" w14:textId="77777777" w:rsidTr="005C00A5">
        <w:tc>
          <w:tcPr>
            <w:tcW w:w="1170" w:type="dxa"/>
          </w:tcPr>
          <w:p w14:paraId="5BA601E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GV-1.4.3</w:t>
            </w:r>
          </w:p>
        </w:tc>
        <w:tc>
          <w:tcPr>
            <w:tcW w:w="2160" w:type="dxa"/>
          </w:tcPr>
          <w:p w14:paraId="0AA438C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Documentation Repository and Access</w:t>
            </w:r>
          </w:p>
        </w:tc>
        <w:tc>
          <w:tcPr>
            <w:tcW w:w="6740" w:type="dxa"/>
          </w:tcPr>
          <w:p w14:paraId="59235B7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maintains a centralized and accessible repository of AI system documentation, structured to provide relevant AI stakeholders with appropriate access based on their roles and the system’s risk classification. Mechanisms are in place to regularly review the completeness and accuracy of documentation and to maintain readily available information for oversight, audit, and ongoing risk management.</w:t>
            </w:r>
          </w:p>
          <w:p w14:paraId="3C7A073B" w14:textId="77777777" w:rsidR="00963E47" w:rsidRPr="00963E47" w:rsidRDefault="00963E47" w:rsidP="004C3837">
            <w:pPr>
              <w:keepNext/>
              <w:rPr>
                <w:rFonts w:ascii="Aptos" w:hAnsi="Aptos" w:cs="Times New Roman"/>
                <w:b/>
                <w:bCs/>
                <w:color w:val="000000"/>
                <w:sz w:val="20"/>
                <w:szCs w:val="20"/>
              </w:rPr>
            </w:pPr>
          </w:p>
          <w:p w14:paraId="30743215" w14:textId="77777777" w:rsidR="00963E47" w:rsidRPr="00963E47" w:rsidRDefault="00963E47" w:rsidP="004C3837">
            <w:pPr>
              <w:keepNext/>
              <w:rPr>
                <w:rFonts w:ascii="Aptos" w:hAnsi="Aptos" w:cs="Times New Roman"/>
                <w:b/>
                <w:bCs/>
                <w:color w:val="000000"/>
                <w:sz w:val="20"/>
                <w:szCs w:val="20"/>
              </w:rPr>
            </w:pPr>
            <w:hyperlink r:id="rId32" w:anchor="govern-1-4" w:history="1">
              <w:r w:rsidRPr="00963E47">
                <w:rPr>
                  <w:rFonts w:ascii="Aptos" w:hAnsi="Aptos" w:cs="Times New Roman"/>
                  <w:color w:val="000000"/>
                  <w:sz w:val="20"/>
                  <w:szCs w:val="20"/>
                  <w:u w:val="single"/>
                </w:rPr>
                <w:t>Link to NIST AI RMF Playbook</w:t>
              </w:r>
            </w:hyperlink>
          </w:p>
        </w:tc>
      </w:tr>
    </w:tbl>
    <w:p w14:paraId="72694CB4"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CB07D77"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29CA239C"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4602C25E" w14:textId="77777777" w:rsidTr="005C00A5">
        <w:trPr>
          <w:tblHeader/>
        </w:trPr>
        <w:tc>
          <w:tcPr>
            <w:tcW w:w="2160" w:type="dxa"/>
            <w:shd w:val="clear" w:color="auto" w:fill="CCDCDC"/>
            <w:vAlign w:val="center"/>
          </w:tcPr>
          <w:p w14:paraId="4AC4E84B"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7F10702A"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34AC032E"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7BDBE337" w14:textId="77777777" w:rsidTr="005C00A5">
        <w:tc>
          <w:tcPr>
            <w:tcW w:w="2160" w:type="dxa"/>
            <w:shd w:val="clear" w:color="auto" w:fill="CCDCDC"/>
          </w:tcPr>
          <w:p w14:paraId="72E7750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34806D9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DF85B8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04CDEAA8" w14:textId="77777777" w:rsidTr="005C00A5">
        <w:tc>
          <w:tcPr>
            <w:tcW w:w="2160" w:type="dxa"/>
            <w:shd w:val="clear" w:color="auto" w:fill="CCDCDC"/>
          </w:tcPr>
          <w:p w14:paraId="3DA8B66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0C699BC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A88FFE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minimal stage create a basic centralized repository of AI documentation to ensure key information is accessible for oversight and audit purposes.</w:t>
            </w:r>
          </w:p>
        </w:tc>
      </w:tr>
      <w:tr w:rsidR="00963E47" w:rsidRPr="00963E47" w14:paraId="43401A56" w14:textId="77777777" w:rsidTr="005C00A5">
        <w:tc>
          <w:tcPr>
            <w:tcW w:w="2160" w:type="dxa"/>
            <w:shd w:val="clear" w:color="auto" w:fill="CCDCDC"/>
          </w:tcPr>
          <w:p w14:paraId="6AAFE92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79913B6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3A02F3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maintain a centralized and accessible repository of AI system documentation, structured to provide relevant AI stakeholders with appropriate access based on their roles and the system's risk classification. Mechanisms are in place to regularly review the completeness and accuracy of documentation and to maintain readily available information for oversight, audit, and ongoing risk management, although their implementation may not yet be fully mature or consistent across all AI systems.</w:t>
            </w:r>
          </w:p>
        </w:tc>
      </w:tr>
      <w:tr w:rsidR="00963E47" w:rsidRPr="00963E47" w14:paraId="19F8ACF7" w14:textId="77777777" w:rsidTr="005C00A5">
        <w:tc>
          <w:tcPr>
            <w:tcW w:w="2160" w:type="dxa"/>
            <w:shd w:val="clear" w:color="auto" w:fill="CCDCDC"/>
          </w:tcPr>
          <w:p w14:paraId="0D3F286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4AFE35C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563351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embedded stage, organizations maintain a centralized and accessible repository of AI system documentation, structured to </w:t>
            </w:r>
            <w:r w:rsidRPr="00963E47">
              <w:rPr>
                <w:rFonts w:ascii="Aptos" w:hAnsi="Aptos" w:cs="Times New Roman"/>
                <w:noProof/>
                <w:color w:val="auto"/>
                <w:sz w:val="20"/>
                <w:szCs w:val="20"/>
              </w:rPr>
              <w:lastRenderedPageBreak/>
              <w:t>provide relevant AI stakeholders with appropriate access based on their roles and the system's risk classification, which is fully integrated into the organization's overall knowledge management and governance processes. The mechanisms for regularly reviewing the completeness and accuracy of documentation and maintaining readily available information for oversight, audit, and ongoing risk management are consistently applied, regularly reviewed and updated based on emerging AI risks and best practices, and are deeply embedded into all aspects of the organization's AI documentation and knowledge management activities.</w:t>
            </w:r>
          </w:p>
        </w:tc>
      </w:tr>
    </w:tbl>
    <w:p w14:paraId="74105200"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71C89E83" w14:textId="77777777" w:rsidTr="005C00A5">
        <w:tc>
          <w:tcPr>
            <w:tcW w:w="2250" w:type="dxa"/>
          </w:tcPr>
          <w:p w14:paraId="3126B4C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34F1E3A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3EB646D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44A3339A" w14:textId="77777777" w:rsidTr="005C00A5">
        <w:tc>
          <w:tcPr>
            <w:tcW w:w="2250" w:type="dxa"/>
          </w:tcPr>
          <w:p w14:paraId="387603D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227D6F6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Inaccessible Documentation Repository</w:t>
            </w:r>
          </w:p>
        </w:tc>
        <w:tc>
          <w:tcPr>
            <w:tcW w:w="5300" w:type="dxa"/>
          </w:tcPr>
          <w:p w14:paraId="41285DC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Centralized AI system documentation repository is incomplete, inaccurate, or inaccessible</w:t>
            </w:r>
          </w:p>
        </w:tc>
      </w:tr>
    </w:tbl>
    <w:p w14:paraId="43FF624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76A14A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7BA678B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C71297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Create a centralized repository for storing and managing AI system documentation, in or linked to the enterprise AI inventory, and ensuring it is easily accessible to relevant stakeholders. Implement access controls based on roles and the system's risk classification to protect sensitive information while allowing appropriate personnel to view and update documentation as needed.</w:t>
      </w:r>
    </w:p>
    <w:p w14:paraId="5C4FB9BA"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7995011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a clear structure for organizing documentation within the repository, using categories such as system type, development stage, and risk level. Implement version control to track changes over time and maintain a record of key decisions and updates. Assign responsibility for maintaining the repository to a dedicated team or individual, and establish processes for regularly reviewing documentation for completeness and accuracy. Ensure the repository is integrated with other relevant systems, such as incident management and change control platforms, to facilitate effective risk management.</w:t>
      </w:r>
    </w:p>
    <w:p w14:paraId="6456C39D"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F9B412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321FCE0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92F165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Centralized Repository for AI System Documentation</w:t>
      </w:r>
    </w:p>
    <w:p w14:paraId="6E78EBD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and maintain a centralized repository that securely stores all AI system documentation, ensuring structured organization and role-based access controls aligned with system risk classification.</w:t>
      </w:r>
    </w:p>
    <w:p w14:paraId="2FFD321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F78384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Repository access control policies defining roles and permissions.</w:t>
      </w:r>
    </w:p>
    <w:p w14:paraId="62131EE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System architecture and documentation stored within a centralized digital platform.</w:t>
      </w:r>
    </w:p>
    <w:p w14:paraId="129494F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Access logs showing role-specific access to documentation.</w:t>
      </w:r>
    </w:p>
    <w:p w14:paraId="692307B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Regular backup and security measures documented for the repository.</w:t>
      </w:r>
    </w:p>
    <w:p w14:paraId="7FECD93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C5600F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Role-Based Access Controls and Permissions</w:t>
      </w:r>
    </w:p>
    <w:p w14:paraId="4A70432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role-based access controls to ensure that AI Stakeholders can access only the information relevant to their responsibilities and the risk level of the system.</w:t>
      </w:r>
    </w:p>
    <w:p w14:paraId="4FCDCC5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525323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Access control lists or permissions configuration documentation.</w:t>
      </w:r>
    </w:p>
    <w:p w14:paraId="1F05726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User access reviews and approval records.</w:t>
      </w:r>
    </w:p>
    <w:p w14:paraId="2F02B94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records on access policies and responsibilities.</w:t>
      </w:r>
    </w:p>
    <w:p w14:paraId="1689B24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logs demonstrating access activity aligned with roles.</w:t>
      </w:r>
    </w:p>
    <w:p w14:paraId="3B8A1CF3"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C855C1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 Review of Documentation Completeness and Accuracy</w:t>
      </w:r>
    </w:p>
    <w:p w14:paraId="632B831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mechanisms to periodically review the completeness and accuracy of documentation stored in the repository, ensuring it remains current and comprehensive.</w:t>
      </w:r>
    </w:p>
    <w:p w14:paraId="175149A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482360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and completed review reports.</w:t>
      </w:r>
    </w:p>
    <w:p w14:paraId="326049A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logs for updates or corrections made following reviews.</w:t>
      </w:r>
    </w:p>
    <w:p w14:paraId="32F700C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version control records.</w:t>
      </w:r>
    </w:p>
    <w:p w14:paraId="48E4F1E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Internal audit or compliance review reports confirming review activities.</w:t>
      </w:r>
    </w:p>
    <w:p w14:paraId="1222476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819EB4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Readily Available Information for Oversight and Audit</w:t>
      </w:r>
    </w:p>
    <w:p w14:paraId="2563A06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Ensure the documentation repository supports quick retrieval of relevant information to facilitate oversight, audits, and ongoing risk management activities.</w:t>
      </w:r>
    </w:p>
    <w:p w14:paraId="7A0CEC8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CD9D1F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Search and retrieval logs demonstrating efficient access during audits.</w:t>
      </w:r>
    </w:p>
    <w:p w14:paraId="2B5937D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confirming availability of documentation during oversight activities.</w:t>
      </w:r>
    </w:p>
    <w:p w14:paraId="18BF182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User feedback or survey results on repository accessibility.</w:t>
      </w:r>
    </w:p>
    <w:p w14:paraId="760E781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System logs showing time to retrieve specific documentation during audits.</w:t>
      </w:r>
    </w:p>
    <w:p w14:paraId="2422081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89D060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Improvement of Documentation Management</w:t>
      </w:r>
    </w:p>
    <w:p w14:paraId="4AFD838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processes for ongoing assessment and improvement of documentation practices, including user feedback, technological enhancements, and evolving risk considerations.</w:t>
      </w:r>
    </w:p>
    <w:p w14:paraId="7AAAA57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F9B53A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feedback collection on documentation processes.</w:t>
      </w:r>
    </w:p>
    <w:p w14:paraId="04E5CE3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Documented updates to repository procedures based on feedback or technology upgrades.</w:t>
      </w:r>
    </w:p>
    <w:p w14:paraId="7F2500F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and awareness sessions on best practices for documentation management.</w:t>
      </w:r>
    </w:p>
    <w:p w14:paraId="49A441D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reports showing improvements and their impact on oversight and risk management.</w:t>
      </w:r>
    </w:p>
    <w:p w14:paraId="3D7F34EB"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13" w:name="_Toc214874758"/>
      <w:r w:rsidRPr="00963E47">
        <w:rPr>
          <w:rFonts w:ascii="Aptos" w:eastAsia="Aptos" w:hAnsi="Aptos" w:cs="Times New Roman"/>
          <w:b/>
          <w:bCs/>
          <w:noProof/>
          <w:color w:val="35256B"/>
          <w:kern w:val="2"/>
          <w:sz w:val="24"/>
          <w14:ligatures w14:val="standardContextual"/>
        </w:rPr>
        <w:t>GOVERN / Establishing Key Policies &amp; Processes / Establishing Monitoring and Review Processes</w:t>
      </w:r>
      <w:bookmarkEnd w:id="13"/>
      <w:r w:rsidRPr="00963E47">
        <w:rPr>
          <w:rFonts w:ascii="Aptos" w:eastAsia="Aptos" w:hAnsi="Aptos" w:cs="Times New Roman"/>
          <w:b/>
          <w:bCs/>
          <w:noProof/>
          <w:color w:val="35256B"/>
          <w:kern w:val="2"/>
          <w:sz w:val="24"/>
          <w14:ligatures w14:val="standardContextual"/>
        </w:rPr>
        <w:t xml:space="preserve"> </w:t>
      </w:r>
    </w:p>
    <w:p w14:paraId="541DE45A"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19CE276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14C9E0E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79CCF7C3" w14:textId="77777777" w:rsidTr="005C00A5">
        <w:tc>
          <w:tcPr>
            <w:tcW w:w="1170" w:type="dxa"/>
          </w:tcPr>
          <w:p w14:paraId="1FC4B80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58D4EFC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7BFED20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74DF47EB" w14:textId="77777777" w:rsidTr="005C00A5">
        <w:tc>
          <w:tcPr>
            <w:tcW w:w="1170" w:type="dxa"/>
          </w:tcPr>
          <w:p w14:paraId="4749F92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GV-1.5.1</w:t>
            </w:r>
          </w:p>
        </w:tc>
        <w:tc>
          <w:tcPr>
            <w:tcW w:w="2160" w:type="dxa"/>
          </w:tcPr>
          <w:p w14:paraId="7BE792F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Performance and Risk Monitoring</w:t>
            </w:r>
          </w:p>
        </w:tc>
        <w:tc>
          <w:tcPr>
            <w:tcW w:w="6740" w:type="dxa"/>
          </w:tcPr>
          <w:p w14:paraId="7DFD48F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documents its approach for monitoring its existing AI systems for performance and risk issues (including key performance indicators, security events, and other relevant metrics), even if AI is not yet widely adopted. Key personnel are assigned responsibility for monitoring activities, with clearly defined roles, escalation procedures, and reporting mechanisms to provide accountability and timely issue resolution.</w:t>
            </w:r>
          </w:p>
          <w:p w14:paraId="78E44FA4" w14:textId="77777777" w:rsidR="00963E47" w:rsidRPr="00963E47" w:rsidRDefault="00963E47" w:rsidP="004C3837">
            <w:pPr>
              <w:keepNext/>
              <w:rPr>
                <w:rFonts w:ascii="Aptos" w:hAnsi="Aptos" w:cs="Times New Roman"/>
                <w:b/>
                <w:bCs/>
                <w:color w:val="000000"/>
                <w:sz w:val="20"/>
                <w:szCs w:val="20"/>
              </w:rPr>
            </w:pPr>
          </w:p>
          <w:p w14:paraId="69D03DC9" w14:textId="77777777" w:rsidR="00963E47" w:rsidRPr="00963E47" w:rsidRDefault="00963E47" w:rsidP="004C3837">
            <w:pPr>
              <w:keepNext/>
              <w:rPr>
                <w:rFonts w:ascii="Aptos" w:hAnsi="Aptos" w:cs="Times New Roman"/>
                <w:b/>
                <w:bCs/>
                <w:color w:val="000000"/>
                <w:sz w:val="20"/>
                <w:szCs w:val="20"/>
              </w:rPr>
            </w:pPr>
            <w:hyperlink r:id="rId33" w:anchor="govern-1-5" w:history="1">
              <w:r w:rsidRPr="00963E47">
                <w:rPr>
                  <w:rFonts w:ascii="Aptos" w:hAnsi="Aptos" w:cs="Times New Roman"/>
                  <w:color w:val="000000"/>
                  <w:sz w:val="20"/>
                  <w:szCs w:val="20"/>
                  <w:u w:val="single"/>
                </w:rPr>
                <w:t>Link to NIST AI RMF Playbook</w:t>
              </w:r>
            </w:hyperlink>
          </w:p>
        </w:tc>
      </w:tr>
    </w:tbl>
    <w:p w14:paraId="34D704E6"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7E3AF37"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34C5ABA5"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79988346" w14:textId="77777777" w:rsidTr="005C00A5">
        <w:trPr>
          <w:tblHeader/>
        </w:trPr>
        <w:tc>
          <w:tcPr>
            <w:tcW w:w="2160" w:type="dxa"/>
            <w:shd w:val="clear" w:color="auto" w:fill="CCDCDC"/>
            <w:vAlign w:val="center"/>
          </w:tcPr>
          <w:p w14:paraId="1E56AA8A"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7DD9428D"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12DB13EF"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26ACCD4B" w14:textId="77777777" w:rsidTr="005C00A5">
        <w:tc>
          <w:tcPr>
            <w:tcW w:w="2160" w:type="dxa"/>
            <w:shd w:val="clear" w:color="auto" w:fill="CCDCDC"/>
          </w:tcPr>
          <w:p w14:paraId="6AF1114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3D30027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5DC7CC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B7BDAC6" w14:textId="77777777" w:rsidTr="005C00A5">
        <w:tc>
          <w:tcPr>
            <w:tcW w:w="2160" w:type="dxa"/>
            <w:shd w:val="clear" w:color="auto" w:fill="CCDCDC"/>
          </w:tcPr>
          <w:p w14:paraId="4E4C83C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686902D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FA0161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minimal stage, organizations have started to document their approach for monitoring existing AI systems for performance and risk issues, even if AI is not yet widely adopted. Key personnel are assigned responsibility for monitoring activities, although roles, escalation </w:t>
            </w:r>
            <w:r w:rsidRPr="00963E47">
              <w:rPr>
                <w:rFonts w:ascii="Aptos" w:hAnsi="Aptos" w:cs="Times New Roman"/>
                <w:noProof/>
                <w:color w:val="auto"/>
                <w:sz w:val="20"/>
                <w:szCs w:val="20"/>
              </w:rPr>
              <w:lastRenderedPageBreak/>
              <w:t>procedures, and reporting mechanisms may not yet be fully defined or consistently implemented.</w:t>
            </w:r>
          </w:p>
        </w:tc>
      </w:tr>
      <w:tr w:rsidR="00963E47" w:rsidRPr="00963E47" w14:paraId="61A401D2" w14:textId="77777777" w:rsidTr="005C00A5">
        <w:tc>
          <w:tcPr>
            <w:tcW w:w="2160" w:type="dxa"/>
            <w:shd w:val="clear" w:color="auto" w:fill="CCDCDC"/>
          </w:tcPr>
          <w:p w14:paraId="3984D225"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3: Evolving</w:t>
            </w:r>
          </w:p>
        </w:tc>
        <w:tc>
          <w:tcPr>
            <w:tcW w:w="1350" w:type="dxa"/>
          </w:tcPr>
          <w:p w14:paraId="377EA4B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081E11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have documented a comprehensive approach for monitoring existing AI systems for performance and risk issues, with clearly defined roles, escalation procedures, and reporting mechanisms for key personnel responsible for monitoring activities. This approach provides accountability and timely issue resolution, although its implementation may not yet be fully mature or consistent across all AI systems.</w:t>
            </w:r>
          </w:p>
        </w:tc>
      </w:tr>
      <w:tr w:rsidR="00963E47" w:rsidRPr="00963E47" w14:paraId="2B9C903E" w14:textId="77777777" w:rsidTr="005C00A5">
        <w:tc>
          <w:tcPr>
            <w:tcW w:w="2160" w:type="dxa"/>
            <w:shd w:val="clear" w:color="auto" w:fill="CCDCDC"/>
          </w:tcPr>
          <w:p w14:paraId="6BE6BB6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0DB0C17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0FA410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document the approach for monitoring existing AI systems for performance and risk issues, with clearly defined roles, escalation procedures, and reporting mechanisms for key personnel responsible for monitoring activities. This approach is consistently applied, regularly reviewed and updated based on emerging AI risks and best practices, and is deeply embedded into all aspects of the organization's AI monitoring and issue resolution activities.</w:t>
            </w:r>
          </w:p>
        </w:tc>
      </w:tr>
    </w:tbl>
    <w:p w14:paraId="30565BF0"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610B5733" w14:textId="77777777" w:rsidTr="005C00A5">
        <w:tc>
          <w:tcPr>
            <w:tcW w:w="2250" w:type="dxa"/>
          </w:tcPr>
          <w:p w14:paraId="7C11CF9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5256BA8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643F076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40070BCD" w14:textId="77777777" w:rsidTr="005C00A5">
        <w:tc>
          <w:tcPr>
            <w:tcW w:w="2250" w:type="dxa"/>
          </w:tcPr>
          <w:p w14:paraId="0B1D317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7A00932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Insufficient AI System Monitoring</w:t>
            </w:r>
          </w:p>
        </w:tc>
        <w:tc>
          <w:tcPr>
            <w:tcW w:w="5300" w:type="dxa"/>
          </w:tcPr>
          <w:p w14:paraId="031B0E7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Monitoring approach for existing AI systems is insufficient for performance and risk management</w:t>
            </w:r>
          </w:p>
        </w:tc>
      </w:tr>
    </w:tbl>
    <w:p w14:paraId="695C9B2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0B821C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52F55CA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9F0992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Document the organization's approach to establishing effective monitoring of AI systems, even if AI adoption is limited. Define KPIs, data or concept drift, security events, and other relevant metrics to track. Assign monitoring responsibilities to specific personnel, clearly defining their roles and reporting lines.</w:t>
      </w:r>
    </w:p>
    <w:p w14:paraId="0E30849A"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765BBF1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escalation procedures for identified issues, including automated alerts, severity thresholds and response timelines. Implement tools and processes to collect and analyze monitoring data, such as log aggregation and alerting systems. Regularly review and update monitoring processes to ensure they remain aligned with the organization's AI adoption and risk profile.</w:t>
      </w:r>
    </w:p>
    <w:p w14:paraId="38BEC992"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A47B56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7C067E8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03068D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Formal Monitoring Approach Documentation</w:t>
      </w:r>
    </w:p>
    <w:p w14:paraId="7C32E6A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and maintain documented procedures detailing the organization’s approach for monitoring AI systems, including metrics, security events, and performance indicators.</w:t>
      </w:r>
    </w:p>
    <w:p w14:paraId="47C8949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4F9A74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Written policies outlining monitoring strategies and key metrics.</w:t>
      </w:r>
    </w:p>
    <w:p w14:paraId="2893CFC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frameworks and methodologies documented and communicated.</w:t>
      </w:r>
    </w:p>
    <w:p w14:paraId="4997A02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materials describing monitoring practices and responsibilities.</w:t>
      </w:r>
    </w:p>
    <w:p w14:paraId="58E79FE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Approved versions of monitoring procedures.</w:t>
      </w:r>
    </w:p>
    <w:p w14:paraId="48ED5EE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55F319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Assignment of Responsibilities and Roles for Monitoring</w:t>
      </w:r>
    </w:p>
    <w:p w14:paraId="3FFE4DF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Assign specific personnel and define roles responsible for continuous monitoring activities, ensuring accountability and clarity in monitoring processes.</w:t>
      </w:r>
    </w:p>
    <w:p w14:paraId="1A02BE7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652007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Role and responsibility matrices for monitoring tasks.</w:t>
      </w:r>
    </w:p>
    <w:p w14:paraId="42E8031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Staff training and acknowledgment of monitoring responsibilities.</w:t>
      </w:r>
    </w:p>
    <w:p w14:paraId="59CC200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Organizational charts highlighting designated monitoring personnel.</w:t>
      </w:r>
    </w:p>
    <w:p w14:paraId="06F500F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role-specific monitoring activities and accountability logs.</w:t>
      </w:r>
    </w:p>
    <w:p w14:paraId="0031B59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E10BA8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Escalation Procedures and Reporting Mechanisms</w:t>
      </w:r>
    </w:p>
    <w:p w14:paraId="32D1726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clear escalation procedures and reporting mechanisms for monitoring issues or anomalies detected, ensuring prompt response and resolution.</w:t>
      </w:r>
    </w:p>
    <w:p w14:paraId="281E2CE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8AD0C9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Documented escalation workflows and thresholds for action.</w:t>
      </w:r>
    </w:p>
    <w:p w14:paraId="11C87D3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or issue logs with timestamps, escalation details, and resolution notes.</w:t>
      </w:r>
    </w:p>
    <w:p w14:paraId="537916C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Automated alert logs and notification configurations.</w:t>
      </w:r>
    </w:p>
    <w:p w14:paraId="676AA72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or reports discussing escalated issues and resolutions.</w:t>
      </w:r>
    </w:p>
    <w:p w14:paraId="019C6AF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8C0B56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Ongoing Monitoring and Issue Resolution Activities</w:t>
      </w:r>
    </w:p>
    <w:p w14:paraId="43FD618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continuous monitoring activities using defined metrics, with routine review cycles to identify, analyze, and resolve issues proactively.</w:t>
      </w:r>
    </w:p>
    <w:p w14:paraId="6A9272A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F45FE0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dashboards and logs showing real-time data and alerts.</w:t>
      </w:r>
    </w:p>
    <w:p w14:paraId="0B2F790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routine review meetings and actions taken.</w:t>
      </w:r>
    </w:p>
    <w:p w14:paraId="374318F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Issue tracking systems with timestamps, responsible personnel, and resolution details.</w:t>
      </w:r>
    </w:p>
    <w:p w14:paraId="2421E5F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Performance reports demonstrating trend analysis and issue management effectiveness.</w:t>
      </w:r>
    </w:p>
    <w:p w14:paraId="438028F2"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6AF9B3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 Review and Improvement of Monitoring Processes</w:t>
      </w:r>
    </w:p>
    <w:p w14:paraId="39E1610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Periodically review monitoring approaches, roles, and escalation procedures to identify opportunities for improvement and adapt to evolving AI systems and risks.</w:t>
      </w:r>
    </w:p>
    <w:p w14:paraId="1653DBD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A2513C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reports analyzing monitoring effectiveness and gaps.</w:t>
      </w:r>
    </w:p>
    <w:p w14:paraId="6B74A93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monitoring procedures reflecting lessons learned or new best practices.</w:t>
      </w:r>
    </w:p>
    <w:p w14:paraId="758D4AD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User feedback collected from monitoring personnel.</w:t>
      </w:r>
    </w:p>
    <w:p w14:paraId="487E326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Management approval records for process updates.</w:t>
      </w:r>
    </w:p>
    <w:p w14:paraId="2C5FF707"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78949311"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76DAF6F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49419BC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5AD7F4A0" w14:textId="77777777" w:rsidTr="005C00A5">
        <w:tc>
          <w:tcPr>
            <w:tcW w:w="1170" w:type="dxa"/>
          </w:tcPr>
          <w:p w14:paraId="7501FBB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682317F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255C23D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6825E200" w14:textId="77777777" w:rsidTr="005C00A5">
        <w:tc>
          <w:tcPr>
            <w:tcW w:w="1170" w:type="dxa"/>
          </w:tcPr>
          <w:p w14:paraId="29D0923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GV-1.5.2</w:t>
            </w:r>
          </w:p>
        </w:tc>
        <w:tc>
          <w:tcPr>
            <w:tcW w:w="2160" w:type="dxa"/>
          </w:tcPr>
          <w:p w14:paraId="4185232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Periodic AI Risk Management Process Review</w:t>
            </w:r>
          </w:p>
        </w:tc>
        <w:tc>
          <w:tcPr>
            <w:tcW w:w="6740" w:type="dxa"/>
          </w:tcPr>
          <w:p w14:paraId="2BA1DE8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conducts periodic reviews of its AI risk management processes, with frequency and scope based on AI adoption, system risk, and technological change. These reviews include assessment by internal audit or third-line functions and incorporate insights from monitoring activities and incident analyses to drive continuous process and control enhancements.</w:t>
            </w:r>
          </w:p>
          <w:p w14:paraId="7BE33264" w14:textId="77777777" w:rsidR="00963E47" w:rsidRPr="00963E47" w:rsidRDefault="00963E47" w:rsidP="004C3837">
            <w:pPr>
              <w:keepNext/>
              <w:rPr>
                <w:rFonts w:ascii="Aptos" w:hAnsi="Aptos" w:cs="Times New Roman"/>
                <w:b/>
                <w:bCs/>
                <w:color w:val="000000"/>
                <w:sz w:val="20"/>
                <w:szCs w:val="20"/>
              </w:rPr>
            </w:pPr>
          </w:p>
          <w:p w14:paraId="5611137F" w14:textId="77777777" w:rsidR="00963E47" w:rsidRPr="00963E47" w:rsidRDefault="00963E47" w:rsidP="004C3837">
            <w:pPr>
              <w:keepNext/>
              <w:rPr>
                <w:rFonts w:ascii="Aptos" w:hAnsi="Aptos" w:cs="Times New Roman"/>
                <w:b/>
                <w:bCs/>
                <w:color w:val="000000"/>
                <w:sz w:val="20"/>
                <w:szCs w:val="20"/>
              </w:rPr>
            </w:pPr>
            <w:hyperlink r:id="rId34" w:anchor="govern-1-5" w:history="1">
              <w:r w:rsidRPr="00963E47">
                <w:rPr>
                  <w:rFonts w:ascii="Aptos" w:hAnsi="Aptos" w:cs="Times New Roman"/>
                  <w:color w:val="000000"/>
                  <w:sz w:val="20"/>
                  <w:szCs w:val="20"/>
                  <w:u w:val="single"/>
                </w:rPr>
                <w:t>Link to NIST AI RMF Playbook</w:t>
              </w:r>
            </w:hyperlink>
          </w:p>
        </w:tc>
      </w:tr>
    </w:tbl>
    <w:p w14:paraId="105C054D"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54412A5"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0F8C1C36"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03826C3C" w14:textId="77777777" w:rsidTr="005C00A5">
        <w:trPr>
          <w:tblHeader/>
        </w:trPr>
        <w:tc>
          <w:tcPr>
            <w:tcW w:w="2160" w:type="dxa"/>
            <w:shd w:val="clear" w:color="auto" w:fill="CCDCDC"/>
            <w:vAlign w:val="center"/>
          </w:tcPr>
          <w:p w14:paraId="0D22F60C"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1145E734"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41C37C40"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01336575" w14:textId="77777777" w:rsidTr="005C00A5">
        <w:tc>
          <w:tcPr>
            <w:tcW w:w="2160" w:type="dxa"/>
            <w:shd w:val="clear" w:color="auto" w:fill="CCDCDC"/>
          </w:tcPr>
          <w:p w14:paraId="3D7EEA2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48E8AD8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156276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1AB91B87" w14:textId="77777777" w:rsidTr="005C00A5">
        <w:tc>
          <w:tcPr>
            <w:tcW w:w="2160" w:type="dxa"/>
            <w:shd w:val="clear" w:color="auto" w:fill="CCDCDC"/>
          </w:tcPr>
          <w:p w14:paraId="2BC7D95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2CEA0CB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9F7991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6B3CC758" w14:textId="77777777" w:rsidTr="005C00A5">
        <w:tc>
          <w:tcPr>
            <w:tcW w:w="2160" w:type="dxa"/>
            <w:shd w:val="clear" w:color="auto" w:fill="CCDCDC"/>
          </w:tcPr>
          <w:p w14:paraId="4A61D82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26AE4B0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0780976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evolving stage, organizations have established policies and procedures for conducting periodic reviews of their AI risk </w:t>
            </w:r>
            <w:r w:rsidRPr="00963E47">
              <w:rPr>
                <w:rFonts w:ascii="Aptos" w:hAnsi="Aptos" w:cs="Times New Roman"/>
                <w:noProof/>
                <w:color w:val="auto"/>
                <w:sz w:val="20"/>
                <w:szCs w:val="20"/>
              </w:rPr>
              <w:lastRenderedPageBreak/>
              <w:t>management processes. The frequency and scope of these reviews are defined based on factors such as the level of AI adoption, system risk levels, and rate of change, enabling the risk management approach to remain appropriate as the AI landscape evolves. Policies and procedures are updated based on findings, although their implementation may not yet be fully mature or consistent across all AI systems.</w:t>
            </w:r>
          </w:p>
        </w:tc>
      </w:tr>
      <w:tr w:rsidR="00963E47" w:rsidRPr="00963E47" w14:paraId="618F18CE" w14:textId="77777777" w:rsidTr="005C00A5">
        <w:tc>
          <w:tcPr>
            <w:tcW w:w="2160" w:type="dxa"/>
            <w:shd w:val="clear" w:color="auto" w:fill="CCDCDC"/>
          </w:tcPr>
          <w:p w14:paraId="15B86A0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4: Embedded</w:t>
            </w:r>
          </w:p>
        </w:tc>
        <w:tc>
          <w:tcPr>
            <w:tcW w:w="1350" w:type="dxa"/>
          </w:tcPr>
          <w:p w14:paraId="5EC7D66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379C53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establish policies and procedures for conducting periodic reviews of AI risk management processes, with the frequency and scope of reviews defined based on factors such as the level of AI adoption, system risk levels, and rate of change, is fully integrated into the organization's overall risk management and governance processes. These policies and procedures are consistently applied, regularly reviewed and updated based on emerging AI risks and best practices, and are deeply embedded into all aspects of the organization's AI risk management review and update activities.</w:t>
            </w:r>
          </w:p>
        </w:tc>
      </w:tr>
    </w:tbl>
    <w:p w14:paraId="49B78A86"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304F253E" w14:textId="77777777" w:rsidTr="005C00A5">
        <w:tc>
          <w:tcPr>
            <w:tcW w:w="2250" w:type="dxa"/>
          </w:tcPr>
          <w:p w14:paraId="214A21E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340371F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0338ACF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444245E9" w14:textId="77777777" w:rsidTr="005C00A5">
        <w:tc>
          <w:tcPr>
            <w:tcW w:w="2250" w:type="dxa"/>
          </w:tcPr>
          <w:p w14:paraId="67547BE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2F21A56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Inadequate Risk Process Reviews</w:t>
            </w:r>
          </w:p>
        </w:tc>
        <w:tc>
          <w:tcPr>
            <w:tcW w:w="5300" w:type="dxa"/>
          </w:tcPr>
          <w:p w14:paraId="38D4515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Reviews of AI risk management are infrequent or insufficient in scope</w:t>
            </w:r>
          </w:p>
        </w:tc>
      </w:tr>
    </w:tbl>
    <w:p w14:paraId="3D80CF6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1A1F23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0CD5361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A88E69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policies and procedures for conducting periodic reviews of AI risk management processes. Define the frequency and scope of these reviews based on factors such as AI adoption level, system risk profiles, and the rate of technological change. Assign responsibility for conducting these reviews to qualified personnel, ensuring they have the necessary resources and training.</w:t>
      </w:r>
    </w:p>
    <w:p w14:paraId="2103580C"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18557D6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a standardized review process that includes criteria for evaluating the effectiveness of risk management activities, identifying gaps, and highlighting areas for improvement. To enhance objectivity and rigor, incorporate assessments by internal audit or other third-line assurance functions as part of the review cycle. Leverage these independent evaluations to help verify the adequacy of policies and procedures, ensuring they remain aligned with evolving risks and industry best practices.</w:t>
      </w:r>
    </w:p>
    <w:p w14:paraId="22B7D4D9"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16D3DC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Document review findings and recommendations, and implement a process for tracking, prioritizing, and updating policies and procedures based on insights from reviews and assessments.</w:t>
      </w:r>
    </w:p>
    <w:p w14:paraId="56E8F1C9"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1907FB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5F8070A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D6EF3C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Scheduled Review of AI Risk Management Processes</w:t>
      </w:r>
    </w:p>
    <w:p w14:paraId="048B518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schedule for regular reviews of AI risk management processes, tailored to the organization’s AI adoption level, system risk profile, and technological advances.</w:t>
      </w:r>
    </w:p>
    <w:p w14:paraId="6FC40E1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F5CBAC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calendars and schedules specifying review frequency and scope.</w:t>
      </w:r>
    </w:p>
    <w:p w14:paraId="33774AD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agendas and minutes for review sessions.</w:t>
      </w:r>
    </w:p>
    <w:p w14:paraId="027E604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review scope based on system risk assessments.</w:t>
      </w:r>
    </w:p>
    <w:p w14:paraId="453FBB7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review plan approvals by senior management.</w:t>
      </w:r>
    </w:p>
    <w:p w14:paraId="39087963"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525A6A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Inclusion of Internal and Third-Party Assessments</w:t>
      </w:r>
    </w:p>
    <w:p w14:paraId="6078214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Incorporate assessments by internal audit or third-line functions into the review process to ensure independent validation and objectivity in evaluating AI risk management effectiveness.</w:t>
      </w:r>
    </w:p>
    <w:p w14:paraId="7BA15FE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8E838B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Internal audit or third-party assessment reports with findings and recommendations.</w:t>
      </w:r>
    </w:p>
    <w:p w14:paraId="7FD3C52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Correspondence and approval records of assessment scope and timing.</w:t>
      </w:r>
    </w:p>
    <w:p w14:paraId="7A40385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workpapers and review checklists related to AI risk management.</w:t>
      </w:r>
    </w:p>
    <w:p w14:paraId="0CBD8E1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Follow-up action plans addressing audit recommendations.</w:t>
      </w:r>
    </w:p>
    <w:p w14:paraId="5EFFC16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4AC1C4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of Monitoring and Incident Data</w:t>
      </w:r>
    </w:p>
    <w:p w14:paraId="29C4E98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data from ongoing monitoring activities and incident analyses to inform review findings, identify recurring issues, and support continuous process improvements.</w:t>
      </w:r>
    </w:p>
    <w:p w14:paraId="023F491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0E4C76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summarizing monitoring trends and incident reviews.</w:t>
      </w:r>
    </w:p>
    <w:p w14:paraId="73C2D3D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risk assessments reflecting recent incident data.</w:t>
      </w:r>
    </w:p>
    <w:p w14:paraId="144702D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discussing monitoring insights and improvement actions.</w:t>
      </w:r>
    </w:p>
    <w:p w14:paraId="0345545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Dashboards or logs demonstrating the integration of incident data into review activities.</w:t>
      </w:r>
    </w:p>
    <w:p w14:paraId="15C0693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19128E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Process and Control Improvements</w:t>
      </w:r>
    </w:p>
    <w:p w14:paraId="08DA8F5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 and implement improvements to AI risk management processes and controls based on review outcomes, ensuring continuous enhancement aligned with emerging risks and best practices.</w:t>
      </w:r>
    </w:p>
    <w:p w14:paraId="43BAC92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FC3223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procedures and controls following review recommendations.</w:t>
      </w:r>
    </w:p>
    <w:p w14:paraId="2C03DA3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improvement initiatives and implementation plans.</w:t>
      </w:r>
    </w:p>
    <w:p w14:paraId="2AD83C9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Management approval records for process changes.</w:t>
      </w:r>
    </w:p>
    <w:p w14:paraId="44992BF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Follow-up review reports verifying effectiveness of improvements.</w:t>
      </w:r>
    </w:p>
    <w:p w14:paraId="4337BA8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BFACDA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Ongoing Monitoring of Review Effectiveness</w:t>
      </w:r>
    </w:p>
    <w:p w14:paraId="6FB0D4B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mechanisms for regularly monitoring and evaluating the effectiveness of the review process itself, adjusting scope and methodology as needed.</w:t>
      </w:r>
    </w:p>
    <w:p w14:paraId="6DDC4D4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78DD25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reports assessing review completeness and quality.</w:t>
      </w:r>
    </w:p>
    <w:p w14:paraId="56CB584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surveys from review participants.</w:t>
      </w:r>
    </w:p>
    <w:p w14:paraId="5207761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Adjustment records reflecting changes to review scope or approach.</w:t>
      </w:r>
    </w:p>
    <w:p w14:paraId="034AFED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Management review documents on review process effectiveness.</w:t>
      </w:r>
    </w:p>
    <w:p w14:paraId="6F1F62CE"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221E7DD7"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06CE550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34A0E90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35294076" w14:textId="77777777" w:rsidTr="005C00A5">
        <w:tc>
          <w:tcPr>
            <w:tcW w:w="1170" w:type="dxa"/>
          </w:tcPr>
          <w:p w14:paraId="1C18723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70E22BB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2FB45B8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18B7C7BA" w14:textId="77777777" w:rsidTr="005C00A5">
        <w:tc>
          <w:tcPr>
            <w:tcW w:w="1170" w:type="dxa"/>
          </w:tcPr>
          <w:p w14:paraId="0A9ABB9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GV-1.5.3</w:t>
            </w:r>
          </w:p>
        </w:tc>
        <w:tc>
          <w:tcPr>
            <w:tcW w:w="2160" w:type="dxa"/>
          </w:tcPr>
          <w:p w14:paraId="6D1B900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Risk Reporting and Oversight</w:t>
            </w:r>
          </w:p>
        </w:tc>
        <w:tc>
          <w:tcPr>
            <w:tcW w:w="6740" w:type="dxa"/>
          </w:tcPr>
          <w:p w14:paraId="5572611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organization’s senior leadership is regularly informed of AI system performance, risks, and risk management review outcomes through defined reporting mechanisms (e.g., reports, dashboards). This oversight aligns AI risk management with overall organizational strategy and risk appetite, enabling timely decisions and prioritized resource allocation.</w:t>
            </w:r>
          </w:p>
          <w:p w14:paraId="2004BBCE" w14:textId="77777777" w:rsidR="00963E47" w:rsidRPr="00963E47" w:rsidRDefault="00963E47" w:rsidP="004C3837">
            <w:pPr>
              <w:keepNext/>
              <w:rPr>
                <w:rFonts w:ascii="Aptos" w:hAnsi="Aptos" w:cs="Times New Roman"/>
                <w:b/>
                <w:bCs/>
                <w:color w:val="000000"/>
                <w:sz w:val="20"/>
                <w:szCs w:val="20"/>
              </w:rPr>
            </w:pPr>
          </w:p>
          <w:p w14:paraId="70A583A2" w14:textId="77777777" w:rsidR="00963E47" w:rsidRPr="00963E47" w:rsidRDefault="00963E47" w:rsidP="004C3837">
            <w:pPr>
              <w:keepNext/>
              <w:rPr>
                <w:rFonts w:ascii="Aptos" w:hAnsi="Aptos" w:cs="Times New Roman"/>
                <w:b/>
                <w:bCs/>
                <w:color w:val="000000"/>
                <w:sz w:val="20"/>
                <w:szCs w:val="20"/>
              </w:rPr>
            </w:pPr>
            <w:hyperlink r:id="rId35" w:anchor="govern-1-5" w:history="1">
              <w:r w:rsidRPr="00963E47">
                <w:rPr>
                  <w:rFonts w:ascii="Aptos" w:hAnsi="Aptos" w:cs="Times New Roman"/>
                  <w:color w:val="000000"/>
                  <w:sz w:val="20"/>
                  <w:szCs w:val="20"/>
                  <w:u w:val="single"/>
                </w:rPr>
                <w:t>Link to NIST AI RMF Playbook</w:t>
              </w:r>
            </w:hyperlink>
          </w:p>
        </w:tc>
      </w:tr>
    </w:tbl>
    <w:p w14:paraId="5D75F75F"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19FD852"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lastRenderedPageBreak/>
        <w:t>Adoption Stage Applicability:</w:t>
      </w:r>
      <w:r w:rsidRPr="00963E47">
        <w:rPr>
          <w:rFonts w:ascii="Aptos" w:eastAsia="Aptos" w:hAnsi="Aptos" w:cs="Times New Roman"/>
          <w:color w:val="C00000"/>
          <w:kern w:val="2"/>
          <w:sz w:val="20"/>
          <w:szCs w:val="20"/>
          <w14:ligatures w14:val="standardContextual"/>
        </w:rPr>
        <w:t xml:space="preserve"> </w:t>
      </w:r>
    </w:p>
    <w:p w14:paraId="3C3A8F57"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7E612B9F" w14:textId="77777777" w:rsidTr="005C00A5">
        <w:trPr>
          <w:tblHeader/>
        </w:trPr>
        <w:tc>
          <w:tcPr>
            <w:tcW w:w="2160" w:type="dxa"/>
            <w:shd w:val="clear" w:color="auto" w:fill="CCDCDC"/>
            <w:vAlign w:val="center"/>
          </w:tcPr>
          <w:p w14:paraId="2D99D65F"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01C1C538"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01B7AC7F"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2697C50E" w14:textId="77777777" w:rsidTr="005C00A5">
        <w:tc>
          <w:tcPr>
            <w:tcW w:w="2160" w:type="dxa"/>
            <w:shd w:val="clear" w:color="auto" w:fill="CCDCDC"/>
          </w:tcPr>
          <w:p w14:paraId="70D37F65"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7CCB3C0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BC9C50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28C3F17F" w14:textId="77777777" w:rsidTr="005C00A5">
        <w:tc>
          <w:tcPr>
            <w:tcW w:w="2160" w:type="dxa"/>
            <w:shd w:val="clear" w:color="auto" w:fill="CCDCDC"/>
          </w:tcPr>
          <w:p w14:paraId="276F701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792B2F0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08B87DE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38122FDD" w14:textId="77777777" w:rsidTr="005C00A5">
        <w:tc>
          <w:tcPr>
            <w:tcW w:w="2160" w:type="dxa"/>
            <w:shd w:val="clear" w:color="auto" w:fill="CCDCDC"/>
          </w:tcPr>
          <w:p w14:paraId="00146D6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2AB5E13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E8D917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3EEC5BB0" w14:textId="77777777" w:rsidTr="005C00A5">
        <w:tc>
          <w:tcPr>
            <w:tcW w:w="2160" w:type="dxa"/>
            <w:shd w:val="clear" w:color="auto" w:fill="CCDCDC"/>
          </w:tcPr>
          <w:p w14:paraId="2CC2FC8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4F5E158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76C405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regularly informing senior leadership of AI system performance, risks, and risk management review outcomes through defined reporting mechanisms is fully integrated into the organization's overall risk management and governance processes. This oversight is consistently applied, regularly reviewed and updated based on emerging AI risks and best practices, and is deeply embedded into all aspects of the organization's AI risk management and organizational strategy alignment activities.</w:t>
            </w:r>
          </w:p>
        </w:tc>
      </w:tr>
    </w:tbl>
    <w:p w14:paraId="0C8636DF"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5574B8F9" w14:textId="77777777" w:rsidTr="005C00A5">
        <w:tc>
          <w:tcPr>
            <w:tcW w:w="2250" w:type="dxa"/>
          </w:tcPr>
          <w:p w14:paraId="13F3CAE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0ABAC04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396E3F0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4360A7B6" w14:textId="77777777" w:rsidTr="005C00A5">
        <w:tc>
          <w:tcPr>
            <w:tcW w:w="2250" w:type="dxa"/>
          </w:tcPr>
          <w:p w14:paraId="79E9029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7B156EC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Uninformed Leadership</w:t>
            </w:r>
          </w:p>
        </w:tc>
        <w:tc>
          <w:tcPr>
            <w:tcW w:w="5300" w:type="dxa"/>
          </w:tcPr>
          <w:p w14:paraId="00471E4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Senior leadership is not adequately informed of AI system risks</w:t>
            </w:r>
          </w:p>
        </w:tc>
      </w:tr>
    </w:tbl>
    <w:p w14:paraId="6E0ED3D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9E309A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25F6E87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C412D6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regular reporting mechanisms to keep senior leadership informed of AI system performance, risks, and outcomes of risk management reviews. Define the frequency and format of reports, such as dashboards or executive summaries, based on the needs and preferences of senior leadership. Ensure reports provide a clear and concise overview of key metrics, trends, and issues, along with recommendations for action.</w:t>
      </w:r>
    </w:p>
    <w:p w14:paraId="3B774173"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6916B6B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Assign responsibility for preparing and delivering reports to qualified personnel, ensuring they have access to necessary data and resources. Establish a process for senior leadership to review and provide feedback on reports, and track the implementation of any decisions or actions resulting from the review.</w:t>
      </w:r>
    </w:p>
    <w:p w14:paraId="276D41F6"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58830E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74C963D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D07F8F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Establishment of Regular AI Risk Reporting Mechanisms</w:t>
      </w:r>
    </w:p>
    <w:p w14:paraId="65E7B94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and implement formal reporting processes, such as dashboards and reports, to keep senior leadership informed about AI system performance, risks, and review outcomes on a regular basis.</w:t>
      </w:r>
    </w:p>
    <w:p w14:paraId="05BBE1F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3D970C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Approved reporting templates and formats used for AI risk updates.</w:t>
      </w:r>
    </w:p>
    <w:p w14:paraId="17C8D2F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Scheduled reporting calendars with routine dissemination to leadership.</w:t>
      </w:r>
    </w:p>
    <w:p w14:paraId="0E5248E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Sample dashboards and reports demonstrating performance and risk metrics.</w:t>
      </w:r>
    </w:p>
    <w:p w14:paraId="05C4042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Distribution logs or acknowledgment records from leadership.</w:t>
      </w:r>
    </w:p>
    <w:p w14:paraId="4BE079D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DAF7BA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Alignment of Reports with Organizational Strategy and Risk Appetite</w:t>
      </w:r>
    </w:p>
    <w:p w14:paraId="5028BA1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Ensure reports and dashboards clearly connect AI risks and performance data with the organization’s strategic objectives and risk appetite to support informed decision-making.</w:t>
      </w:r>
    </w:p>
    <w:p w14:paraId="45781C8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BEB8A3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explicitly referencing organizational risk appetite in AI risk summaries.</w:t>
      </w:r>
    </w:p>
    <w:p w14:paraId="0623112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Strategic goal alignment documentation linked to risk metrics.</w:t>
      </w:r>
    </w:p>
    <w:p w14:paraId="0A564B4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Leadership review meeting minutes discussing report implications.</w:t>
      </w:r>
    </w:p>
    <w:p w14:paraId="2B92C68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Performance dashboards with risk appetite thresholds indicated.</w:t>
      </w:r>
    </w:p>
    <w:p w14:paraId="38D6D37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47ADBA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of Dashboards and Automated Alerts</w:t>
      </w:r>
    </w:p>
    <w:p w14:paraId="1848D58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Utilize real-time dashboards and automated alert systems to provide timely visibility into critical AI risk and performance indicators, facilitating proactive management.</w:t>
      </w:r>
    </w:p>
    <w:p w14:paraId="3D3489A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3920EA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Dashboard screenshots or access logs demonstrating real-time monitoring.</w:t>
      </w:r>
    </w:p>
    <w:p w14:paraId="3548287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Automated alert configuration documentation and logs.</w:t>
      </w:r>
    </w:p>
    <w:p w14:paraId="2C44CE8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and risk escalation notifications triggered by thresholds.</w:t>
      </w:r>
    </w:p>
    <w:p w14:paraId="66B4939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User training records on dashboard use and alert response procedures.</w:t>
      </w:r>
    </w:p>
    <w:p w14:paraId="38900E8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98A541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Periodic Review of Reporting Effectiveness and Content</w:t>
      </w:r>
    </w:p>
    <w:p w14:paraId="1AC8EAA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review the effectiveness, accuracy, and relevance of reporting mechanisms, updating them as needed to reflect evolving AI risks and organizational priorities.</w:t>
      </w:r>
    </w:p>
    <w:p w14:paraId="28DE923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D9AF18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reports assessing report usefulness and completeness.</w:t>
      </w:r>
    </w:p>
    <w:p w14:paraId="3C30F42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improvements or updates to reporting formats.</w:t>
      </w:r>
    </w:p>
    <w:p w14:paraId="3D135ED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surveys from leadership on report clarity and usefulness.</w:t>
      </w:r>
    </w:p>
    <w:p w14:paraId="2B2A8D2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Management approval records for changes to reporting processes.</w:t>
      </w:r>
    </w:p>
    <w:p w14:paraId="1A755D8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392719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Oversight and Decision-Making Processes</w:t>
      </w:r>
    </w:p>
    <w:p w14:paraId="441B99D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documentation of oversight activities and key decisions made based on AI risk reports, ensuring accountability and traceability.</w:t>
      </w:r>
    </w:p>
    <w:p w14:paraId="71EAE3D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B32A0A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documenting decisions influenced by reports.</w:t>
      </w:r>
    </w:p>
    <w:p w14:paraId="404A8E9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Signed acknowledgment forms from leadership reviewing reports.</w:t>
      </w:r>
    </w:p>
    <w:p w14:paraId="074C57B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action items assigned following reporting reviews.</w:t>
      </w:r>
    </w:p>
    <w:p w14:paraId="16CD2DA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logs demonstrating review and approval of oversight documentation.</w:t>
      </w:r>
    </w:p>
    <w:p w14:paraId="585CCE95"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7B6E1A71"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49F96BF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00AFD9F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17F3547F" w14:textId="77777777" w:rsidTr="005C00A5">
        <w:tc>
          <w:tcPr>
            <w:tcW w:w="1170" w:type="dxa"/>
          </w:tcPr>
          <w:p w14:paraId="7548CC0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04C78AA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761ED58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59E95C6D" w14:textId="77777777" w:rsidTr="005C00A5">
        <w:tc>
          <w:tcPr>
            <w:tcW w:w="1170" w:type="dxa"/>
          </w:tcPr>
          <w:p w14:paraId="6CFD50B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GV-1.5.4</w:t>
            </w:r>
          </w:p>
        </w:tc>
        <w:tc>
          <w:tcPr>
            <w:tcW w:w="2160" w:type="dxa"/>
          </w:tcPr>
          <w:p w14:paraId="4D0D9E3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Independent AI Risk Management Process Assessment</w:t>
            </w:r>
          </w:p>
        </w:tc>
        <w:tc>
          <w:tcPr>
            <w:tcW w:w="6740" w:type="dxa"/>
          </w:tcPr>
          <w:p w14:paraId="1E7BB75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utilizes qualified, independent parties (e.g., audit, compliance functions, third parties) to conduct regular, independent assessments of the organization’s AI risk management processes to identify gaps, drive improvements, and optimize the organization's AI risk management capabilities.</w:t>
            </w:r>
          </w:p>
          <w:p w14:paraId="0B364FA4" w14:textId="77777777" w:rsidR="00963E47" w:rsidRPr="00963E47" w:rsidRDefault="00963E47" w:rsidP="004C3837">
            <w:pPr>
              <w:keepNext/>
              <w:rPr>
                <w:rFonts w:ascii="Aptos" w:hAnsi="Aptos" w:cs="Times New Roman"/>
                <w:b/>
                <w:bCs/>
                <w:color w:val="000000"/>
                <w:sz w:val="20"/>
                <w:szCs w:val="20"/>
              </w:rPr>
            </w:pPr>
          </w:p>
          <w:p w14:paraId="3D9A0CC9" w14:textId="77777777" w:rsidR="00963E47" w:rsidRPr="00963E47" w:rsidRDefault="00963E47" w:rsidP="004C3837">
            <w:pPr>
              <w:keepNext/>
              <w:rPr>
                <w:rFonts w:ascii="Aptos" w:hAnsi="Aptos" w:cs="Times New Roman"/>
                <w:b/>
                <w:bCs/>
                <w:color w:val="000000"/>
                <w:sz w:val="20"/>
                <w:szCs w:val="20"/>
              </w:rPr>
            </w:pPr>
            <w:hyperlink r:id="rId36" w:anchor="govern-1-5" w:history="1">
              <w:r w:rsidRPr="00963E47">
                <w:rPr>
                  <w:rFonts w:ascii="Aptos" w:hAnsi="Aptos" w:cs="Times New Roman"/>
                  <w:color w:val="000000"/>
                  <w:sz w:val="20"/>
                  <w:szCs w:val="20"/>
                  <w:u w:val="single"/>
                </w:rPr>
                <w:t>Link to NIST AI RMF Playbook</w:t>
              </w:r>
            </w:hyperlink>
          </w:p>
        </w:tc>
      </w:tr>
    </w:tbl>
    <w:p w14:paraId="688BA088"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F9A6091"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70776860"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027340B1" w14:textId="77777777" w:rsidTr="005C00A5">
        <w:trPr>
          <w:tblHeader/>
        </w:trPr>
        <w:tc>
          <w:tcPr>
            <w:tcW w:w="2160" w:type="dxa"/>
            <w:shd w:val="clear" w:color="auto" w:fill="CCDCDC"/>
            <w:vAlign w:val="center"/>
          </w:tcPr>
          <w:p w14:paraId="2FEC1294"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0E917A3B"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7E0AE154"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0D53C8B2" w14:textId="77777777" w:rsidTr="005C00A5">
        <w:tc>
          <w:tcPr>
            <w:tcW w:w="2160" w:type="dxa"/>
            <w:shd w:val="clear" w:color="auto" w:fill="CCDCDC"/>
          </w:tcPr>
          <w:p w14:paraId="1A856C7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0B9DEFF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50C8B9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1BB393B3" w14:textId="77777777" w:rsidTr="005C00A5">
        <w:tc>
          <w:tcPr>
            <w:tcW w:w="2160" w:type="dxa"/>
            <w:shd w:val="clear" w:color="auto" w:fill="CCDCDC"/>
          </w:tcPr>
          <w:p w14:paraId="624707E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5A077F2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CA5477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4D643DCB" w14:textId="77777777" w:rsidTr="005C00A5">
        <w:tc>
          <w:tcPr>
            <w:tcW w:w="2160" w:type="dxa"/>
            <w:shd w:val="clear" w:color="auto" w:fill="CCDCDC"/>
          </w:tcPr>
          <w:p w14:paraId="5335EA0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5661057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31C3D3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utilize qualified, independent parties to conduct regular, independent assessments of their AI risk management processes. These assessments identify gaps, drive improvements, and optimize the organization's AI risk management capabilities, although their implementation may not yet be fully mature or consistent across all AI systems.</w:t>
            </w:r>
          </w:p>
        </w:tc>
      </w:tr>
      <w:tr w:rsidR="00963E47" w:rsidRPr="00963E47" w14:paraId="3E566587" w14:textId="77777777" w:rsidTr="005C00A5">
        <w:tc>
          <w:tcPr>
            <w:tcW w:w="2160" w:type="dxa"/>
            <w:shd w:val="clear" w:color="auto" w:fill="CCDCDC"/>
          </w:tcPr>
          <w:p w14:paraId="19A3690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4: Embedded</w:t>
            </w:r>
          </w:p>
        </w:tc>
        <w:tc>
          <w:tcPr>
            <w:tcW w:w="1350" w:type="dxa"/>
          </w:tcPr>
          <w:p w14:paraId="2D018BB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F5A82B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in the embedded stage have AI fully embedded in critical organizational functions with autonomous decision-making, and ongoing, independent evaluations are essential to maintain robust risk management. These assessments help detect blind spots, ensure compliance, and continually optimize AI risk strategies in a complex and interconnected AI environment.</w:t>
            </w:r>
          </w:p>
        </w:tc>
      </w:tr>
    </w:tbl>
    <w:p w14:paraId="1381AFDB"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04705398" w14:textId="77777777" w:rsidTr="005C00A5">
        <w:tc>
          <w:tcPr>
            <w:tcW w:w="2250" w:type="dxa"/>
          </w:tcPr>
          <w:p w14:paraId="714426C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5E91297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01F08D7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598E5D25" w14:textId="77777777" w:rsidTr="005C00A5">
        <w:tc>
          <w:tcPr>
            <w:tcW w:w="2250" w:type="dxa"/>
          </w:tcPr>
          <w:p w14:paraId="6443B2A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1428B51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Irregular Independent Assessments</w:t>
            </w:r>
          </w:p>
        </w:tc>
        <w:tc>
          <w:tcPr>
            <w:tcW w:w="5300" w:type="dxa"/>
          </w:tcPr>
          <w:p w14:paraId="78B8833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Independent assessments of AI risk management processes are not conducted regularly</w:t>
            </w:r>
          </w:p>
        </w:tc>
      </w:tr>
    </w:tbl>
    <w:p w14:paraId="45984D0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ECEDCC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60F9A29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3DED63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Engage qualified, independent parties to conduct regular assessments of the organization's AI risk management processes. Define the scope and frequency of assessments based on factors such as the level of AI adoption, system risk levels, and regulatory requirements. Establish criteria for selecting assessment providers, such as expertise in AI risk management and independence from the organization.</w:t>
      </w:r>
    </w:p>
    <w:p w14:paraId="76CCDCA3"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2C393F3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Provide assessment teams with access to necessary documentation, personnel, and systems, and establish a process for communicating findings and recommendations to relevant stakeholders. Develop a plan for addressing identified gaps and improvements, and assign responsibility for implementing changes to appropriate personnel. Regularly review and update assessment processes to ensure they remain aligned with the organization's evolving AI risk management needs.</w:t>
      </w:r>
    </w:p>
    <w:p w14:paraId="2B3A1CE2"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F72DB0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2449559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C66392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Engagement of Qualified Independent Assessors</w:t>
      </w:r>
    </w:p>
    <w:p w14:paraId="68AC8F0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Assign qualified, independent auditors or third-party evaluators to regularly review and assess the organization’s AI risk management practices, ensuring objectivity and expertise in AI-specific risks.</w:t>
      </w:r>
    </w:p>
    <w:p w14:paraId="3EF8AA6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4AF2D7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Contractual agreements or scopes of work with qualified third-party assessors or audit firms.</w:t>
      </w:r>
    </w:p>
    <w:p w14:paraId="2F6F9FC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Qualifications, certifications, and credentials of the independent assessors.</w:t>
      </w:r>
    </w:p>
    <w:p w14:paraId="6851203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assessor onboarding or briefing sessions.</w:t>
      </w:r>
    </w:p>
    <w:p w14:paraId="0B4E653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Third-party evaluation reports highlighting assessment scope, findings, and recommendations.</w:t>
      </w:r>
    </w:p>
    <w:p w14:paraId="598D59B3"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EB711C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 AI Risk Management Assessments</w:t>
      </w:r>
    </w:p>
    <w:p w14:paraId="7030D7E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scheduled, comprehensive assessments of AI risk management processes to identify gaps, ensure compliance, and recommend improvements.</w:t>
      </w:r>
    </w:p>
    <w:p w14:paraId="1CD79B0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662200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or assessment schedules and planning documents outlining frequency and scope.</w:t>
      </w:r>
    </w:p>
    <w:p w14:paraId="4D72610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Completed assessment reports, including methodology, findings, and actionable recommendations.</w:t>
      </w:r>
    </w:p>
    <w:p w14:paraId="3801899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Evidence of review and approval of assessment reports by management.</w:t>
      </w:r>
    </w:p>
    <w:p w14:paraId="2E0807E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Follow-up records demonstrating the implementation of recommendations.</w:t>
      </w:r>
    </w:p>
    <w:p w14:paraId="0522E1B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638D11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and Follow-up on Assessment Findings</w:t>
      </w:r>
    </w:p>
    <w:p w14:paraId="6CBA230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thorough documentation of assessment results and ensure timely follow-up actions to address identified gaps or deficiencies.</w:t>
      </w:r>
    </w:p>
    <w:p w14:paraId="3BDE2B1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528EFA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action items, management responses, and timelines for addressing assessment findings.</w:t>
      </w:r>
    </w:p>
    <w:p w14:paraId="1E7E6D4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risk management processes reflecting improvements based on assessment outcomes.</w:t>
      </w:r>
    </w:p>
    <w:p w14:paraId="7333ED1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Correspondence or meeting minutes discussing assessment findings and remediation plans.</w:t>
      </w:r>
    </w:p>
    <w:p w14:paraId="2A1AE46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Tracking logs or dashboards monitoring progress on corrective actions.</w:t>
      </w:r>
    </w:p>
    <w:p w14:paraId="64B8BF2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E89E11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of Assessment Results into AI Governance</w:t>
      </w:r>
    </w:p>
    <w:p w14:paraId="2A8CB90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Incorporate insights from independent assessments into the organization’s AI governance, policies, and continuous improvement initiatives.</w:t>
      </w:r>
    </w:p>
    <w:p w14:paraId="73A2DF3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A5A181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or presentations summarizing assessment findings integrated into governance discussions.</w:t>
      </w:r>
    </w:p>
    <w:p w14:paraId="7D5C40B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policies or procedures reflecting lessons learned from assessments.</w:t>
      </w:r>
    </w:p>
    <w:p w14:paraId="572AA19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steering committee or leadership review sessions that consider assessment outcomes.</w:t>
      </w:r>
    </w:p>
    <w:p w14:paraId="1984F47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or awareness sessions conducted to communicate findings across relevant teams.</w:t>
      </w:r>
    </w:p>
    <w:p w14:paraId="1CA278C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00143F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Qualification and Independence Verification</w:t>
      </w:r>
    </w:p>
    <w:p w14:paraId="6B98248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Verify and document the qualifications, independence, and objectivity of external or internal assessors to ensure assessments are unbiased and credible.</w:t>
      </w:r>
    </w:p>
    <w:p w14:paraId="46BD4C4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724B49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Certification and qualification verification documents for assessors.</w:t>
      </w:r>
    </w:p>
    <w:p w14:paraId="0630A21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Independence and conflict-of-interest declarations signed by assessors.</w:t>
      </w:r>
    </w:p>
    <w:p w14:paraId="12C6ACF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assessor background checks and due diligence processes.</w:t>
      </w:r>
    </w:p>
    <w:p w14:paraId="6AE62F1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Evidence of assessor training specific to AI risk management standards.</w:t>
      </w:r>
    </w:p>
    <w:p w14:paraId="1BA9310B"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14" w:name="_Toc214874759"/>
      <w:r w:rsidRPr="00963E47">
        <w:rPr>
          <w:rFonts w:ascii="Aptos" w:eastAsia="Aptos" w:hAnsi="Aptos" w:cs="Times New Roman"/>
          <w:b/>
          <w:bCs/>
          <w:noProof/>
          <w:color w:val="35256B"/>
          <w:kern w:val="2"/>
          <w:sz w:val="24"/>
          <w14:ligatures w14:val="standardContextual"/>
        </w:rPr>
        <w:t>GOVERN / Establishing Key Policies &amp; Processes / Building the AI Inventory</w:t>
      </w:r>
      <w:bookmarkEnd w:id="14"/>
      <w:r w:rsidRPr="00963E47">
        <w:rPr>
          <w:rFonts w:ascii="Aptos" w:eastAsia="Aptos" w:hAnsi="Aptos" w:cs="Times New Roman"/>
          <w:b/>
          <w:bCs/>
          <w:noProof/>
          <w:color w:val="35256B"/>
          <w:kern w:val="2"/>
          <w:sz w:val="24"/>
          <w14:ligatures w14:val="standardContextual"/>
        </w:rPr>
        <w:t xml:space="preserve"> </w:t>
      </w:r>
    </w:p>
    <w:p w14:paraId="44CB2293"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3FFA485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7FB6948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5B921207" w14:textId="77777777" w:rsidTr="005C00A5">
        <w:tc>
          <w:tcPr>
            <w:tcW w:w="1170" w:type="dxa"/>
          </w:tcPr>
          <w:p w14:paraId="1A6E396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119DA74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6827D7E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0DE973D6" w14:textId="77777777" w:rsidTr="005C00A5">
        <w:tc>
          <w:tcPr>
            <w:tcW w:w="1170" w:type="dxa"/>
          </w:tcPr>
          <w:p w14:paraId="0DCA8C5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GV-1.6.1</w:t>
            </w:r>
          </w:p>
        </w:tc>
        <w:tc>
          <w:tcPr>
            <w:tcW w:w="2160" w:type="dxa"/>
          </w:tcPr>
          <w:p w14:paraId="2E76610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Inventory Management</w:t>
            </w:r>
          </w:p>
        </w:tc>
        <w:tc>
          <w:tcPr>
            <w:tcW w:w="6740" w:type="dxa"/>
          </w:tcPr>
          <w:p w14:paraId="0E756D0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maintains a regularly updated inventory of its AI systems, including purpose, data sources, responsible personnel, risk ratings, criticality, dependencies, compliance requirements, and decommissioning attributes (e.g., sunset dates, archival procedures, data retention policies). This inventory is regularly updated as new systems are developed, acquired, or retired, enabling the organization to have a current and accurate understanding of its AI landscape, including the lifecycle management of its AI systems. Inventory processes are regularly reviewed to incorporate lessons learned and feedback from operational monitoring.</w:t>
            </w:r>
          </w:p>
          <w:p w14:paraId="49E4D925" w14:textId="77777777" w:rsidR="00963E47" w:rsidRPr="00963E47" w:rsidRDefault="00963E47" w:rsidP="004C3837">
            <w:pPr>
              <w:keepNext/>
              <w:rPr>
                <w:rFonts w:ascii="Aptos" w:hAnsi="Aptos" w:cs="Times New Roman"/>
                <w:b/>
                <w:bCs/>
                <w:color w:val="000000"/>
                <w:sz w:val="20"/>
                <w:szCs w:val="20"/>
              </w:rPr>
            </w:pPr>
          </w:p>
          <w:p w14:paraId="6B6B4957" w14:textId="77777777" w:rsidR="00963E47" w:rsidRPr="00963E47" w:rsidRDefault="00963E47" w:rsidP="004C3837">
            <w:pPr>
              <w:keepNext/>
              <w:rPr>
                <w:rFonts w:ascii="Aptos" w:hAnsi="Aptos" w:cs="Times New Roman"/>
                <w:b/>
                <w:bCs/>
                <w:color w:val="000000"/>
                <w:sz w:val="20"/>
                <w:szCs w:val="20"/>
              </w:rPr>
            </w:pPr>
            <w:hyperlink r:id="rId37" w:anchor="govern-1-6" w:history="1">
              <w:r w:rsidRPr="00963E47">
                <w:rPr>
                  <w:rFonts w:ascii="Aptos" w:hAnsi="Aptos" w:cs="Times New Roman"/>
                  <w:color w:val="000000"/>
                  <w:sz w:val="20"/>
                  <w:szCs w:val="20"/>
                  <w:u w:val="single"/>
                </w:rPr>
                <w:t>Link to NIST AI RMF Playbook</w:t>
              </w:r>
            </w:hyperlink>
          </w:p>
        </w:tc>
      </w:tr>
    </w:tbl>
    <w:p w14:paraId="500D9B81"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51377A2"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46E15E8A"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0CB4593A" w14:textId="77777777" w:rsidTr="005C00A5">
        <w:trPr>
          <w:tblHeader/>
        </w:trPr>
        <w:tc>
          <w:tcPr>
            <w:tcW w:w="2160" w:type="dxa"/>
            <w:shd w:val="clear" w:color="auto" w:fill="CCDCDC"/>
            <w:vAlign w:val="center"/>
          </w:tcPr>
          <w:p w14:paraId="4EF4A20F"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19F9EFB2"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246D35C4"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1478C2EF" w14:textId="77777777" w:rsidTr="005C00A5">
        <w:tc>
          <w:tcPr>
            <w:tcW w:w="2160" w:type="dxa"/>
            <w:shd w:val="clear" w:color="auto" w:fill="CCDCDC"/>
          </w:tcPr>
          <w:p w14:paraId="7DCFC24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265E526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0B8BFD1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0ECCE4CE" w14:textId="77777777" w:rsidTr="005C00A5">
        <w:tc>
          <w:tcPr>
            <w:tcW w:w="2160" w:type="dxa"/>
            <w:shd w:val="clear" w:color="auto" w:fill="CCDCDC"/>
          </w:tcPr>
          <w:p w14:paraId="77DAF60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261E6FD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8B6905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have started to maintain an inventory of their AI systems, including basic information such as purpose, data sources, and responsible personnel. However, the inventory may not be regularly updated, comprehensive, or include all relevant attributes such as risk ratings, criticality, dependencies, compliance requirements, and decommissioning attributes.</w:t>
            </w:r>
          </w:p>
        </w:tc>
      </w:tr>
      <w:tr w:rsidR="00963E47" w:rsidRPr="00963E47" w14:paraId="04BD1FAA" w14:textId="77777777" w:rsidTr="005C00A5">
        <w:tc>
          <w:tcPr>
            <w:tcW w:w="2160" w:type="dxa"/>
            <w:shd w:val="clear" w:color="auto" w:fill="CCDCDC"/>
          </w:tcPr>
          <w:p w14:paraId="65725C1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6F44EE5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277B08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evolving stage, organizations maintain a regularly updated inventory of their AI systems, including purpose, data sources, responsible personnel, risk ratings, criticality, dependencies, </w:t>
            </w:r>
            <w:r w:rsidRPr="00963E47">
              <w:rPr>
                <w:rFonts w:ascii="Aptos" w:hAnsi="Aptos" w:cs="Times New Roman"/>
                <w:noProof/>
                <w:color w:val="auto"/>
                <w:sz w:val="20"/>
                <w:szCs w:val="20"/>
              </w:rPr>
              <w:lastRenderedPageBreak/>
              <w:t>compliance requirements, and decommissioning attributes. This inventory is updated as new systems are developed, acquired, or retired, enabling the organization to have a current and accurate understanding of its AI landscape, although the process may not yet be fully mature or consistent across all AI systems.</w:t>
            </w:r>
          </w:p>
        </w:tc>
      </w:tr>
      <w:tr w:rsidR="00963E47" w:rsidRPr="00963E47" w14:paraId="18323BCC" w14:textId="77777777" w:rsidTr="005C00A5">
        <w:tc>
          <w:tcPr>
            <w:tcW w:w="2160" w:type="dxa"/>
            <w:shd w:val="clear" w:color="auto" w:fill="CCDCDC"/>
          </w:tcPr>
          <w:p w14:paraId="66747BB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4: Embedded</w:t>
            </w:r>
          </w:p>
        </w:tc>
        <w:tc>
          <w:tcPr>
            <w:tcW w:w="1350" w:type="dxa"/>
          </w:tcPr>
          <w:p w14:paraId="1DBA4BA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EF6414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maintain a regularly updated inventory of AI systems, including all relevant attributes and lifecycle management information, which is fully integrated into the organization's overall technology and risk management processes. The inventory is consistently maintained, regularly reviewed and updated based on best practices, and is deeply embedded into all aspects of the organization's AI governance and decision-making activities.</w:t>
            </w:r>
          </w:p>
        </w:tc>
      </w:tr>
    </w:tbl>
    <w:p w14:paraId="5A2CCB23"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7459514C" w14:textId="77777777" w:rsidTr="005C00A5">
        <w:tc>
          <w:tcPr>
            <w:tcW w:w="2250" w:type="dxa"/>
          </w:tcPr>
          <w:p w14:paraId="0379E93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76F595B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467E3F9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7A87EF46" w14:textId="77777777" w:rsidTr="005C00A5">
        <w:tc>
          <w:tcPr>
            <w:tcW w:w="2250" w:type="dxa"/>
          </w:tcPr>
          <w:p w14:paraId="2190D69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4C84E34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Inaccurate AI System Inventory</w:t>
            </w:r>
          </w:p>
        </w:tc>
        <w:tc>
          <w:tcPr>
            <w:tcW w:w="5300" w:type="dxa"/>
          </w:tcPr>
          <w:p w14:paraId="210FE9C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system inventory is not maintained or regularly updated</w:t>
            </w:r>
          </w:p>
        </w:tc>
      </w:tr>
    </w:tbl>
    <w:p w14:paraId="4BF33FE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DE8255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5DEE387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6F8818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Define the key attributes to be captured in the enterprise AI inventory, such as system purpose, data sources, responsible personnel, risk ratings, criticality, dependencies, compliance requirements, and decommissioning attributes (e.g., sunset dates, archival procedures, data retention policies). Establish a standardized template for documenting this information, and assign responsibility for populating and updating the inventory to appropriate personnel. Organizations at early adoption stages should consider using shared folders (e.g., SharePoint, GitHub), as a repository to maintain the inventory. </w:t>
      </w:r>
    </w:p>
    <w:p w14:paraId="568EB5AB"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BDC4AD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Assign responsibility for populating and maintaining the inventory to appropriate personnel, ensuring that it is kept current and accurate. Implement processes for regularly reviewing and updating the inventory, such as quarterly reviews or trigger-based updates (e.g., when new systems are developed, acquired, or retired). Establish access controls to ensure the inventory is secure and only accessible to authorized personnel. Regularly review and update the inventory to reflect the organization's current AI landscape and lifecycle management practices, from deployment to decommissioning.</w:t>
      </w:r>
    </w:p>
    <w:p w14:paraId="0D3025A0"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B2026D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6B7EFD6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1CBC5C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Comprehensive AI System Inventory Compilation</w:t>
      </w:r>
    </w:p>
    <w:p w14:paraId="016E9AF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and maintain a detailed inventory of all AI systems, capturing key attributes such as purpose, data sources, responsible teams, risk ratings, criticality, dependencies, compliance obligations, and decommissioning plans.</w:t>
      </w:r>
    </w:p>
    <w:p w14:paraId="0B3CAAE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174A22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Formalized inventory documentation or database including all AI systems and their attributes.</w:t>
      </w:r>
    </w:p>
    <w:p w14:paraId="627E454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System IDs, descriptions, and ownership details documented in the inventory.</w:t>
      </w:r>
    </w:p>
    <w:p w14:paraId="2134E2A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initial inventory creation, including the date and responsible personnel.</w:t>
      </w:r>
    </w:p>
    <w:p w14:paraId="04E6FD8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Templates or standard forms used to collect system attributes consistently.</w:t>
      </w:r>
    </w:p>
    <w:p w14:paraId="2C99D38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453C81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 Updates and Maintenance of the AI Inventory</w:t>
      </w:r>
    </w:p>
    <w:p w14:paraId="3D2F039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processes to update the AI system inventory routinely as systems are developed, modified, acquired, or retired, ensuring accuracy and completeness.</w:t>
      </w:r>
    </w:p>
    <w:p w14:paraId="4FA9F31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5E0033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or version history documenting updates to AI systems over time.</w:t>
      </w:r>
    </w:p>
    <w:p w14:paraId="3DE8157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Meeting records or change management logs approving significant updates.</w:t>
      </w:r>
    </w:p>
    <w:p w14:paraId="0B8D6BA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Automated alerts or workflows prompting regular review and updates.</w:t>
      </w:r>
    </w:p>
    <w:p w14:paraId="4B688AB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trail demonstrating recent updates aligning with operational changes.</w:t>
      </w:r>
    </w:p>
    <w:p w14:paraId="049E512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89CAB6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Lifecycle and Decommissioning Management</w:t>
      </w:r>
    </w:p>
    <w:p w14:paraId="3D692F0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Incorporate lifecycle attributes such as sunset dates, archival procedures, and data retention policies into the inventory, managing AI systems from deployment to decommissioning.</w:t>
      </w:r>
    </w:p>
    <w:p w14:paraId="073E868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4BC82A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decommissioning procedures linked to inventory entries.</w:t>
      </w:r>
    </w:p>
    <w:p w14:paraId="4EEBFED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showing scheduled sunset or review dates for AI systems.</w:t>
      </w:r>
    </w:p>
    <w:p w14:paraId="4E9BE88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retention and archival policies documented and linked to specific systems.</w:t>
      </w:r>
    </w:p>
    <w:p w14:paraId="4E3450E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requests or approval documents for decommissioning actions.</w:t>
      </w:r>
    </w:p>
    <w:p w14:paraId="4810307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02025D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Periodic Review and Lessons Learned Integration</w:t>
      </w:r>
    </w:p>
    <w:p w14:paraId="5C577B9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periodic reviews of the inventory process and incorporate lessons learned, operational feedback, and audit findings to improve accuracy and completeness.</w:t>
      </w:r>
    </w:p>
    <w:p w14:paraId="232C762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BBE193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or review reports assessing inventory completeness and accuracy.</w:t>
      </w:r>
    </w:p>
    <w:p w14:paraId="46D9A19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forms or reports from operational teams providing insights for process improvements.</w:t>
      </w:r>
    </w:p>
    <w:p w14:paraId="2619765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updates made after lessons learned sessions.</w:t>
      </w:r>
    </w:p>
    <w:p w14:paraId="39DD1EC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reports highlighting gaps or weaknesses in the inventory process and corrective actions taken.</w:t>
      </w:r>
    </w:p>
    <w:p w14:paraId="72F27CD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BAC98C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with Risk and Compliance Management</w:t>
      </w:r>
    </w:p>
    <w:p w14:paraId="076CEAC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Link the AI inventory with risk management and compliance activities to ensure that system attributes, such as risk ratings and regulatory obligations, are consistently maintained and reflected in organizational oversight.</w:t>
      </w:r>
    </w:p>
    <w:p w14:paraId="78776C6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887317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Cross-referenced risk assessments and compliance records with inventory entries.</w:t>
      </w:r>
    </w:p>
    <w:p w14:paraId="15809D8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or dashboards showing live integration of inventory data with risk/impact metrics.</w:t>
      </w:r>
    </w:p>
    <w:p w14:paraId="0228505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procedures for updating risk and compliance data as part of inventory maintenance.</w:t>
      </w:r>
    </w:p>
    <w:p w14:paraId="5F9DC1B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trail evidence of synchronization activities between inventory and risk management systems.</w:t>
      </w:r>
    </w:p>
    <w:p w14:paraId="421E3DBD"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1D33507B"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54A349D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175477B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70601765" w14:textId="77777777" w:rsidTr="005C00A5">
        <w:tc>
          <w:tcPr>
            <w:tcW w:w="1170" w:type="dxa"/>
          </w:tcPr>
          <w:p w14:paraId="1E80E98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528B3E7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42E899C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0349C5E8" w14:textId="77777777" w:rsidTr="005C00A5">
        <w:tc>
          <w:tcPr>
            <w:tcW w:w="1170" w:type="dxa"/>
          </w:tcPr>
          <w:p w14:paraId="316E6F0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GV-1.6.2</w:t>
            </w:r>
          </w:p>
        </w:tc>
        <w:tc>
          <w:tcPr>
            <w:tcW w:w="2160" w:type="dxa"/>
          </w:tcPr>
          <w:p w14:paraId="74A7658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Inventory and Data Integration</w:t>
            </w:r>
          </w:p>
        </w:tc>
        <w:tc>
          <w:tcPr>
            <w:tcW w:w="6740" w:type="dxa"/>
          </w:tcPr>
          <w:p w14:paraId="54EF703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integrates the AI system inventory with its technology management and data governance processes to drive consistency and enable cross-functional collaboration. The inventory informs risk management prioritization (e.g., risk assessment documentation, monitoring and mitigation plans, meeting minutes and/or decision logs), with high-risk and mission-critical systems subject to enhanced oversight, control, and reporting.</w:t>
            </w:r>
          </w:p>
          <w:p w14:paraId="00AFFAD2" w14:textId="77777777" w:rsidR="00963E47" w:rsidRPr="00963E47" w:rsidRDefault="00963E47" w:rsidP="004C3837">
            <w:pPr>
              <w:keepNext/>
              <w:rPr>
                <w:rFonts w:ascii="Aptos" w:hAnsi="Aptos" w:cs="Times New Roman"/>
                <w:b/>
                <w:bCs/>
                <w:color w:val="000000"/>
                <w:sz w:val="20"/>
                <w:szCs w:val="20"/>
              </w:rPr>
            </w:pPr>
          </w:p>
          <w:p w14:paraId="7A35F6CB" w14:textId="77777777" w:rsidR="00963E47" w:rsidRPr="00963E47" w:rsidRDefault="00963E47" w:rsidP="004C3837">
            <w:pPr>
              <w:keepNext/>
              <w:rPr>
                <w:rFonts w:ascii="Aptos" w:hAnsi="Aptos" w:cs="Times New Roman"/>
                <w:b/>
                <w:bCs/>
                <w:color w:val="000000"/>
                <w:sz w:val="20"/>
                <w:szCs w:val="20"/>
              </w:rPr>
            </w:pPr>
            <w:hyperlink r:id="rId38" w:anchor="govern-1-6" w:history="1">
              <w:r w:rsidRPr="00963E47">
                <w:rPr>
                  <w:rFonts w:ascii="Aptos" w:hAnsi="Aptos" w:cs="Times New Roman"/>
                  <w:color w:val="000000"/>
                  <w:sz w:val="20"/>
                  <w:szCs w:val="20"/>
                  <w:u w:val="single"/>
                </w:rPr>
                <w:t>Link to NIST AI RMF Playbook</w:t>
              </w:r>
            </w:hyperlink>
          </w:p>
        </w:tc>
      </w:tr>
    </w:tbl>
    <w:p w14:paraId="403A138C"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F0CB988"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76364E73"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5A3A499B" w14:textId="77777777" w:rsidTr="005C00A5">
        <w:trPr>
          <w:tblHeader/>
        </w:trPr>
        <w:tc>
          <w:tcPr>
            <w:tcW w:w="2160" w:type="dxa"/>
            <w:shd w:val="clear" w:color="auto" w:fill="CCDCDC"/>
            <w:vAlign w:val="center"/>
          </w:tcPr>
          <w:p w14:paraId="1C6C8CE3"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0B65A4BA"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556D3941"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6B4F6D60" w14:textId="77777777" w:rsidTr="005C00A5">
        <w:tc>
          <w:tcPr>
            <w:tcW w:w="2160" w:type="dxa"/>
            <w:shd w:val="clear" w:color="auto" w:fill="CCDCDC"/>
          </w:tcPr>
          <w:p w14:paraId="092694B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2824801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B53722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FC09D0F" w14:textId="77777777" w:rsidTr="005C00A5">
        <w:tc>
          <w:tcPr>
            <w:tcW w:w="2160" w:type="dxa"/>
            <w:shd w:val="clear" w:color="auto" w:fill="CCDCDC"/>
          </w:tcPr>
          <w:p w14:paraId="6123FDF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2: Minimal</w:t>
            </w:r>
          </w:p>
        </w:tc>
        <w:tc>
          <w:tcPr>
            <w:tcW w:w="1350" w:type="dxa"/>
          </w:tcPr>
          <w:p w14:paraId="3CD239B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7FC93D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have started to integrate their AI system inventory with some technology management and data governance processes. However, the integration may be limited, inconsistent, or not fully leveraged to inform risk management prioritization or enable cross-functional collaboration.</w:t>
            </w:r>
          </w:p>
        </w:tc>
      </w:tr>
      <w:tr w:rsidR="00963E47" w:rsidRPr="00963E47" w14:paraId="7F38C9FE" w14:textId="77777777" w:rsidTr="005C00A5">
        <w:tc>
          <w:tcPr>
            <w:tcW w:w="2160" w:type="dxa"/>
            <w:shd w:val="clear" w:color="auto" w:fill="CCDCDC"/>
          </w:tcPr>
          <w:p w14:paraId="7B562F3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345F8C2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091AA2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have integrated their AI system inventory with their technology management and data governance processes to drive consistency and enable cross-functional collaboration. The inventory informs risk management prioritization, with high-risk and mission-critical systems subject to enhanced oversight, control, and reporting, although the process may not yet be fully mature or consistent across all AI systems.</w:t>
            </w:r>
          </w:p>
        </w:tc>
      </w:tr>
      <w:tr w:rsidR="00963E47" w:rsidRPr="00963E47" w14:paraId="7BDA5BF8" w14:textId="77777777" w:rsidTr="005C00A5">
        <w:tc>
          <w:tcPr>
            <w:tcW w:w="2160" w:type="dxa"/>
            <w:shd w:val="clear" w:color="auto" w:fill="CCDCDC"/>
          </w:tcPr>
          <w:p w14:paraId="40AA07D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55FB929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F34136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integrate the AI system inventory with technology management and data governance processes to drive consistency, enable cross-functional collaboration, and inform risk management prioritization, which is fully integrated into the organization's overall technology and risk management processes. The inventory is consistently leveraged, regularly reviewed and updated based on best practices, and is deeply embedded into all aspects of the organization's AI governance and risk management activities.</w:t>
            </w:r>
          </w:p>
        </w:tc>
      </w:tr>
    </w:tbl>
    <w:p w14:paraId="03072059"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5B9A9C92" w14:textId="77777777" w:rsidTr="005C00A5">
        <w:tc>
          <w:tcPr>
            <w:tcW w:w="2250" w:type="dxa"/>
          </w:tcPr>
          <w:p w14:paraId="4370B57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55EFA7B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6601515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454498AB" w14:textId="77777777" w:rsidTr="005C00A5">
        <w:tc>
          <w:tcPr>
            <w:tcW w:w="2250" w:type="dxa"/>
          </w:tcPr>
          <w:p w14:paraId="557573B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15E4214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Unintegrated AI Inventory</w:t>
            </w:r>
          </w:p>
        </w:tc>
        <w:tc>
          <w:tcPr>
            <w:tcW w:w="5300" w:type="dxa"/>
          </w:tcPr>
          <w:p w14:paraId="6BDE2BD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system inventory is not integrated with technology and data governance processes</w:t>
            </w:r>
          </w:p>
        </w:tc>
      </w:tr>
    </w:tbl>
    <w:p w14:paraId="73A1AF8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CD9002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4BE8A8A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79B9EA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Integrate the AI system inventory with the organization's existing technology management and data governance processes. This may involve mapping AI systems to related IT assets, data sources, and business processes, as well as establishing cross-functional teams to collaborate on inventory management.</w:t>
      </w:r>
    </w:p>
    <w:p w14:paraId="68227A81"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DC2A12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processes and procedures to ensure the AI system inventory is consistently updated and maintained in alignment with the organization’s broader technology and data governance frameworks. Establish communication channels and feedback mechanisms to facilitate collaboration and information sharing among relevant stakeholders, such as IT, data governance, and risk management teams.</w:t>
      </w:r>
    </w:p>
    <w:p w14:paraId="7EACF310"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4BF598D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Consult GOVERN 1.1 to understand mandatory documentation requirements, GOVERN 1.4 for documentation policies, and Govern 1.5 for documentation cadence, to further inform inventory contents.</w:t>
      </w:r>
    </w:p>
    <w:p w14:paraId="27F60711"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479D42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70CD49E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E997D1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of AI Inventory with Technology Management and Data Governance</w:t>
      </w:r>
    </w:p>
    <w:p w14:paraId="3161729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Link the AI system inventory with existing technology management and data governance frameworks to promote consistency, transparency, and collaboration across departments involved in AI lifecycle management.</w:t>
      </w:r>
    </w:p>
    <w:p w14:paraId="0276C9E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22C66B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Documented integration points between the AI inventory and technology or data governance systems.</w:t>
      </w:r>
    </w:p>
    <w:p w14:paraId="1C6DD62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Systems or dashboards displaying synchronized data from inventory, risk, and governance platforms.</w:t>
      </w:r>
    </w:p>
    <w:p w14:paraId="3CBE365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Standard operating procedures outlining how integration is maintained and updated.</w:t>
      </w:r>
    </w:p>
    <w:p w14:paraId="6837981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Cross-team collaboration meetings or workflows referencing the integrated inventory.</w:t>
      </w:r>
    </w:p>
    <w:p w14:paraId="37D1DD0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919445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Risk-Driven Prioritization and Monitoring of AI Systems</w:t>
      </w:r>
    </w:p>
    <w:p w14:paraId="2960701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the AI inventory to prioritize systems for risk assessment, monitoring, and mitigation, focusing resources on high-risk and mission-critical systems requiring enhanced control.</w:t>
      </w:r>
    </w:p>
    <w:p w14:paraId="73B7EC3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1ED714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assessment documentation referencing inventory details, with clear prioritization criteria.</w:t>
      </w:r>
    </w:p>
    <w:p w14:paraId="3D1FFB0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reports highlighting high-risk and mission-critical systems for ongoing oversight.</w:t>
      </w:r>
    </w:p>
    <w:p w14:paraId="0EEDF89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or decision logs where high-risk systems receive dedicated attention and resource allocation.</w:t>
      </w:r>
    </w:p>
    <w:p w14:paraId="5A6753E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Resource allocation plans that specify oversight levels for different categories of AI systems.</w:t>
      </w:r>
    </w:p>
    <w:p w14:paraId="490BDAC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6D5E8A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Oversight and Control Activities for Critical Systems</w:t>
      </w:r>
    </w:p>
    <w:p w14:paraId="374B240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detailed records of oversight activities, controls, and reporting specific to high-risk and mission-critical AI systems, based on inventory insights.</w:t>
      </w:r>
    </w:p>
    <w:p w14:paraId="58B15CA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73C838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Oversight and control plans or dashboards aligned with inventory and risk assessments.</w:t>
      </w:r>
    </w:p>
    <w:p w14:paraId="578DC9F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or summaries of monitoring activities performed on high-risk AI systems.</w:t>
      </w:r>
    </w:p>
    <w:p w14:paraId="758A34B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discussing control effectiveness or incident reviews related to critical systems.</w:t>
      </w:r>
    </w:p>
    <w:p w14:paraId="52143EF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plans or audit reports focused on high-risk system management.</w:t>
      </w:r>
    </w:p>
    <w:p w14:paraId="6DC093D2"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FF3D66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Cross-Functional Collaboration and Communication</w:t>
      </w:r>
    </w:p>
    <w:p w14:paraId="1875E63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Foster collaboration among technical, risk, compliance, and business teams by routinely sharing insights from the AI inventory and related risk information.</w:t>
      </w:r>
    </w:p>
    <w:p w14:paraId="7E0EBFC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6DFF44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Cross-departmental meeting minutes, agendas, or collaboration platform records referencing the inventory.</w:t>
      </w:r>
    </w:p>
    <w:p w14:paraId="28AC4B6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Shared repositories or portals providing access to inventory data and risk information.</w:t>
      </w:r>
    </w:p>
    <w:p w14:paraId="74D5539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Formal communication plans highlighting roles and responsibilities for managing high-risk AI systems.</w:t>
      </w:r>
    </w:p>
    <w:p w14:paraId="36F4589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or briefing records emphasizing collaborative oversight processes.</w:t>
      </w:r>
    </w:p>
    <w:p w14:paraId="56F679A2"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8A5163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Improvement of Integration Processes</w:t>
      </w:r>
    </w:p>
    <w:p w14:paraId="0052181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review and improve the integration of the AI inventory with management and governance processes based on feedback, lessons learned, and evolving organizational needs.</w:t>
      </w:r>
    </w:p>
    <w:p w14:paraId="6872271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E52217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and update logs for integration procedures and workflows.</w:t>
      </w:r>
    </w:p>
    <w:p w14:paraId="2FDB2D2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collection records from stakeholders on integration effectiveness.</w:t>
      </w:r>
    </w:p>
    <w:p w14:paraId="0660C18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Minutes from periodic reviews of the integration strategy, including identified enhancements.</w:t>
      </w:r>
    </w:p>
    <w:p w14:paraId="48ED625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Adjusted process documentation reflecting improvements made over time.</w:t>
      </w:r>
    </w:p>
    <w:p w14:paraId="55E34919"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0B783095"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1CEC783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36CC45F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35A89AC1" w14:textId="77777777" w:rsidTr="005C00A5">
        <w:tc>
          <w:tcPr>
            <w:tcW w:w="1170" w:type="dxa"/>
          </w:tcPr>
          <w:p w14:paraId="55A433B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17602B4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5F680C3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45C1784B" w14:textId="77777777" w:rsidTr="005C00A5">
        <w:tc>
          <w:tcPr>
            <w:tcW w:w="1170" w:type="dxa"/>
          </w:tcPr>
          <w:p w14:paraId="2045A79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GV-1.6.3</w:t>
            </w:r>
          </w:p>
        </w:tc>
        <w:tc>
          <w:tcPr>
            <w:tcW w:w="2160" w:type="dxa"/>
          </w:tcPr>
          <w:p w14:paraId="2B3C398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Inventory Integration for Purchased and Shadow Systems</w:t>
            </w:r>
          </w:p>
        </w:tc>
        <w:tc>
          <w:tcPr>
            <w:tcW w:w="6740" w:type="dxa"/>
          </w:tcPr>
          <w:p w14:paraId="4076F34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establishes practices to ensure that AI systems used in purchased products and Shadow IT are identified, documented, and incorporated into its inventory and risk management processes. Procurement procedures require vendors and internal teams to disclose AI components, which are then evaluated for compliance, security, and alignment with organizational risk standards. All such AI systems are tracked throughout their lifecycle to prevent unmanaged risks and gaps.</w:t>
            </w:r>
          </w:p>
          <w:p w14:paraId="2E60272A" w14:textId="77777777" w:rsidR="00963E47" w:rsidRPr="00963E47" w:rsidRDefault="00963E47" w:rsidP="004C3837">
            <w:pPr>
              <w:keepNext/>
              <w:rPr>
                <w:rFonts w:ascii="Aptos" w:hAnsi="Aptos" w:cs="Times New Roman"/>
                <w:b/>
                <w:bCs/>
                <w:color w:val="000000"/>
                <w:sz w:val="20"/>
                <w:szCs w:val="20"/>
              </w:rPr>
            </w:pPr>
          </w:p>
          <w:p w14:paraId="39CB4276" w14:textId="77777777" w:rsidR="00963E47" w:rsidRPr="00963E47" w:rsidRDefault="00963E47" w:rsidP="004C3837">
            <w:pPr>
              <w:keepNext/>
              <w:rPr>
                <w:rFonts w:ascii="Aptos" w:hAnsi="Aptos" w:cs="Times New Roman"/>
                <w:b/>
                <w:bCs/>
                <w:color w:val="000000"/>
                <w:sz w:val="20"/>
                <w:szCs w:val="20"/>
              </w:rPr>
            </w:pPr>
            <w:hyperlink r:id="rId39" w:anchor="govern-1-6" w:history="1">
              <w:r w:rsidRPr="00963E47">
                <w:rPr>
                  <w:rFonts w:ascii="Aptos" w:hAnsi="Aptos" w:cs="Times New Roman"/>
                  <w:color w:val="000000"/>
                  <w:sz w:val="20"/>
                  <w:szCs w:val="20"/>
                  <w:u w:val="single"/>
                </w:rPr>
                <w:t>Link to NIST AI RMF Playbook</w:t>
              </w:r>
            </w:hyperlink>
          </w:p>
        </w:tc>
      </w:tr>
    </w:tbl>
    <w:p w14:paraId="2A309D67"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6134F30"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4DD1A4F3"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6025BCD0" w14:textId="77777777" w:rsidTr="005C00A5">
        <w:trPr>
          <w:tblHeader/>
        </w:trPr>
        <w:tc>
          <w:tcPr>
            <w:tcW w:w="2160" w:type="dxa"/>
            <w:shd w:val="clear" w:color="auto" w:fill="CCDCDC"/>
            <w:vAlign w:val="center"/>
          </w:tcPr>
          <w:p w14:paraId="7EB1E72C"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09FE8E94"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05B08688"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34ED3251" w14:textId="77777777" w:rsidTr="005C00A5">
        <w:tc>
          <w:tcPr>
            <w:tcW w:w="2160" w:type="dxa"/>
            <w:shd w:val="clear" w:color="auto" w:fill="CCDCDC"/>
          </w:tcPr>
          <w:p w14:paraId="22C9544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20B1E92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44B399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2B664EEF" w14:textId="77777777" w:rsidTr="005C00A5">
        <w:tc>
          <w:tcPr>
            <w:tcW w:w="2160" w:type="dxa"/>
            <w:shd w:val="clear" w:color="auto" w:fill="CCDCDC"/>
          </w:tcPr>
          <w:p w14:paraId="0AB02CD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23B3E3C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737312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minimal stage recognize the need to identify and document AI components in purchased products and Shadow IT, establishing basic procedures for evaluation and tracking to prevent unmanaged risks and gaps. This foundational approach provides an initial layer of oversight, which can be expanded as AI adoption and complexity grow.</w:t>
            </w:r>
          </w:p>
        </w:tc>
      </w:tr>
      <w:tr w:rsidR="00963E47" w:rsidRPr="00963E47" w14:paraId="4F095E4B" w14:textId="77777777" w:rsidTr="005C00A5">
        <w:tc>
          <w:tcPr>
            <w:tcW w:w="2160" w:type="dxa"/>
            <w:shd w:val="clear" w:color="auto" w:fill="CCDCDC"/>
          </w:tcPr>
          <w:p w14:paraId="0EEEFA8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010D960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141A95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start establishing procedures to identify and document AI components in purchased products and Shadow IT, ensuring these are evaluated and included in risk management.</w:t>
            </w:r>
          </w:p>
        </w:tc>
      </w:tr>
      <w:tr w:rsidR="00963E47" w:rsidRPr="00963E47" w14:paraId="0BAE9D4C" w14:textId="77777777" w:rsidTr="005C00A5">
        <w:tc>
          <w:tcPr>
            <w:tcW w:w="2160" w:type="dxa"/>
            <w:shd w:val="clear" w:color="auto" w:fill="CCDCDC"/>
          </w:tcPr>
          <w:p w14:paraId="35734EB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23A0213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128220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that are fully integrated automatically track and manage AI systems from procurement through lifecycle, ensuring comprehensive oversight, compliance, and risk mitigation across all AI-enabled assets, aligned with AI Trustworthy Principles.</w:t>
            </w:r>
          </w:p>
        </w:tc>
      </w:tr>
    </w:tbl>
    <w:p w14:paraId="44D520E9"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78E59BB7" w14:textId="77777777" w:rsidTr="005C00A5">
        <w:tc>
          <w:tcPr>
            <w:tcW w:w="2250" w:type="dxa"/>
          </w:tcPr>
          <w:p w14:paraId="3F5C5C3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554B88F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4DD17E4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5710CBED" w14:textId="77777777" w:rsidTr="005C00A5">
        <w:tc>
          <w:tcPr>
            <w:tcW w:w="2250" w:type="dxa"/>
          </w:tcPr>
          <w:p w14:paraId="1B93B15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0C074C2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Unmanaged Shadow IT</w:t>
            </w:r>
          </w:p>
        </w:tc>
        <w:tc>
          <w:tcPr>
            <w:tcW w:w="5300" w:type="dxa"/>
          </w:tcPr>
          <w:p w14:paraId="0F01E73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Shadow IT and purchased AI components remain unidentified and unmanaged.</w:t>
            </w:r>
          </w:p>
        </w:tc>
      </w:tr>
    </w:tbl>
    <w:p w14:paraId="3A6C28D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268004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4AE039E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71B1C8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The organization should establish policies requiring the review and documentation of AI embedded in third-party products and Shadow IT. Procurement and supply chain procedures must include validation steps to assess AI risks, ensuring they meet compliance, security, and organizational standards before deployment. Regular audits and monitoring should verify that all AI systems introduced through external sources or informal channels are recorded and managed within the central inventory.</w:t>
      </w:r>
    </w:p>
    <w:p w14:paraId="0622424F"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6B568D5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Cross-functional coordination is vital—legal, procurement, security, and risk teams should collaborate to evaluate AI risks at the point of purchase and throughout the lifecycle. Incorporating AI-specific questions into vendor assessments and procurement approval workflows helps ensure transparency and risk mitigation. This approach </w:t>
      </w:r>
      <w:r w:rsidRPr="00963E47">
        <w:rPr>
          <w:rFonts w:ascii="Aptos" w:eastAsia="Aptos" w:hAnsi="Aptos" w:cs="Times New Roman"/>
          <w:noProof/>
          <w:color w:val="auto"/>
          <w:kern w:val="2"/>
          <w:sz w:val="20"/>
          <w:szCs w:val="20"/>
          <w14:ligatures w14:val="standardContextual"/>
        </w:rPr>
        <w:lastRenderedPageBreak/>
        <w:t>minimizes blind spots, supports ongoing inventory accuracy, and aligns AI use with the organization’s governance and risk appetite.</w:t>
      </w:r>
    </w:p>
    <w:p w14:paraId="7278343D"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87903D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2596314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DEDD55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Identification and Documentation of Purchased and Shadow IT AI Systems</w:t>
      </w:r>
    </w:p>
    <w:p w14:paraId="781DAB2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procedures to identify, document, and record AI components in purchased products and Shadow IT, ensuring their inclusion in the AI inventory and risk assessments.</w:t>
      </w:r>
    </w:p>
    <w:p w14:paraId="253B63B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26C281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Procurement requirement checklists that include AI component disclosure.</w:t>
      </w:r>
    </w:p>
    <w:p w14:paraId="3A4AA2F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Vendor-supplied documentation or disclosures specifying AI features or components.</w:t>
      </w:r>
    </w:p>
    <w:p w14:paraId="5C5AC8F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Logs of identified Shadow IT AI systems discovered through audits or monitoring tools.</w:t>
      </w:r>
    </w:p>
    <w:p w14:paraId="21DC0FB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inventory entries capturing procurement and Shadow IT AI systems.</w:t>
      </w:r>
    </w:p>
    <w:p w14:paraId="12536F2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5DB907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Procurement and Vendor Evaluation of AI Components</w:t>
      </w:r>
    </w:p>
    <w:p w14:paraId="7343187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procurement processes that mandate vendor disclosures of AI components, followed by evaluations for compliance, security, and risk standards adherence before deployment.</w:t>
      </w:r>
    </w:p>
    <w:p w14:paraId="700FC17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77DB97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Procurement policies requiring AI component disclosures from vendors.</w:t>
      </w:r>
    </w:p>
    <w:p w14:paraId="1D41C05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Evaluation reports assessing AI components for compliance, security, and risk alignment.</w:t>
      </w:r>
    </w:p>
    <w:p w14:paraId="7E7D5BF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Signed acceptance or approval records for AI components integrated into organizational systems.</w:t>
      </w:r>
    </w:p>
    <w:p w14:paraId="2A3EFF8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Documented criteria or checklists used during vendor assessments.</w:t>
      </w:r>
    </w:p>
    <w:p w14:paraId="4DDED42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87E001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Lifecycle Tracking and Management of Purchased and Shadow IT AI Systems</w:t>
      </w:r>
    </w:p>
    <w:p w14:paraId="14D71C8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Track all AI systems from procurement through deployment, operation, and decommissioning, ensuring ongoing oversight and risk management.</w:t>
      </w:r>
    </w:p>
    <w:p w14:paraId="1B6D046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04E120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Lifecycle management logs showing status updates for each AI system.</w:t>
      </w:r>
    </w:p>
    <w:p w14:paraId="0E17262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management records for modifications or updates to AI components.</w:t>
      </w:r>
    </w:p>
    <w:p w14:paraId="291FB78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reports tracking performance, security, and compliance throughout the lifecycle.</w:t>
      </w:r>
    </w:p>
    <w:p w14:paraId="40D09E9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Decommissioning or disposal documentation following lifecycle end.</w:t>
      </w:r>
    </w:p>
    <w:p w14:paraId="1E60096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55671E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Monitoring and Risk Management of Discovered AI Systems</w:t>
      </w:r>
    </w:p>
    <w:p w14:paraId="405C02C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monitor and evaluate the risk posture of AI systems, including Shadow IT and third-party products, to identify and address unmanaged risks promptly.</w:t>
      </w:r>
    </w:p>
    <w:p w14:paraId="24E2988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4025AE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Periodic risk assessment reports for Shadow IT and purchased AI systems.</w:t>
      </w:r>
    </w:p>
    <w:p w14:paraId="0965D39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or security event logs linked to unmanaged AI risks.</w:t>
      </w:r>
    </w:p>
    <w:p w14:paraId="22731DE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Remediation or mitigation action records following risk identification.</w:t>
      </w:r>
    </w:p>
    <w:p w14:paraId="354DE1E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Updates to the inventory and risk management plans based on monitoring results.</w:t>
      </w:r>
    </w:p>
    <w:p w14:paraId="07E1533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A41F9B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of AI Procurement and Shadow IT Data into Overall Governance Framework</w:t>
      </w:r>
    </w:p>
    <w:p w14:paraId="0016873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Incorporate information about purchased and Shadow IT AI systems into the organization’s broader governance and risk management processes to ensure comprehensive oversight.</w:t>
      </w:r>
    </w:p>
    <w:p w14:paraId="7B4D8A9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8C9AAC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Governance reports or dashboards that include Shadow IT and procurement AI systems.</w:t>
      </w:r>
    </w:p>
    <w:p w14:paraId="1BA879B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or decision logs referencing the status and risks of these systems.</w:t>
      </w:r>
    </w:p>
    <w:p w14:paraId="295245E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Policy documents updating governance frameworks to account for Shadow IT and procurement processes.</w:t>
      </w:r>
    </w:p>
    <w:p w14:paraId="544FD83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Communications or training materials emphasizing the importance of disclosure and lifecycle tracking for all AI systems.</w:t>
      </w:r>
    </w:p>
    <w:p w14:paraId="1626FCD8"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70BEA0CA"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5C2B59A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061BF1B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3A967A9E" w14:textId="77777777" w:rsidTr="005C00A5">
        <w:tc>
          <w:tcPr>
            <w:tcW w:w="1170" w:type="dxa"/>
          </w:tcPr>
          <w:p w14:paraId="7915490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409F974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457BD49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57AFAF82" w14:textId="77777777" w:rsidTr="005C00A5">
        <w:tc>
          <w:tcPr>
            <w:tcW w:w="1170" w:type="dxa"/>
          </w:tcPr>
          <w:p w14:paraId="39EAE53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GV-1.6.4</w:t>
            </w:r>
          </w:p>
        </w:tc>
        <w:tc>
          <w:tcPr>
            <w:tcW w:w="2160" w:type="dxa"/>
          </w:tcPr>
          <w:p w14:paraId="0368B62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Risk-Based Inventory Resources</w:t>
            </w:r>
          </w:p>
        </w:tc>
        <w:tc>
          <w:tcPr>
            <w:tcW w:w="6740" w:type="dxa"/>
          </w:tcPr>
          <w:p w14:paraId="6320554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allocates and sustains resources to create, maintain, and govern the AI Inventory proportionate to the risk of each AI system or activity, ensuring higher-risk entries receive deeper classification, documentation, validation, and oversight throughout their lifecycle.</w:t>
            </w:r>
          </w:p>
          <w:p w14:paraId="6A74423B" w14:textId="77777777" w:rsidR="00963E47" w:rsidRPr="00963E47" w:rsidRDefault="00963E47" w:rsidP="004C3837">
            <w:pPr>
              <w:keepNext/>
              <w:rPr>
                <w:rFonts w:ascii="Aptos" w:hAnsi="Aptos" w:cs="Times New Roman"/>
                <w:b/>
                <w:bCs/>
                <w:color w:val="000000"/>
                <w:sz w:val="20"/>
                <w:szCs w:val="20"/>
              </w:rPr>
            </w:pPr>
          </w:p>
          <w:p w14:paraId="091DCF8B" w14:textId="77777777" w:rsidR="00963E47" w:rsidRPr="00963E47" w:rsidRDefault="00963E47" w:rsidP="004C3837">
            <w:pPr>
              <w:keepNext/>
              <w:rPr>
                <w:rFonts w:ascii="Aptos" w:hAnsi="Aptos" w:cs="Times New Roman"/>
                <w:b/>
                <w:bCs/>
                <w:color w:val="000000"/>
                <w:sz w:val="20"/>
                <w:szCs w:val="20"/>
              </w:rPr>
            </w:pPr>
            <w:hyperlink r:id="rId40" w:anchor="govern-1-6" w:history="1">
              <w:r w:rsidRPr="00963E47">
                <w:rPr>
                  <w:rFonts w:ascii="Aptos" w:hAnsi="Aptos" w:cs="Times New Roman"/>
                  <w:color w:val="000000"/>
                  <w:sz w:val="20"/>
                  <w:szCs w:val="20"/>
                  <w:u w:val="single"/>
                </w:rPr>
                <w:t>Link to NIST AI RMF Playbook</w:t>
              </w:r>
            </w:hyperlink>
          </w:p>
        </w:tc>
      </w:tr>
    </w:tbl>
    <w:p w14:paraId="09ECE7EB"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089E61B"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254D7B71"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472F0199" w14:textId="77777777" w:rsidTr="005C00A5">
        <w:trPr>
          <w:tblHeader/>
        </w:trPr>
        <w:tc>
          <w:tcPr>
            <w:tcW w:w="2160" w:type="dxa"/>
            <w:shd w:val="clear" w:color="auto" w:fill="CCDCDC"/>
            <w:vAlign w:val="center"/>
          </w:tcPr>
          <w:p w14:paraId="28856B87"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217AECD7"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03DCC2EF"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71CACAAA" w14:textId="77777777" w:rsidTr="005C00A5">
        <w:tc>
          <w:tcPr>
            <w:tcW w:w="2160" w:type="dxa"/>
            <w:shd w:val="clear" w:color="auto" w:fill="CCDCDC"/>
          </w:tcPr>
          <w:p w14:paraId="715D1BF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1C06438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759241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B92D6E6" w14:textId="77777777" w:rsidTr="005C00A5">
        <w:tc>
          <w:tcPr>
            <w:tcW w:w="2160" w:type="dxa"/>
            <w:shd w:val="clear" w:color="auto" w:fill="CCDCDC"/>
          </w:tcPr>
          <w:p w14:paraId="0BCDD81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72E6C4D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A1A3C9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have started to allocate resources for AI system inventory maintenance. However, the allocation may not be risk-based or prioritize high-risk systems, and resources may be limited or inconsistently applied.</w:t>
            </w:r>
          </w:p>
        </w:tc>
      </w:tr>
      <w:tr w:rsidR="00963E47" w:rsidRPr="00963E47" w14:paraId="5F684542" w14:textId="77777777" w:rsidTr="005C00A5">
        <w:tc>
          <w:tcPr>
            <w:tcW w:w="2160" w:type="dxa"/>
            <w:shd w:val="clear" w:color="auto" w:fill="CCDCDC"/>
          </w:tcPr>
          <w:p w14:paraId="4B4B2D4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1E1553E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340FE4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have established a risk-based approach to resource allocation for AI system inventory maintenance, prioritizing high-risk systems. However, the process may not yet be fully mature or consistently applied across all AI systems.</w:t>
            </w:r>
          </w:p>
        </w:tc>
      </w:tr>
      <w:tr w:rsidR="00963E47" w:rsidRPr="00963E47" w14:paraId="03F0A052" w14:textId="77777777" w:rsidTr="005C00A5">
        <w:tc>
          <w:tcPr>
            <w:tcW w:w="2160" w:type="dxa"/>
            <w:shd w:val="clear" w:color="auto" w:fill="CCDCDC"/>
          </w:tcPr>
          <w:p w14:paraId="3E35CFC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317157E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4469C8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risk-based resource allocation for AI system inventory maintenance, prioritizing high-risk systems, is fully integrated into the organization's overall technology and risk management processes. The allocation is consistently applied, regularly reviewed and updated based on best practices, and is deeply embedded into all aspects of the organization's AI governance and risk management activities.</w:t>
            </w:r>
          </w:p>
        </w:tc>
      </w:tr>
    </w:tbl>
    <w:p w14:paraId="41432E20"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66C2D93C" w14:textId="77777777" w:rsidTr="005C00A5">
        <w:tc>
          <w:tcPr>
            <w:tcW w:w="2250" w:type="dxa"/>
          </w:tcPr>
          <w:p w14:paraId="494D4E4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35C0CCA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40786B8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6C3B84B3" w14:textId="77777777" w:rsidTr="005C00A5">
        <w:tc>
          <w:tcPr>
            <w:tcW w:w="2250" w:type="dxa"/>
          </w:tcPr>
          <w:p w14:paraId="5C14CAE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24B906A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Disproportionate Inventory Resource Allocation</w:t>
            </w:r>
          </w:p>
        </w:tc>
        <w:tc>
          <w:tcPr>
            <w:tcW w:w="5300" w:type="dxa"/>
          </w:tcPr>
          <w:p w14:paraId="69408BA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Inventory resources are not allocated proportionally to the risk level of AI systems</w:t>
            </w:r>
          </w:p>
        </w:tc>
      </w:tr>
    </w:tbl>
    <w:p w14:paraId="425EB5D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673122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478D726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86BF29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Allocate personnel, budget, tools, and inventory processes proportionally to the risk level of each AI system or activity in the AI Inventory, ensuring higher-risk entries receive deeper classification, documentation, validation, and oversight. Establish clear criteria for risk-based inventory tiers and required metadata, considering factors such as purpose, model type, data sensitivity, impact, autonomy, dependencies, user population, external exposure, and third-party components. </w:t>
      </w:r>
    </w:p>
    <w:p w14:paraId="0046D577"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877EFB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Conduct regular reviews to assess whether inventory resourcing, metadata completeness, and update cadences remain appropriate as the AI portfolio and risk environment evolve, and adjust accordingly to ensure the Inventory remains accurate, current, and decision-useful.</w:t>
      </w:r>
    </w:p>
    <w:p w14:paraId="6C338C14"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091D2A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lastRenderedPageBreak/>
        <w:t xml:space="preserve">Example Controls and Evidence: </w:t>
      </w:r>
    </w:p>
    <w:p w14:paraId="454A2B9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97786D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Risk-Based Resource Allocation Framework</w:t>
      </w:r>
    </w:p>
    <w:p w14:paraId="097DB6E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and implement a framework that guides the allocation of resources based on the assessed risk level and potential impact of each AI system, ensuring high-risk systems receive prioritized attention.</w:t>
      </w:r>
    </w:p>
    <w:p w14:paraId="36DECE5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C9E438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Documented risk-based resource allocation policies and procedures.</w:t>
      </w:r>
    </w:p>
    <w:p w14:paraId="7E90A7A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assessments that inform resource prioritization decisions.</w:t>
      </w:r>
    </w:p>
    <w:p w14:paraId="0E7C417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Resource planning documents or budgets aligned with AI system risk profiles.</w:t>
      </w:r>
    </w:p>
    <w:p w14:paraId="4FE8CBB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Approval records for resource allocation adjustments based on risk evaluations.</w:t>
      </w:r>
    </w:p>
    <w:p w14:paraId="30DD43D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38066B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Prioritized Oversight and Oversight Capacity Planning</w:t>
      </w:r>
    </w:p>
    <w:p w14:paraId="5FF0A17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Allocate oversight activities—including monitoring, audits, and incident management—preferentially to high-risk AI systems, ensuring sufficient capacity to address potential issues.</w:t>
      </w:r>
    </w:p>
    <w:p w14:paraId="2D6F342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E30F23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Oversight schedules demonstrating increased monitoring for high-risk systems.</w:t>
      </w:r>
    </w:p>
    <w:p w14:paraId="56CA1D3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Staffing plans or capacity models showing resource focus on critical AI systems.</w:t>
      </w:r>
    </w:p>
    <w:p w14:paraId="22CEFDD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Oversight activity reports highlighting targeted management of high-risk systems.</w:t>
      </w:r>
    </w:p>
    <w:p w14:paraId="79ED633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or issue logs prioritized by risk level.</w:t>
      </w:r>
    </w:p>
    <w:p w14:paraId="2305339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99806D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Ongoing Monitoring and Adjustment of Resource Deployment</w:t>
      </w:r>
    </w:p>
    <w:p w14:paraId="784B0C5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review and adjust resource allocations based on evolving risk profiles, system changes, or incident trends to ensure ongoing effectiveness.</w:t>
      </w:r>
    </w:p>
    <w:p w14:paraId="722471B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B2A6D4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meeting minutes or reports assessing resource deployment adequacy.</w:t>
      </w:r>
    </w:p>
    <w:p w14:paraId="25AF8F9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risk assessments prompting reallocation of resources.</w:t>
      </w:r>
    </w:p>
    <w:p w14:paraId="5B2385D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documenting adjustments to oversight or management efforts.</w:t>
      </w:r>
    </w:p>
    <w:p w14:paraId="7CD3677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risk or operational teams indicating resource sufficiency.</w:t>
      </w:r>
    </w:p>
    <w:p w14:paraId="55354DE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8FB1CC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Risk Dashboard and Reporting for Resource Prioritization</w:t>
      </w:r>
    </w:p>
    <w:p w14:paraId="548C6B3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risk dashboards and detailed reporting mechanisms to visualize the risk profile of AI systems and guide resource prioritization and oversight activities.</w:t>
      </w:r>
    </w:p>
    <w:p w14:paraId="29FA044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78410A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Dashboards displaying AI system risk levels, impacts, and resource allocations.</w:t>
      </w:r>
    </w:p>
    <w:p w14:paraId="2080D61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Management reports summarizing resource distribution in relation to risk data.</w:t>
      </w:r>
    </w:p>
    <w:p w14:paraId="09A1824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presentations or dashboards used in decision-making on resource deployment.</w:t>
      </w:r>
    </w:p>
    <w:p w14:paraId="140F9C7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Automated alerts or notifications triggered by risk threshold changes.</w:t>
      </w:r>
    </w:p>
    <w:p w14:paraId="35F1227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EC42EC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of Resource Allocation with AI Governance and Strategy</w:t>
      </w:r>
    </w:p>
    <w:p w14:paraId="4742A82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Embed resource prioritization processes within broader AI governance and strategic planning to ensure alignment with organizational priorities and risk appetite.</w:t>
      </w:r>
    </w:p>
    <w:p w14:paraId="633A051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3E1EED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Strategic planning documents incorporating risk-based resource strategies.</w:t>
      </w:r>
    </w:p>
    <w:p w14:paraId="4D9388E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Governance committee minutes reviewing resource deployment aligned with risk priorities.</w:t>
      </w:r>
    </w:p>
    <w:p w14:paraId="2FF758D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Policies linking risk assessment outcomes to resource planning decisions.</w:t>
      </w:r>
    </w:p>
    <w:p w14:paraId="3F16F01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cross-functional discussions on balancing resources and risk management needs.</w:t>
      </w:r>
    </w:p>
    <w:p w14:paraId="6E04811B"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3DD9ED35"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6C6DE29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4E9AC0F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7185257F" w14:textId="77777777" w:rsidTr="005C00A5">
        <w:tc>
          <w:tcPr>
            <w:tcW w:w="1170" w:type="dxa"/>
          </w:tcPr>
          <w:p w14:paraId="21EA160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2C5CEBC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03CD2EB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2AC228CC" w14:textId="77777777" w:rsidTr="005C00A5">
        <w:tc>
          <w:tcPr>
            <w:tcW w:w="1170" w:type="dxa"/>
          </w:tcPr>
          <w:p w14:paraId="1BFC7A3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GV-1.6.5</w:t>
            </w:r>
          </w:p>
        </w:tc>
        <w:tc>
          <w:tcPr>
            <w:tcW w:w="2160" w:type="dxa"/>
          </w:tcPr>
          <w:p w14:paraId="3FEA4EC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Inventory Risk Analysis</w:t>
            </w:r>
          </w:p>
        </w:tc>
        <w:tc>
          <w:tcPr>
            <w:tcW w:w="6740" w:type="dxa"/>
          </w:tcPr>
          <w:p w14:paraId="1ADDE3B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analyzes inventory data to identify common risk patterns, interdependence, and potential cascading effects across AI systems. This portfolio-level risk analysis enables enterprise-wide risk mitigation strategies, optimal resource allocation, and overall risk management effectiveness.</w:t>
            </w:r>
          </w:p>
          <w:p w14:paraId="4D76BE9F" w14:textId="77777777" w:rsidR="00963E47" w:rsidRPr="00963E47" w:rsidRDefault="00963E47" w:rsidP="004C3837">
            <w:pPr>
              <w:keepNext/>
              <w:rPr>
                <w:rFonts w:ascii="Aptos" w:hAnsi="Aptos" w:cs="Times New Roman"/>
                <w:b/>
                <w:bCs/>
                <w:color w:val="000000"/>
                <w:sz w:val="20"/>
                <w:szCs w:val="20"/>
              </w:rPr>
            </w:pPr>
          </w:p>
          <w:p w14:paraId="5F7BC85B" w14:textId="77777777" w:rsidR="00963E47" w:rsidRPr="00963E47" w:rsidRDefault="00963E47" w:rsidP="004C3837">
            <w:pPr>
              <w:keepNext/>
              <w:rPr>
                <w:rFonts w:ascii="Aptos" w:hAnsi="Aptos" w:cs="Times New Roman"/>
                <w:b/>
                <w:bCs/>
                <w:color w:val="000000"/>
                <w:sz w:val="20"/>
                <w:szCs w:val="20"/>
              </w:rPr>
            </w:pPr>
            <w:hyperlink r:id="rId41" w:anchor="govern-1-6" w:history="1">
              <w:r w:rsidRPr="00963E47">
                <w:rPr>
                  <w:rFonts w:ascii="Aptos" w:hAnsi="Aptos" w:cs="Times New Roman"/>
                  <w:color w:val="000000"/>
                  <w:sz w:val="20"/>
                  <w:szCs w:val="20"/>
                  <w:u w:val="single"/>
                </w:rPr>
                <w:t>Link to NIST AI RMF Playbook</w:t>
              </w:r>
            </w:hyperlink>
          </w:p>
        </w:tc>
      </w:tr>
    </w:tbl>
    <w:p w14:paraId="75A3D680"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968D5C7"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35DDEEB6"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541025A4" w14:textId="77777777" w:rsidTr="005C00A5">
        <w:trPr>
          <w:tblHeader/>
        </w:trPr>
        <w:tc>
          <w:tcPr>
            <w:tcW w:w="2160" w:type="dxa"/>
            <w:shd w:val="clear" w:color="auto" w:fill="CCDCDC"/>
            <w:vAlign w:val="center"/>
          </w:tcPr>
          <w:p w14:paraId="1E1B9788"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239106F6"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0DC4DAF2"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354344E4" w14:textId="77777777" w:rsidTr="005C00A5">
        <w:tc>
          <w:tcPr>
            <w:tcW w:w="2160" w:type="dxa"/>
            <w:shd w:val="clear" w:color="auto" w:fill="CCDCDC"/>
          </w:tcPr>
          <w:p w14:paraId="0A80F97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10EF31D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358806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2CC32A4C" w14:textId="77777777" w:rsidTr="005C00A5">
        <w:tc>
          <w:tcPr>
            <w:tcW w:w="2160" w:type="dxa"/>
            <w:shd w:val="clear" w:color="auto" w:fill="CCDCDC"/>
          </w:tcPr>
          <w:p w14:paraId="70B6A54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29EECB4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8F9A88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minimal stage analyze inventory data to identify basic risk patterns and interdependencies to inform initial risk mitigation efforts. This provides foundational insights for enterprise-wide risk management that can be expanded as AI maturity increases.</w:t>
            </w:r>
          </w:p>
        </w:tc>
      </w:tr>
      <w:tr w:rsidR="00963E47" w:rsidRPr="00963E47" w14:paraId="0BF46842" w14:textId="77777777" w:rsidTr="005C00A5">
        <w:tc>
          <w:tcPr>
            <w:tcW w:w="2160" w:type="dxa"/>
            <w:shd w:val="clear" w:color="auto" w:fill="CCDCDC"/>
          </w:tcPr>
          <w:p w14:paraId="563A649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19331EC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92F704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analyze AI system inventory data to identify common risk patterns, interdependence, and potential cascading effects across AI systems. This portfolio-level risk analysis enables enterprise-wide risk mitigation strategies, optimal resource allocation, and overall risk management effectiveness, although the process may not yet be fully mature or consistently applied across all AI systems.</w:t>
            </w:r>
          </w:p>
        </w:tc>
      </w:tr>
      <w:tr w:rsidR="00963E47" w:rsidRPr="00963E47" w14:paraId="26A54C5F" w14:textId="77777777" w:rsidTr="005C00A5">
        <w:tc>
          <w:tcPr>
            <w:tcW w:w="2160" w:type="dxa"/>
            <w:shd w:val="clear" w:color="auto" w:fill="CCDCDC"/>
          </w:tcPr>
          <w:p w14:paraId="3A50727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3B44D5F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AD1332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analyze AI system inventory data to identify common risk patterns, interdependence, and potential cascading effects across AI systems that are fully integrated into the organization's overall technology and risk management processes. This portfolio-level risk analysis is consistently performed, regularly reviewed and updated based on best practices, and is deeply embedded into all aspects of the organization's AI governance and risk management activities, enabling enterprise-wide risk mitigation strategies, optimal resource allocation, and overall risk management effectiveness.</w:t>
            </w:r>
          </w:p>
        </w:tc>
      </w:tr>
    </w:tbl>
    <w:p w14:paraId="2E6F9821"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52A0AD06" w14:textId="77777777" w:rsidTr="005C00A5">
        <w:tc>
          <w:tcPr>
            <w:tcW w:w="2250" w:type="dxa"/>
          </w:tcPr>
          <w:p w14:paraId="0A2BE5A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511541C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378A606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791091A7" w14:textId="77777777" w:rsidTr="005C00A5">
        <w:tc>
          <w:tcPr>
            <w:tcW w:w="2250" w:type="dxa"/>
          </w:tcPr>
          <w:p w14:paraId="791AB11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1007DCF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Unknown Systemic Dependencies</w:t>
            </w:r>
          </w:p>
        </w:tc>
        <w:tc>
          <w:tcPr>
            <w:tcW w:w="5300" w:type="dxa"/>
          </w:tcPr>
          <w:p w14:paraId="18B529C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Inventory analysis fails to reveal systemic dependencies and cascading risks.</w:t>
            </w:r>
          </w:p>
        </w:tc>
      </w:tr>
    </w:tbl>
    <w:p w14:paraId="0BB0B61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5477FE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7301B28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32BC6E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Use the AI system inventory to inform risk management prioritization. Establish criteria for classifying systems as high-risk or mission-critical, and implement enhanced oversight, control, and reporting mechanisms for these systems. This may include more frequent risk assessments, targeted monitoring and testing, and regular reporting to senior leadership.</w:t>
      </w:r>
    </w:p>
    <w:p w14:paraId="617B6E1A"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73BCCE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Ensure risk management documentation, such as risk assessment reports, monitoring and mitigation plans, and meeting minutes or decision logs, are linked to the relevant AI systems in the inventory. Regularly review and update risk management documentation to ensure it remains current and aligned with your organization's risk management priorities.</w:t>
      </w:r>
    </w:p>
    <w:p w14:paraId="2C2FFA75"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7A813C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160A7DE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B8CAF8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Portfolio-Level Risk Data Collection and Analysis</w:t>
      </w:r>
    </w:p>
    <w:p w14:paraId="4F36B91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Aggregate and analyze inventory data across all AI systems to identify shared vulnerabilities, interdependencies, and potential cascading risks that could impact multiple systems or the broader organization.</w:t>
      </w:r>
    </w:p>
    <w:p w14:paraId="01687D0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0915A2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Centralized risk analysis reports highlighting interdependencies and common vulnerabilities.</w:t>
      </w:r>
    </w:p>
    <w:p w14:paraId="033D21A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analytics tools or dashboards used to detect patterns across AI systems.</w:t>
      </w:r>
    </w:p>
    <w:p w14:paraId="5B40D69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risk meetings where portfolio risk insights are discussed.</w:t>
      </w:r>
    </w:p>
    <w:p w14:paraId="6174B1D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heatmaps illustrating shared risk factors or cascading risk pathways.</w:t>
      </w:r>
    </w:p>
    <w:p w14:paraId="54D8460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8032CC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Identification of Common Risk Patterns and Interdependencies</w:t>
      </w:r>
    </w:p>
    <w:p w14:paraId="7CD869A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analysis results to detect recurring risk themes, interrelated systems, or dependencies that could amplify risk effects or cause cascading failures.</w:t>
      </w:r>
    </w:p>
    <w:p w14:paraId="155B57A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C3EB64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identified risk patterns and interdependencies in risk registers or reports.</w:t>
      </w:r>
    </w:p>
    <w:p w14:paraId="3CE2968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Mapping diagrams illustrating interdependencies among AI systems.</w:t>
      </w:r>
    </w:p>
    <w:p w14:paraId="5BB4CA5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sessions or post-incident reviews discussing cascades or common vulnerabilities.</w:t>
      </w:r>
    </w:p>
    <w:p w14:paraId="41C493D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Formal reports or dashboards tracking identified risk clusters.</w:t>
      </w:r>
    </w:p>
    <w:p w14:paraId="2D68D6E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A094B6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Cascading and Interdependence Risk Modeling</w:t>
      </w:r>
    </w:p>
    <w:p w14:paraId="419EDFC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models or simulations to understand how risks can propagate across interconnected AI systems and evaluate the potential impact of cascading failures.</w:t>
      </w:r>
    </w:p>
    <w:p w14:paraId="06FB869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A6762F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propagation models or simulation results demonstrating potential cascading effects.</w:t>
      </w:r>
    </w:p>
    <w:p w14:paraId="6B4D61B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Scenario analyses assessing interdependence risks and their organizational impact.</w:t>
      </w:r>
    </w:p>
    <w:p w14:paraId="12AAB99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Validation reports of models evaluating risk interdependencies.</w:t>
      </w:r>
    </w:p>
    <w:p w14:paraId="3A9DD4E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Incorporation of interdependence insights into risk mitigation plans and controls.</w:t>
      </w:r>
    </w:p>
    <w:p w14:paraId="53FD8AF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0C918E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Implementation of Enterprise-Wide Risk Mitigation Strategies</w:t>
      </w:r>
    </w:p>
    <w:p w14:paraId="7DCCE9F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insights from portfolio risk analysis to develop and deploy enterprise-wide strategies aimed at mitigating shared vulnerabilities and minimizing cascading impacts.</w:t>
      </w:r>
    </w:p>
    <w:p w14:paraId="3939CF8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9DC2E0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mitigation plans addressing common vulnerabilities and interdependencies.</w:t>
      </w:r>
    </w:p>
    <w:p w14:paraId="0EDFED7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Policies and procedures to strengthen controls on ecosystem interconnections.</w:t>
      </w:r>
    </w:p>
    <w:p w14:paraId="3FA6879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Coordinated action records across departments to manage shared risks.</w:t>
      </w:r>
    </w:p>
    <w:p w14:paraId="72AC61A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Regular review and updates of mitigation strategies based on analysis findings.</w:t>
      </w:r>
    </w:p>
    <w:p w14:paraId="5A2B2D8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57EFA4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Monitoring and Feedback for Portfolio Risk Management</w:t>
      </w:r>
    </w:p>
    <w:p w14:paraId="3355166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Continuously monitor risk patterns and relationships, feeding back lessons learned to refine risk models, resource allocation, and mitigation approaches at the portfolio level.</w:t>
      </w:r>
    </w:p>
    <w:p w14:paraId="6249D46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5670D0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Ongoing risk monitoring dashboards tracking interdependencies and cascading risks.</w:t>
      </w:r>
    </w:p>
    <w:p w14:paraId="1D6A83B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loops from incident and operational data informing updates to risk models.</w:t>
      </w:r>
    </w:p>
    <w:p w14:paraId="1A4B6DE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Periodic risk review meetings reviewing portfolio risk insights and adjusting mitigation strategies.</w:t>
      </w:r>
    </w:p>
    <w:p w14:paraId="5AC404C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Documentation of lessons learned incorporated into risk management processes.</w:t>
      </w:r>
    </w:p>
    <w:p w14:paraId="2CF7C8D8"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38E0C0B0"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214CFEF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21DD700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08DF5EC9" w14:textId="77777777" w:rsidTr="005C00A5">
        <w:tc>
          <w:tcPr>
            <w:tcW w:w="1170" w:type="dxa"/>
          </w:tcPr>
          <w:p w14:paraId="47201F9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3668327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5665579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37EABD35" w14:textId="77777777" w:rsidTr="005C00A5">
        <w:tc>
          <w:tcPr>
            <w:tcW w:w="1170" w:type="dxa"/>
          </w:tcPr>
          <w:p w14:paraId="7C43E75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GV-1.6.6</w:t>
            </w:r>
          </w:p>
        </w:tc>
        <w:tc>
          <w:tcPr>
            <w:tcW w:w="2160" w:type="dxa"/>
          </w:tcPr>
          <w:p w14:paraId="540EAF6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Inventory Audits</w:t>
            </w:r>
          </w:p>
        </w:tc>
        <w:tc>
          <w:tcPr>
            <w:tcW w:w="6740" w:type="dxa"/>
          </w:tcPr>
          <w:p w14:paraId="526CB2B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conducts regular audits of the AI system inventory to verify completeness, accuracy, and timeliness.</w:t>
            </w:r>
          </w:p>
          <w:p w14:paraId="2F106F85" w14:textId="77777777" w:rsidR="00963E47" w:rsidRPr="00963E47" w:rsidRDefault="00963E47" w:rsidP="004C3837">
            <w:pPr>
              <w:keepNext/>
              <w:rPr>
                <w:rFonts w:ascii="Aptos" w:hAnsi="Aptos" w:cs="Times New Roman"/>
                <w:b/>
                <w:bCs/>
                <w:color w:val="000000"/>
                <w:sz w:val="20"/>
                <w:szCs w:val="20"/>
              </w:rPr>
            </w:pPr>
          </w:p>
          <w:p w14:paraId="249309C6" w14:textId="77777777" w:rsidR="00963E47" w:rsidRPr="00963E47" w:rsidRDefault="00963E47" w:rsidP="004C3837">
            <w:pPr>
              <w:keepNext/>
              <w:rPr>
                <w:rFonts w:ascii="Aptos" w:hAnsi="Aptos" w:cs="Times New Roman"/>
                <w:b/>
                <w:bCs/>
                <w:color w:val="000000"/>
                <w:sz w:val="20"/>
                <w:szCs w:val="20"/>
              </w:rPr>
            </w:pPr>
            <w:hyperlink r:id="rId42" w:anchor="govern-1-6" w:history="1">
              <w:r w:rsidRPr="00963E47">
                <w:rPr>
                  <w:rFonts w:ascii="Aptos" w:hAnsi="Aptos" w:cs="Times New Roman"/>
                  <w:color w:val="000000"/>
                  <w:sz w:val="20"/>
                  <w:szCs w:val="20"/>
                  <w:u w:val="single"/>
                </w:rPr>
                <w:t>Link to NIST AI RMF Playbook</w:t>
              </w:r>
            </w:hyperlink>
          </w:p>
        </w:tc>
      </w:tr>
    </w:tbl>
    <w:p w14:paraId="436970A5"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F135457"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639764BF"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4230577C" w14:textId="77777777" w:rsidTr="005C00A5">
        <w:trPr>
          <w:tblHeader/>
        </w:trPr>
        <w:tc>
          <w:tcPr>
            <w:tcW w:w="2160" w:type="dxa"/>
            <w:shd w:val="clear" w:color="auto" w:fill="CCDCDC"/>
            <w:vAlign w:val="center"/>
          </w:tcPr>
          <w:p w14:paraId="4200D6BE"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353B0B52"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352E0987"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271CB266" w14:textId="77777777" w:rsidTr="005C00A5">
        <w:tc>
          <w:tcPr>
            <w:tcW w:w="2160" w:type="dxa"/>
            <w:shd w:val="clear" w:color="auto" w:fill="CCDCDC"/>
          </w:tcPr>
          <w:p w14:paraId="539908E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30F7BCD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B13868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6C3F4206" w14:textId="77777777" w:rsidTr="005C00A5">
        <w:tc>
          <w:tcPr>
            <w:tcW w:w="2160" w:type="dxa"/>
            <w:shd w:val="clear" w:color="auto" w:fill="CCDCDC"/>
          </w:tcPr>
          <w:p w14:paraId="12F4C63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53656A5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4AEAD6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have started to conduct audits of their AI system inventory. However, these audits may be infrequent, limited in scope, or not fully verify the completeness, accuracy, and timeliness of the inventory.</w:t>
            </w:r>
          </w:p>
        </w:tc>
      </w:tr>
      <w:tr w:rsidR="00963E47" w:rsidRPr="00963E47" w14:paraId="6BDF4347" w14:textId="77777777" w:rsidTr="005C00A5">
        <w:tc>
          <w:tcPr>
            <w:tcW w:w="2160" w:type="dxa"/>
            <w:shd w:val="clear" w:color="auto" w:fill="CCDCDC"/>
          </w:tcPr>
          <w:p w14:paraId="51D4D8E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6D916E4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F40969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conduct regular audits of their AI system inventory to verify completeness, accuracy, and timeliness. However, the audit process may not yet be fully mature or consistently applied across all AI systems.</w:t>
            </w:r>
          </w:p>
        </w:tc>
      </w:tr>
      <w:tr w:rsidR="00963E47" w:rsidRPr="00963E47" w14:paraId="4C715011" w14:textId="77777777" w:rsidTr="005C00A5">
        <w:tc>
          <w:tcPr>
            <w:tcW w:w="2160" w:type="dxa"/>
            <w:shd w:val="clear" w:color="auto" w:fill="CCDCDC"/>
          </w:tcPr>
          <w:p w14:paraId="6F24DBD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7412102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403AF8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conduct regular audits of the AI system inventory to verify completeness, accuracy, and timeliness across the organization's overall technology and risk management processes. The audits are consistently performed, regularly reviewed and updated based on best practices, and are deeply embedded into all aspects of the organization's AI governance and risk management activities.</w:t>
            </w:r>
          </w:p>
        </w:tc>
      </w:tr>
    </w:tbl>
    <w:p w14:paraId="3219726B"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29F0E241" w14:textId="77777777" w:rsidTr="005C00A5">
        <w:tc>
          <w:tcPr>
            <w:tcW w:w="2250" w:type="dxa"/>
          </w:tcPr>
          <w:p w14:paraId="15474F5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6BBB4F4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0BDC9FF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5D9A46A5" w14:textId="77777777" w:rsidTr="005C00A5">
        <w:tc>
          <w:tcPr>
            <w:tcW w:w="2250" w:type="dxa"/>
          </w:tcPr>
          <w:p w14:paraId="19249B3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2C62C73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Irregular Inventory Audits</w:t>
            </w:r>
          </w:p>
        </w:tc>
        <w:tc>
          <w:tcPr>
            <w:tcW w:w="5300" w:type="dxa"/>
          </w:tcPr>
          <w:p w14:paraId="6481AB6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Audits of the AI system inventory are not regularly conducted</w:t>
            </w:r>
          </w:p>
        </w:tc>
      </w:tr>
    </w:tbl>
    <w:p w14:paraId="0294FDD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8D9CE2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46C7AEB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58600C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Conduct regular audits of the AI system inventory to ensure its completeness, accuracy, and timeliness. Establish an audit plan that defines the scope, frequency, and methodology of audits, and assign responsibility for conducting audits to qualified personnel.</w:t>
      </w:r>
    </w:p>
    <w:p w14:paraId="30D81CB8"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6DD29DA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criteria for evaluating the quality and effectiveness of the inventory, such as the percentage of systems with complete and accurate information and the frequency of updates. Use audit findings to identify areas for improvement in inventory management processes and tools, and develop and implement action plans to address identified gaps. Communicate audit results and improvement actions to relevant stakeholders, including senior leadership and risk management personnel.</w:t>
      </w:r>
    </w:p>
    <w:p w14:paraId="43F5FAB6"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E9FEE0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lastRenderedPageBreak/>
        <w:t xml:space="preserve">Example Controls and Evidence: </w:t>
      </w:r>
    </w:p>
    <w:p w14:paraId="687C9C6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F88E4E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Scheduled Inventory Audit Program</w:t>
      </w:r>
    </w:p>
    <w:p w14:paraId="11C312D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periodic audit schedule to systematically review the AI system inventory, ensuring it reflects the current state of all AI systems within the organization.</w:t>
      </w:r>
    </w:p>
    <w:p w14:paraId="03B6AB8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1DF49B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calendar or schedule outlining planned audit cycles.</w:t>
      </w:r>
    </w:p>
    <w:p w14:paraId="3E1AB12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plans detailing scope, methodology, and frequency.</w:t>
      </w:r>
    </w:p>
    <w:p w14:paraId="210A818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Confirmation records of audit plan approval and scheduling.</w:t>
      </w:r>
    </w:p>
    <w:p w14:paraId="2B16FA0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Automated alerts or reminders for upcoming audits.</w:t>
      </w:r>
    </w:p>
    <w:p w14:paraId="2B82689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4F3030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Verification of Inventory Completeness and Accuracy</w:t>
      </w:r>
    </w:p>
    <w:p w14:paraId="39C7264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Verify that the inventory captures all relevant AI systems and attributes, ensuring data completeness and correctness through cross-referencing with other repositories and stakeholder input.</w:t>
      </w:r>
    </w:p>
    <w:p w14:paraId="2813BD9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85C4CB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Cross-reference reports comparing inventory data with procurement, deployment, or operational records.</w:t>
      </w:r>
    </w:p>
    <w:p w14:paraId="27F8486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Discrepancy logs or correction reports following audits.</w:t>
      </w:r>
    </w:p>
    <w:p w14:paraId="7AFD455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Interview or interview notes from key personnel confirming inventory coverage.</w:t>
      </w:r>
    </w:p>
    <w:p w14:paraId="6159285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Reconciliation documentation showing updates made after audits.</w:t>
      </w:r>
    </w:p>
    <w:p w14:paraId="346D6B72"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4BFC61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Validation of Inventory Timeliness</w:t>
      </w:r>
    </w:p>
    <w:p w14:paraId="2C1F136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Assess whether the inventory is up-to-date by comparing last update timestamps with recent system changes, additions, or retirements.</w:t>
      </w:r>
    </w:p>
    <w:p w14:paraId="3F3764D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B23E4C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trail logs showing recent updates or modifications.</w:t>
      </w:r>
    </w:p>
    <w:p w14:paraId="3B0C258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scheduled review or update activities.</w:t>
      </w:r>
    </w:p>
    <w:p w14:paraId="5C09266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System change request or change management records confirming recent updates.</w:t>
      </w:r>
    </w:p>
    <w:p w14:paraId="66122BC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reports highlighting outdated or incomplete entries.</w:t>
      </w:r>
    </w:p>
    <w:p w14:paraId="6225871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4BD7B5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and Reporting of Audit Findings</w:t>
      </w:r>
    </w:p>
    <w:p w14:paraId="0431929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 audit findings, including any deficiencies in completeness, accuracy, or timeliness, and develop action plans to address identified gaps.</w:t>
      </w:r>
    </w:p>
    <w:p w14:paraId="7CD1B0D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379862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Formal audit reports listing findings and recommendations.</w:t>
      </w:r>
    </w:p>
    <w:p w14:paraId="381CC84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Corrective action plans with assigned responsibilities and deadlines.</w:t>
      </w:r>
    </w:p>
    <w:p w14:paraId="433D4A6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Follow-up reports verifying closure of audit issues.</w:t>
      </w:r>
    </w:p>
    <w:p w14:paraId="215B304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discussing audit outcomes and remediation steps.</w:t>
      </w:r>
    </w:p>
    <w:p w14:paraId="4256C5E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5F28FF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Improvement of Audit Processes</w:t>
      </w:r>
    </w:p>
    <w:p w14:paraId="158A1CA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Review and refine the audit procedures periodically based on lessons learned, audit outcomes, and evolving organizational needs to enhance ongoing verification efforts.</w:t>
      </w:r>
    </w:p>
    <w:p w14:paraId="6E78DF7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E20F08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and update logs for audit procedures and checklists.</w:t>
      </w:r>
    </w:p>
    <w:p w14:paraId="40B85C4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surveys or debriefs from auditors and stakeholders.</w:t>
      </w:r>
    </w:p>
    <w:p w14:paraId="7BB83B6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process improvement initiatives based on previous audits.</w:t>
      </w:r>
    </w:p>
    <w:p w14:paraId="65CC8A3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or awareness sessions for audit teams on best practices and lessons learned.</w:t>
      </w:r>
    </w:p>
    <w:p w14:paraId="72DEE359"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15" w:name="_Toc214874760"/>
      <w:r w:rsidRPr="00963E47">
        <w:rPr>
          <w:rFonts w:ascii="Aptos" w:eastAsia="Aptos" w:hAnsi="Aptos" w:cs="Times New Roman"/>
          <w:b/>
          <w:bCs/>
          <w:noProof/>
          <w:color w:val="35256B"/>
          <w:kern w:val="2"/>
          <w:sz w:val="24"/>
          <w14:ligatures w14:val="standardContextual"/>
        </w:rPr>
        <w:lastRenderedPageBreak/>
        <w:t>GOVERN / Establishing Key Policies &amp; Processes / Establishing Decommisioning Processes</w:t>
      </w:r>
      <w:bookmarkEnd w:id="15"/>
      <w:r w:rsidRPr="00963E47">
        <w:rPr>
          <w:rFonts w:ascii="Aptos" w:eastAsia="Aptos" w:hAnsi="Aptos" w:cs="Times New Roman"/>
          <w:b/>
          <w:bCs/>
          <w:noProof/>
          <w:color w:val="35256B"/>
          <w:kern w:val="2"/>
          <w:sz w:val="24"/>
          <w14:ligatures w14:val="standardContextual"/>
        </w:rPr>
        <w:t xml:space="preserve"> </w:t>
      </w:r>
    </w:p>
    <w:p w14:paraId="6BC4D433"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790DA6E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1BC9E2C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615B5FF1" w14:textId="77777777" w:rsidTr="005C00A5">
        <w:tc>
          <w:tcPr>
            <w:tcW w:w="1170" w:type="dxa"/>
          </w:tcPr>
          <w:p w14:paraId="2B0E094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5486642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42BCD59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11BDED40" w14:textId="77777777" w:rsidTr="005C00A5">
        <w:tc>
          <w:tcPr>
            <w:tcW w:w="1170" w:type="dxa"/>
          </w:tcPr>
          <w:p w14:paraId="097C891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GV-1.7.1</w:t>
            </w:r>
          </w:p>
        </w:tc>
        <w:tc>
          <w:tcPr>
            <w:tcW w:w="2160" w:type="dxa"/>
          </w:tcPr>
          <w:p w14:paraId="09A386A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System Decommissioning Policies and Impact Procedures</w:t>
            </w:r>
          </w:p>
        </w:tc>
        <w:tc>
          <w:tcPr>
            <w:tcW w:w="6740" w:type="dxa"/>
          </w:tcPr>
          <w:p w14:paraId="61718BF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establishes and follows comprehensive policies and procedures for decommissioning AI systems. These explicitly define criteria for retirement based on AI-specific factors (e.g., performance, data quality, regulatory compliance, strategic alignment, and risk tolerance). The decommissioning process incorporates thorough impact assessments to identify and mitigate potential risks such as data loss, operational disruption, and reputational damage. It ensures adequate resources for system transition or replacement, including for critical or revenue-generating systems, and includes provisions for rapid decommissioning in emergencies, supported by automated tools for timely decision-making.</w:t>
            </w:r>
          </w:p>
          <w:p w14:paraId="5C13274B" w14:textId="77777777" w:rsidR="00963E47" w:rsidRPr="00963E47" w:rsidRDefault="00963E47" w:rsidP="004C3837">
            <w:pPr>
              <w:keepNext/>
              <w:rPr>
                <w:rFonts w:ascii="Aptos" w:hAnsi="Aptos" w:cs="Times New Roman"/>
                <w:b/>
                <w:bCs/>
                <w:color w:val="000000"/>
                <w:sz w:val="20"/>
                <w:szCs w:val="20"/>
              </w:rPr>
            </w:pPr>
          </w:p>
          <w:p w14:paraId="65D75AA9" w14:textId="77777777" w:rsidR="00963E47" w:rsidRPr="00963E47" w:rsidRDefault="00963E47" w:rsidP="004C3837">
            <w:pPr>
              <w:keepNext/>
              <w:rPr>
                <w:rFonts w:ascii="Aptos" w:hAnsi="Aptos" w:cs="Times New Roman"/>
                <w:b/>
                <w:bCs/>
                <w:color w:val="000000"/>
                <w:sz w:val="20"/>
                <w:szCs w:val="20"/>
              </w:rPr>
            </w:pPr>
            <w:hyperlink r:id="rId43" w:anchor="govern-1-7" w:history="1">
              <w:r w:rsidRPr="00963E47">
                <w:rPr>
                  <w:rFonts w:ascii="Aptos" w:hAnsi="Aptos" w:cs="Times New Roman"/>
                  <w:color w:val="000000"/>
                  <w:sz w:val="20"/>
                  <w:szCs w:val="20"/>
                  <w:u w:val="single"/>
                </w:rPr>
                <w:t>Link to NIST AI RMF Playbook</w:t>
              </w:r>
            </w:hyperlink>
          </w:p>
        </w:tc>
      </w:tr>
    </w:tbl>
    <w:p w14:paraId="3E435A49"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8EB788A"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3C7C0DB1"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74DD31D1" w14:textId="77777777" w:rsidTr="005C00A5">
        <w:trPr>
          <w:tblHeader/>
        </w:trPr>
        <w:tc>
          <w:tcPr>
            <w:tcW w:w="2160" w:type="dxa"/>
            <w:shd w:val="clear" w:color="auto" w:fill="CCDCDC"/>
            <w:vAlign w:val="center"/>
          </w:tcPr>
          <w:p w14:paraId="7E2604AE"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138E8F0F"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5F12F210"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75C79E25" w14:textId="77777777" w:rsidTr="005C00A5">
        <w:tc>
          <w:tcPr>
            <w:tcW w:w="2160" w:type="dxa"/>
            <w:shd w:val="clear" w:color="auto" w:fill="CCDCDC"/>
          </w:tcPr>
          <w:p w14:paraId="64CD0F3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29CEA22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72F89D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088B30AB" w14:textId="77777777" w:rsidTr="005C00A5">
        <w:tc>
          <w:tcPr>
            <w:tcW w:w="2160" w:type="dxa"/>
            <w:shd w:val="clear" w:color="auto" w:fill="CCDCDC"/>
          </w:tcPr>
          <w:p w14:paraId="060AF5B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6D8051B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ECB4E6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have initiated decommissioning policies and procedures, but these are limited. They often lack full consideration of AI-specific factors (e.g., business impact, risk tolerance, performance, data quality, regulatory needs, stakeholder feedback), comprehensive risk assessments, mitigation plans, secure data handling, consistent communication, or dedicated budget.</w:t>
            </w:r>
          </w:p>
        </w:tc>
      </w:tr>
      <w:tr w:rsidR="00963E47" w:rsidRPr="00963E47" w14:paraId="4C977538" w14:textId="77777777" w:rsidTr="005C00A5">
        <w:tc>
          <w:tcPr>
            <w:tcW w:w="2160" w:type="dxa"/>
            <w:shd w:val="clear" w:color="auto" w:fill="CCDCDC"/>
          </w:tcPr>
          <w:p w14:paraId="5ED6B79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6E4EAAF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B00E67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have established comprehensive decommissioning policies and procedures, covering AI-specific factors, risk tolerance, strategic goals, and budget allocation. They conduct impact assessments, develop mitigation plans, manage safe system retirement, process transitions, stakeholder communication, and secure data handling. However, implementation may still lack full maturity or consistent application across all AI systems.</w:t>
            </w:r>
          </w:p>
        </w:tc>
      </w:tr>
      <w:tr w:rsidR="00963E47" w:rsidRPr="00963E47" w14:paraId="523F33A1" w14:textId="77777777" w:rsidTr="005C00A5">
        <w:tc>
          <w:tcPr>
            <w:tcW w:w="2160" w:type="dxa"/>
            <w:shd w:val="clear" w:color="auto" w:fill="CCDCDC"/>
          </w:tcPr>
          <w:p w14:paraId="6978D27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5B2DFE8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E89A9A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comprehensive decommissioning policies and procedures are fully integrated into the organization's technology and risk management. These are consistently applied, regularly reviewed, and deeply embedded into AI governance, ensuring appropriate, safe, and secure retirement of AI systems, with all factors consistently addressed and processes executed.</w:t>
            </w:r>
          </w:p>
        </w:tc>
      </w:tr>
    </w:tbl>
    <w:p w14:paraId="5DAC82E6"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41E45B1A" w14:textId="77777777" w:rsidTr="005C00A5">
        <w:tc>
          <w:tcPr>
            <w:tcW w:w="2250" w:type="dxa"/>
          </w:tcPr>
          <w:p w14:paraId="3E26A27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lastRenderedPageBreak/>
              <w:t>AI Principle</w:t>
            </w:r>
          </w:p>
        </w:tc>
        <w:tc>
          <w:tcPr>
            <w:tcW w:w="2520" w:type="dxa"/>
          </w:tcPr>
          <w:p w14:paraId="6B33CB8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3D13F68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0D1D8B40" w14:textId="77777777" w:rsidTr="005C00A5">
        <w:tc>
          <w:tcPr>
            <w:tcW w:w="2250" w:type="dxa"/>
          </w:tcPr>
          <w:p w14:paraId="7087BCA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225E169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Inadequate Decommissioning Policies and Procedures</w:t>
            </w:r>
          </w:p>
        </w:tc>
        <w:tc>
          <w:tcPr>
            <w:tcW w:w="5300" w:type="dxa"/>
          </w:tcPr>
          <w:p w14:paraId="0E9534F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system decommissioning policies and procedures inadequately address AI-specific factors</w:t>
            </w:r>
          </w:p>
        </w:tc>
      </w:tr>
    </w:tbl>
    <w:p w14:paraId="4173CD7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29E6FC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6332F07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43F265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and maintain clear AI system decommissioning policies and procedures, explicitly defining criteria that incorporate AI-specific factors (e.g., performance, data quality, regulatory compliance, risk thresholds) while balancing ongoing business value with inherent risks, even for profitable systems.</w:t>
      </w:r>
    </w:p>
    <w:p w14:paraId="75AFE5FF"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78175F8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Implement comprehensive risk and impact assessments, regularly reviewing AI systems against these criteria with defined thresholds. Engage multidisciplinary stakeholders (e.g., business, technical, risk, and legal experts) to identify and mitigate potential risks like data loss, operational disruption, and reputational damage through documented plans encompassing data handling, contingency measures, and regulatory compliance.</w:t>
      </w:r>
    </w:p>
    <w:p w14:paraId="33B86322"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43BFE5E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Employ automated monitoring tools for continuous evaluation against predefined indicators (e.g., performance degradation, data drift), configuring alerts and establishing formal processes for validation, risk assessment, and execution. Additionally, integrate decommissioning costs into budgeting, allocating sufficient resources based on potential impact, system complexity, and regulatory requirements.</w:t>
      </w:r>
    </w:p>
    <w:p w14:paraId="33E3542A"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3209E2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clear procedures for accelerated decommissioning during incidents or emergencies, integrating them into existing incident response plans. Periodically review and refine all aspects—decommissioning criteria, assessment practices, and procedures—to adapt to evolving risks, regulations, and AI advancements, ensuring seamless integration of transition management, stakeholder communication, and data handling for transparency and integrity throughout the lifecycle.</w:t>
      </w:r>
    </w:p>
    <w:p w14:paraId="056048A4"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9CF627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0401537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1EC973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Formulation of AI Decommissioning Policies Incorporating AI-Specific Factors</w:t>
      </w:r>
    </w:p>
    <w:p w14:paraId="2C72B4C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clear policies for decommissioning AI systems that include AI-specific considerations such as performance, data quality, transparency issues, compliance, and stakeholder concerns.</w:t>
      </w:r>
    </w:p>
    <w:p w14:paraId="478F452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E5C24A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Formalized decommissioning policy documents referencing AI-specific factors.</w:t>
      </w:r>
    </w:p>
    <w:p w14:paraId="0FF826A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Criteria checklists that include performance metrics, legal/regulatory compliance status, and stakeholder feedback.</w:t>
      </w:r>
    </w:p>
    <w:p w14:paraId="3DF0207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Approval records for policy development or updates.</w:t>
      </w:r>
    </w:p>
    <w:p w14:paraId="401A9E3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Communication plans outlining how AI considerations are integrated into decommissioning decisions.</w:t>
      </w:r>
    </w:p>
    <w:p w14:paraId="5833AEA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1BFB88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Defined Decommissioning Criteria and Triggers</w:t>
      </w:r>
    </w:p>
    <w:p w14:paraId="4317AD1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explicit criteria and thresholds, based on AI-related factors and organizational risk appetite, that trigger the decommissioning process.</w:t>
      </w:r>
    </w:p>
    <w:p w14:paraId="7E57800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DD85DD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Documented decommissioning thresholds for performance, data quality, or risk indicators.</w:t>
      </w:r>
    </w:p>
    <w:p w14:paraId="7096044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reports or assessments showing triggers for rapid decommissioning.</w:t>
      </w:r>
    </w:p>
    <w:p w14:paraId="462E467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System-specific decommissioning decision matrices.</w:t>
      </w:r>
    </w:p>
    <w:p w14:paraId="78534CF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periodic reviews where criteria are assessed and updated.</w:t>
      </w:r>
    </w:p>
    <w:p w14:paraId="2EBD00A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3CF5EB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Resource Planning and Allocation for Decommissioning</w:t>
      </w:r>
    </w:p>
    <w:p w14:paraId="6570531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Plan and allocate resources (personnel, financial, technical) for effective decommissioning or replacement of AI systems, considering complexity and regulatory obligations.</w:t>
      </w:r>
    </w:p>
    <w:p w14:paraId="21315CD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7DC2C39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Project plans or budgets dedicated to system retirement or replacement.</w:t>
      </w:r>
    </w:p>
    <w:p w14:paraId="33D6A03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Resource allocation records aligning with decommissioning timelines.</w:t>
      </w:r>
    </w:p>
    <w:p w14:paraId="4BCD63E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assessments assessing business impact and complexity before decommissioning.</w:t>
      </w:r>
    </w:p>
    <w:p w14:paraId="217D78E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Status reports on ongoing decommissioning activities.</w:t>
      </w:r>
    </w:p>
    <w:p w14:paraId="6594A27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22999E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Rapid Decommissioning Procedures for Incidents and Emergencies</w:t>
      </w:r>
    </w:p>
    <w:p w14:paraId="61030C1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and implement procedures enabling rapid decommissioning of AI systems when urgent risks or incidents arise, minimizing harm or compliance violations.</w:t>
      </w:r>
    </w:p>
    <w:p w14:paraId="4CF4876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BFB769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Emergency response or rapid decommissioning protocols.</w:t>
      </w:r>
    </w:p>
    <w:p w14:paraId="5900BE6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logs and responses demonstrating swift actions taken.</w:t>
      </w:r>
    </w:p>
    <w:p w14:paraId="0C95E09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Communication records during incidents requiring swift decommissioning.</w:t>
      </w:r>
    </w:p>
    <w:p w14:paraId="6CD6EDC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Drills or simulations testing rapid decommissioning readiness.</w:t>
      </w:r>
    </w:p>
    <w:p w14:paraId="0C6BF59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4B9215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Approval, and Review of Decommissioning Activities</w:t>
      </w:r>
    </w:p>
    <w:p w14:paraId="6D40894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thorough documentation of decommissioning decisions, approvals, and post-decommissioning reviews to ensure accountability and lessons learned.</w:t>
      </w:r>
    </w:p>
    <w:p w14:paraId="5FE03D7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8A3E19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decommissioning approval workflows and sign-offs.</w:t>
      </w:r>
    </w:p>
    <w:p w14:paraId="021331E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Decommissioning project documentation and timelines.</w:t>
      </w:r>
    </w:p>
    <w:p w14:paraId="356D698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Post-decommissioning performance and compliance review reports.</w:t>
      </w:r>
    </w:p>
    <w:p w14:paraId="4175D28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documentation used to refine decommissioning policies and practices.</w:t>
      </w:r>
    </w:p>
    <w:p w14:paraId="601B8E1D"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16" w:name="_Toc214874761"/>
      <w:r w:rsidRPr="00963E47">
        <w:rPr>
          <w:rFonts w:ascii="Aptos" w:eastAsia="Aptos" w:hAnsi="Aptos" w:cs="Times New Roman"/>
          <w:b/>
          <w:bCs/>
          <w:noProof/>
          <w:color w:val="35256B"/>
          <w:kern w:val="2"/>
          <w:sz w:val="24"/>
          <w14:ligatures w14:val="standardContextual"/>
        </w:rPr>
        <w:t>GOVERN / Defining Roles and Responsibilities / Establishing and Communicating Roles and Responsibilities</w:t>
      </w:r>
      <w:bookmarkEnd w:id="16"/>
      <w:r w:rsidRPr="00963E47">
        <w:rPr>
          <w:rFonts w:ascii="Aptos" w:eastAsia="Aptos" w:hAnsi="Aptos" w:cs="Times New Roman"/>
          <w:b/>
          <w:bCs/>
          <w:noProof/>
          <w:color w:val="35256B"/>
          <w:kern w:val="2"/>
          <w:sz w:val="24"/>
          <w14:ligatures w14:val="standardContextual"/>
        </w:rPr>
        <w:t xml:space="preserve"> </w:t>
      </w:r>
    </w:p>
    <w:p w14:paraId="1C27EA65"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4257E1D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407F8A9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1F333F9E" w14:textId="77777777" w:rsidTr="005C00A5">
        <w:tc>
          <w:tcPr>
            <w:tcW w:w="1170" w:type="dxa"/>
          </w:tcPr>
          <w:p w14:paraId="77F5618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1BAB769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1BF19D7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2451796B" w14:textId="77777777" w:rsidTr="005C00A5">
        <w:tc>
          <w:tcPr>
            <w:tcW w:w="1170" w:type="dxa"/>
          </w:tcPr>
          <w:p w14:paraId="0C1C524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GV-2.1.1</w:t>
            </w:r>
          </w:p>
        </w:tc>
        <w:tc>
          <w:tcPr>
            <w:tcW w:w="2160" w:type="dxa"/>
          </w:tcPr>
          <w:p w14:paraId="358CA13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Risk Management Roles and Responsibilities</w:t>
            </w:r>
          </w:p>
        </w:tc>
        <w:tc>
          <w:tcPr>
            <w:tcW w:w="6740" w:type="dxa"/>
          </w:tcPr>
          <w:p w14:paraId="6F11A2C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defines and documents key AI risk management roles and responsibilities (e.g., AI system owners, developers, data scientists, risk managers, independent validation, additional second and third line personnel), across levels and functions. It establishes clear expectations, organizational structures for independent oversight, decision-making authority, escalation, and accountability, ensuring a structured, transparent, and accountable approach to AI risk management that aligns with existing organizational practices, industry best practices, and regulatory expectations.</w:t>
            </w:r>
          </w:p>
          <w:p w14:paraId="129DB5E9" w14:textId="77777777" w:rsidR="00963E47" w:rsidRPr="00963E47" w:rsidRDefault="00963E47" w:rsidP="004C3837">
            <w:pPr>
              <w:keepNext/>
              <w:rPr>
                <w:rFonts w:ascii="Aptos" w:hAnsi="Aptos" w:cs="Times New Roman"/>
                <w:b/>
                <w:bCs/>
                <w:color w:val="000000"/>
                <w:sz w:val="20"/>
                <w:szCs w:val="20"/>
              </w:rPr>
            </w:pPr>
          </w:p>
          <w:p w14:paraId="47585F6B" w14:textId="77777777" w:rsidR="00963E47" w:rsidRPr="00963E47" w:rsidRDefault="00963E47" w:rsidP="004C3837">
            <w:pPr>
              <w:keepNext/>
              <w:rPr>
                <w:rFonts w:ascii="Aptos" w:hAnsi="Aptos" w:cs="Times New Roman"/>
                <w:b/>
                <w:bCs/>
                <w:color w:val="000000"/>
                <w:sz w:val="20"/>
                <w:szCs w:val="20"/>
              </w:rPr>
            </w:pPr>
            <w:hyperlink r:id="rId44" w:anchor="govern-2-1" w:history="1">
              <w:r w:rsidRPr="00963E47">
                <w:rPr>
                  <w:rFonts w:ascii="Aptos" w:hAnsi="Aptos" w:cs="Times New Roman"/>
                  <w:color w:val="000000"/>
                  <w:sz w:val="20"/>
                  <w:szCs w:val="20"/>
                  <w:u w:val="single"/>
                </w:rPr>
                <w:t>Link to NIST AI RMF Playbook</w:t>
              </w:r>
            </w:hyperlink>
          </w:p>
        </w:tc>
      </w:tr>
    </w:tbl>
    <w:p w14:paraId="64ABC6C6"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CF59005"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63A2CD7B"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111E360F" w14:textId="77777777" w:rsidTr="005C00A5">
        <w:trPr>
          <w:tblHeader/>
        </w:trPr>
        <w:tc>
          <w:tcPr>
            <w:tcW w:w="2160" w:type="dxa"/>
            <w:shd w:val="clear" w:color="auto" w:fill="CCDCDC"/>
            <w:vAlign w:val="center"/>
          </w:tcPr>
          <w:p w14:paraId="77B1D454"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7C2B82E3"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2C493FB8"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26A30D60" w14:textId="77777777" w:rsidTr="005C00A5">
        <w:tc>
          <w:tcPr>
            <w:tcW w:w="2160" w:type="dxa"/>
            <w:shd w:val="clear" w:color="auto" w:fill="CCDCDC"/>
          </w:tcPr>
          <w:p w14:paraId="4F0CAA7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33F4D9A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534F5CA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1E128AA1" w14:textId="77777777" w:rsidTr="005C00A5">
        <w:tc>
          <w:tcPr>
            <w:tcW w:w="2160" w:type="dxa"/>
            <w:shd w:val="clear" w:color="auto" w:fill="CCDCDC"/>
          </w:tcPr>
          <w:p w14:paraId="5844DC0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64B94B8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392B41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have started to define and document some AI risk management roles and responsibilities. However, the process may be incomplete, inconsistently applied, and lack clear expectations or accountability measures.</w:t>
            </w:r>
          </w:p>
        </w:tc>
      </w:tr>
      <w:tr w:rsidR="00963E47" w:rsidRPr="00963E47" w14:paraId="77EB1DCA" w14:textId="77777777" w:rsidTr="005C00A5">
        <w:tc>
          <w:tcPr>
            <w:tcW w:w="2160" w:type="dxa"/>
            <w:shd w:val="clear" w:color="auto" w:fill="CCDCDC"/>
          </w:tcPr>
          <w:p w14:paraId="485CFA8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3: Evolving</w:t>
            </w:r>
          </w:p>
        </w:tc>
        <w:tc>
          <w:tcPr>
            <w:tcW w:w="1350" w:type="dxa"/>
          </w:tcPr>
          <w:p w14:paraId="32042E8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579422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have comprehensively defined, documented, and communicated AI risk management roles and responsibilities across relevant functions. Clear expectations, decision-making authority, and accountability measures are established to ensure a structured approach.</w:t>
            </w:r>
          </w:p>
        </w:tc>
      </w:tr>
      <w:tr w:rsidR="00963E47" w:rsidRPr="00963E47" w14:paraId="66B3C7FA" w14:textId="77777777" w:rsidTr="005C00A5">
        <w:tc>
          <w:tcPr>
            <w:tcW w:w="2160" w:type="dxa"/>
            <w:shd w:val="clear" w:color="auto" w:fill="CCDCDC"/>
          </w:tcPr>
          <w:p w14:paraId="11E2CFD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454CFFF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60486C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AI risk management roles and responsibilities are fully integrated into the organization's overall risk management framework. They are regularly reviewed, updated, and communicated to ensure continued alignment with the organization's AI strategy and risk landscape.</w:t>
            </w:r>
          </w:p>
        </w:tc>
      </w:tr>
    </w:tbl>
    <w:p w14:paraId="1A0B9E6F"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264E8353" w14:textId="77777777" w:rsidTr="005C00A5">
        <w:tc>
          <w:tcPr>
            <w:tcW w:w="2250" w:type="dxa"/>
          </w:tcPr>
          <w:p w14:paraId="4AC9CF4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3B21D78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1C55E56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34DC784E" w14:textId="77777777" w:rsidTr="005C00A5">
        <w:tc>
          <w:tcPr>
            <w:tcW w:w="2250" w:type="dxa"/>
          </w:tcPr>
          <w:p w14:paraId="2D10D80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7A3B517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Undefined Risk Roles</w:t>
            </w:r>
          </w:p>
        </w:tc>
        <w:tc>
          <w:tcPr>
            <w:tcW w:w="5300" w:type="dxa"/>
          </w:tcPr>
          <w:p w14:paraId="50B1176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Key AI risk roles and responsibilities are not defined or documented</w:t>
            </w:r>
          </w:p>
        </w:tc>
      </w:tr>
    </w:tbl>
    <w:p w14:paraId="09001BA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431D54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66CF9EB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608CCD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Identify and document the key roles and responsibilities involved in establishing a comprehensive and accountable approach to AI risk management. This should include, but is not limited to, AI system owners, developers, data scientists, risk managers, and personnel involved in independent validation, audit, or other second and third line tasks. For each role, clearly define the scope of their responsibilities, the expectations for their performance, the extent of their decision-making authority, and their accountability in managing AI risks. Where applicable, integrate these roles into existing job descriptions and responsibilities. Specify minimum skill requirements, knowledge, training, or education needed to fulfill each role effectively.</w:t>
      </w:r>
    </w:p>
    <w:p w14:paraId="5AA71F55"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869E7C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and document organizational structures that support independent oversight, decision-making authority, and accountability across all levels and functions. These structures should foster transparency and ensure that responsibilities are clearly assigned and understood, aligning with industry best practices and regulatory expectations.</w:t>
      </w:r>
    </w:p>
    <w:p w14:paraId="71EEA133"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6AAB19C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Engage relevant stakeholders, such as department heads and senior management, to ensure the defined roles and responsibilities align with the organization's overall risk management strategy and governance structure.</w:t>
      </w:r>
    </w:p>
    <w:p w14:paraId="41092264"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16791F2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Regularly review and update the documentation of roles, responsibilities, and organizational structures to reflect changes in AI initiatives, organizational priorities, industry standards, and regulatory landscapes. This ongoing review ensures a structured, transparent, and responsible approach to AI risk management that supports effective governance and oversight.</w:t>
      </w:r>
    </w:p>
    <w:p w14:paraId="3FAD30A6"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230387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3EF2A66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DE6F61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Role and Responsibility Framework</w:t>
      </w:r>
    </w:p>
    <w:p w14:paraId="207CACE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Define and document a comprehensive framework listing AI risk management roles, responsibilities, authorities, and interdependencies across first, second, and third lines of defense.</w:t>
      </w:r>
    </w:p>
    <w:p w14:paraId="6A02B34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4A4609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Role descriptions and RACI matrices for AI roles (owners, developers, data scientists, risk managers, independent validators).</w:t>
      </w:r>
    </w:p>
    <w:p w14:paraId="311A6AB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Organizational charts showing positions and reporting lines for AI governance.</w:t>
      </w:r>
    </w:p>
    <w:p w14:paraId="5D7D54A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Job descriptions and performance objectives incorporating AI risk responsibilities.</w:t>
      </w:r>
    </w:p>
    <w:p w14:paraId="2C25B13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Onboarding materials explaining role-specific AI risk duties.</w:t>
      </w:r>
    </w:p>
    <w:p w14:paraId="3D0D1C7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B0A00F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Independent Oversight and Second/Third Line Functions</w:t>
      </w:r>
    </w:p>
    <w:p w14:paraId="09D491C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independent oversight functions (e.g., risk, compliance, internal audit, independent validation) with clear mandates to review, challenge, and validate AI risk controls and decisions.</w:t>
      </w:r>
    </w:p>
    <w:p w14:paraId="3AE924A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D31198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Charters or mandates for risk, compliance, internal audit, and independent validation teams covering AI oversight.</w:t>
      </w:r>
    </w:p>
    <w:p w14:paraId="7FAE171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independent assessments, challenge sessions, or validation reports.</w:t>
      </w:r>
    </w:p>
    <w:p w14:paraId="54B93B5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from oversight committees documenting reviews and challenge outcomes.</w:t>
      </w:r>
    </w:p>
    <w:p w14:paraId="6125DB2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Conflict-of-interest and independence declarations for oversight personnel.</w:t>
      </w:r>
    </w:p>
    <w:p w14:paraId="04557EF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EF4F07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Decision Authority, Escalation, and Accountability Processes</w:t>
      </w:r>
    </w:p>
    <w:p w14:paraId="75B9250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 decision-making authorities, escalation paths, and accountability mechanisms for AI risk decisions, including thresholds for escalation to senior leadership or the board.</w:t>
      </w:r>
    </w:p>
    <w:p w14:paraId="5ACE285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1EDED9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Formal escalation policies and decision matrices specifying authority levels and thresholds.</w:t>
      </w:r>
    </w:p>
    <w:p w14:paraId="0FBF9F5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Decision logs and approval records showing escalation instances and resolutions.</w:t>
      </w:r>
    </w:p>
    <w:p w14:paraId="45512B1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response and escalation flowcharts tied to AI system events.</w:t>
      </w:r>
    </w:p>
    <w:p w14:paraId="55EE102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Signed delegations of authority for AI risk decisions.</w:t>
      </w:r>
    </w:p>
    <w:p w14:paraId="28EF88D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86212B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Role-Specific Training and Competency Management</w:t>
      </w:r>
    </w:p>
    <w:p w14:paraId="357522E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Define required competencies and provide targeted training, certification, and continuous development to ensure personnel can fulfill AI risk responsibilities effectively.</w:t>
      </w:r>
    </w:p>
    <w:p w14:paraId="69C85CF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6A27AC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curricula, attendance records, and certification records for AI risk roles.</w:t>
      </w:r>
    </w:p>
    <w:p w14:paraId="624C9CA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Competency assessments and skill-gap analysis reports.</w:t>
      </w:r>
    </w:p>
    <w:p w14:paraId="3022784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continuing professional development tied to AI governance.</w:t>
      </w:r>
    </w:p>
    <w:p w14:paraId="356D0BD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Role-based testing or practical assessments validating skills.</w:t>
      </w:r>
    </w:p>
    <w:p w14:paraId="336B2A7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148F36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with Governance, Policies, and Performance Management</w:t>
      </w:r>
    </w:p>
    <w:p w14:paraId="56AE2D3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Embed role definitions and accountability into governance bodies, policies, KPIs, and performance management processes to ensure sustained oversight and alignment with organizational and regulatory expectations.</w:t>
      </w:r>
    </w:p>
    <w:p w14:paraId="7308F09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903B73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Governance committee charters and minutes referencing role responsibilities and AI risk metrics.</w:t>
      </w:r>
    </w:p>
    <w:p w14:paraId="5E9970E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Policies and SOPs explicitly assigning responsibilities to named roles.</w:t>
      </w:r>
    </w:p>
    <w:p w14:paraId="3F8D54A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KPIs and performance review documents linking role performance to AI risk outcomes.</w:t>
      </w:r>
    </w:p>
    <w:p w14:paraId="2BF4E1A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reports verifying role compliance and governance integration.</w:t>
      </w:r>
    </w:p>
    <w:p w14:paraId="6C82C2B3"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6F743BD8"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5928C02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0B61A88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74CE7972" w14:textId="77777777" w:rsidTr="005C00A5">
        <w:tc>
          <w:tcPr>
            <w:tcW w:w="1170" w:type="dxa"/>
          </w:tcPr>
          <w:p w14:paraId="3C8A707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2609A55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5B194DE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4F0F4BB7" w14:textId="77777777" w:rsidTr="005C00A5">
        <w:tc>
          <w:tcPr>
            <w:tcW w:w="1170" w:type="dxa"/>
          </w:tcPr>
          <w:p w14:paraId="3016052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GV-2.1.2</w:t>
            </w:r>
          </w:p>
        </w:tc>
        <w:tc>
          <w:tcPr>
            <w:tcW w:w="2160" w:type="dxa"/>
          </w:tcPr>
          <w:p w14:paraId="57D04AA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Risk Communication and Escalation</w:t>
            </w:r>
          </w:p>
        </w:tc>
        <w:tc>
          <w:tcPr>
            <w:tcW w:w="6740" w:type="dxa"/>
          </w:tcPr>
          <w:p w14:paraId="6CCD16A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establishes clear communication channels, escalation procedures, reporting lines, and decision-making authority for AI risk management, so stakeholders know whom to contact, collaborate with, and rely on for authorized decisions related to AI risks.</w:t>
            </w:r>
          </w:p>
          <w:p w14:paraId="12EAD5AB" w14:textId="77777777" w:rsidR="00963E47" w:rsidRPr="00963E47" w:rsidRDefault="00963E47" w:rsidP="004C3837">
            <w:pPr>
              <w:keepNext/>
              <w:rPr>
                <w:rFonts w:ascii="Aptos" w:hAnsi="Aptos" w:cs="Times New Roman"/>
                <w:b/>
                <w:bCs/>
                <w:color w:val="000000"/>
                <w:sz w:val="20"/>
                <w:szCs w:val="20"/>
              </w:rPr>
            </w:pPr>
          </w:p>
          <w:p w14:paraId="5613C23C" w14:textId="77777777" w:rsidR="00963E47" w:rsidRPr="00963E47" w:rsidRDefault="00963E47" w:rsidP="004C3837">
            <w:pPr>
              <w:keepNext/>
              <w:rPr>
                <w:rFonts w:ascii="Aptos" w:hAnsi="Aptos" w:cs="Times New Roman"/>
                <w:b/>
                <w:bCs/>
                <w:color w:val="000000"/>
                <w:sz w:val="20"/>
                <w:szCs w:val="20"/>
              </w:rPr>
            </w:pPr>
            <w:hyperlink r:id="rId45" w:anchor="govern-2-1" w:history="1">
              <w:r w:rsidRPr="00963E47">
                <w:rPr>
                  <w:rFonts w:ascii="Aptos" w:hAnsi="Aptos" w:cs="Times New Roman"/>
                  <w:color w:val="000000"/>
                  <w:sz w:val="20"/>
                  <w:szCs w:val="20"/>
                  <w:u w:val="single"/>
                </w:rPr>
                <w:t>Link to NIST AI RMF Playbook</w:t>
              </w:r>
            </w:hyperlink>
          </w:p>
        </w:tc>
      </w:tr>
    </w:tbl>
    <w:p w14:paraId="18D8961B"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8034F7E"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lastRenderedPageBreak/>
        <w:t>Adoption Stage Applicability:</w:t>
      </w:r>
      <w:r w:rsidRPr="00963E47">
        <w:rPr>
          <w:rFonts w:ascii="Aptos" w:eastAsia="Aptos" w:hAnsi="Aptos" w:cs="Times New Roman"/>
          <w:color w:val="C00000"/>
          <w:kern w:val="2"/>
          <w:sz w:val="20"/>
          <w:szCs w:val="20"/>
          <w14:ligatures w14:val="standardContextual"/>
        </w:rPr>
        <w:t xml:space="preserve"> </w:t>
      </w:r>
    </w:p>
    <w:p w14:paraId="420D6BC4"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530CCFDA" w14:textId="77777777" w:rsidTr="005C00A5">
        <w:trPr>
          <w:tblHeader/>
        </w:trPr>
        <w:tc>
          <w:tcPr>
            <w:tcW w:w="2160" w:type="dxa"/>
            <w:shd w:val="clear" w:color="auto" w:fill="CCDCDC"/>
            <w:vAlign w:val="center"/>
          </w:tcPr>
          <w:p w14:paraId="17EC13A0"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56B9974C"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28EE24F7"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279CB0D9" w14:textId="77777777" w:rsidTr="005C00A5">
        <w:tc>
          <w:tcPr>
            <w:tcW w:w="2160" w:type="dxa"/>
            <w:shd w:val="clear" w:color="auto" w:fill="CCDCDC"/>
          </w:tcPr>
          <w:p w14:paraId="2D8EB9E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577EDFB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959083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6B77F038" w14:textId="77777777" w:rsidTr="005C00A5">
        <w:tc>
          <w:tcPr>
            <w:tcW w:w="2160" w:type="dxa"/>
            <w:shd w:val="clear" w:color="auto" w:fill="CCDCDC"/>
          </w:tcPr>
          <w:p w14:paraId="41393545"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4ABD79F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1FE14F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have started to establish some communication channels and reporting lines for AI risk management. However, these may be informal, inconsistently applied, or not well-understood by all stakeholders.</w:t>
            </w:r>
          </w:p>
        </w:tc>
      </w:tr>
      <w:tr w:rsidR="00963E47" w:rsidRPr="00963E47" w14:paraId="5F2B9874" w14:textId="77777777" w:rsidTr="005C00A5">
        <w:tc>
          <w:tcPr>
            <w:tcW w:w="2160" w:type="dxa"/>
            <w:shd w:val="clear" w:color="auto" w:fill="CCDCDC"/>
          </w:tcPr>
          <w:p w14:paraId="73478B0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1AAD80F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D3902C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have established clear and well-documented communication channels, escalation paths, and reporting lines for AI risk management. These are communicated to all relevant stakeholders and regularly used for collaboration and issue resolution.</w:t>
            </w:r>
          </w:p>
        </w:tc>
      </w:tr>
      <w:tr w:rsidR="00963E47" w:rsidRPr="00963E47" w14:paraId="23460A91" w14:textId="77777777" w:rsidTr="005C00A5">
        <w:tc>
          <w:tcPr>
            <w:tcW w:w="2160" w:type="dxa"/>
            <w:shd w:val="clear" w:color="auto" w:fill="CCDCDC"/>
          </w:tcPr>
          <w:p w14:paraId="26847B0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437069B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A93CDA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AI risk management communication channels, escalation paths, and reporting lines are fully integrated into the organization's overall communication and risk management processes. They are regularly reviewed, updated, and tested to ensure their effectiveness and alignment with the organization's AI risk management strategy.</w:t>
            </w:r>
          </w:p>
        </w:tc>
      </w:tr>
    </w:tbl>
    <w:p w14:paraId="5110104D"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1295BE26" w14:textId="77777777" w:rsidTr="005C00A5">
        <w:tc>
          <w:tcPr>
            <w:tcW w:w="2250" w:type="dxa"/>
          </w:tcPr>
          <w:p w14:paraId="704E399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0403DA4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22D9A4D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4674E374" w14:textId="77777777" w:rsidTr="005C00A5">
        <w:tc>
          <w:tcPr>
            <w:tcW w:w="2250" w:type="dxa"/>
          </w:tcPr>
          <w:p w14:paraId="15AC7CD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153D1C9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Unclear Communication Channels</w:t>
            </w:r>
          </w:p>
        </w:tc>
        <w:tc>
          <w:tcPr>
            <w:tcW w:w="5300" w:type="dxa"/>
          </w:tcPr>
          <w:p w14:paraId="647DBAD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Communication channels for AI risk management lack clarity and authority</w:t>
            </w:r>
          </w:p>
        </w:tc>
      </w:tr>
    </w:tbl>
    <w:p w14:paraId="0D46B8D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D2D4EC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7E33A66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E84426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dedicated AI oversight roles, such as an AI Risk Manager, with clearly defined decision-making authority to provide guidance, oversight, and effective challenge on AI risk management practices. These roles should be empowered to independently assess AI systems, investigate potential risks, and make authorized decisions, ensuring they serve as central points of contact for AI risk issues.</w:t>
      </w:r>
    </w:p>
    <w:p w14:paraId="52F3E958"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724BA7D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and formalize communication channels, escalation paths, and reporting lines that clearly delineate the decision-making authority of these roles and other key stakeholders. Ensure that all relevant personnel understand whom to contact for specific AI risk concerns and where to escalate issues requiring senior or board-level attention. Regularly review the effectiveness of these structures, and adjust roles, authority, and communication pathways as needed to maintain clear, effective, and authoritative decision-making processes across the organization.</w:t>
      </w:r>
    </w:p>
    <w:p w14:paraId="5B72B8E6"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B2C28A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48201AA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2AB7B4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Defined Communication Channels</w:t>
      </w:r>
    </w:p>
    <w:p w14:paraId="57A4D08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and implement defined communication channels for AI risk management to ensure stakeholders have clear points of contact for issues, collaboration, and information exchange.</w:t>
      </w:r>
    </w:p>
    <w:p w14:paraId="68E1537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74BD67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outlining established communication channels, including contact information for key personnel.</w:t>
      </w:r>
    </w:p>
    <w:p w14:paraId="236EA19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Logs of communications sent through designated channels, demonstrating adherence to defined pathways.</w:t>
      </w:r>
    </w:p>
    <w:p w14:paraId="6638FC7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stakeholder feedback assessing the clarity and accessibility of the communication channels.</w:t>
      </w:r>
    </w:p>
    <w:p w14:paraId="333A0AF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Communication maps illustrating how different stakeholder groups connect within the risk management framework.</w:t>
      </w:r>
    </w:p>
    <w:p w14:paraId="54C3863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C01AA3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Escalation Procedure Documentation</w:t>
      </w:r>
    </w:p>
    <w:p w14:paraId="16EB50C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and document escalation procedures that clarify steps for reporting and addressing AI risks, including criteria for escalating issues to higher authorities.</w:t>
      </w:r>
    </w:p>
    <w:p w14:paraId="5C86ABA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3573D27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Written escalation procedures detailing steps, criteria for escalation, and responsible parties for each stage.</w:t>
      </w:r>
    </w:p>
    <w:p w14:paraId="375E5DA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logs that track escalation actions taken, including timelines and outcomes.</w:t>
      </w:r>
    </w:p>
    <w:p w14:paraId="3A3A8BA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materials related to escalation procedures provided to relevant stakeholders.</w:t>
      </w:r>
    </w:p>
    <w:p w14:paraId="730C7F4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personnel who have used the escalation process, evaluating its effectiveness and clarity.</w:t>
      </w:r>
    </w:p>
    <w:p w14:paraId="417B991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DABE5B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Reporting Lines and Decision-Making Authority</w:t>
      </w:r>
    </w:p>
    <w:p w14:paraId="06993ED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Clearly define reporting lines and decision-making authority within the AI risk management framework to ensure accountability and efficient risk resolution.</w:t>
      </w:r>
    </w:p>
    <w:p w14:paraId="400D1E1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247491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Organizational charts illustrating reporting lines and decision-making authority for AI risk management.</w:t>
      </w:r>
    </w:p>
    <w:p w14:paraId="13CBEC2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decisions made and actions taken, including the roles and responsibilities involved in each decision.</w:t>
      </w:r>
    </w:p>
    <w:p w14:paraId="11300E4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capturing discussions about reporting structures and authorities within the risk management process.</w:t>
      </w:r>
    </w:p>
    <w:p w14:paraId="7BA09FC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stakeholder approval or acceptance of defined reporting lines and decision-making roles.</w:t>
      </w:r>
    </w:p>
    <w:p w14:paraId="5C1E2A92"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C54135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Stakeholder Training and Awareness</w:t>
      </w:r>
    </w:p>
    <w:p w14:paraId="10776E9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training sessions to ensure stakeholders understand the communication channels, escalation procedures, and decision-making authorities related to AI risks.</w:t>
      </w:r>
    </w:p>
    <w:p w14:paraId="50DB4DB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841F0D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materials covering the organization’s AI risk communication and escalation framework.</w:t>
      </w:r>
    </w:p>
    <w:p w14:paraId="64C0AC1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Attendance records from training sessions showing participation by relevant stakeholders.</w:t>
      </w:r>
    </w:p>
    <w:p w14:paraId="4E96B53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surveys assessing the effectiveness of training in improving stakeholder awareness and understanding.</w:t>
      </w:r>
    </w:p>
    <w:p w14:paraId="06B3B88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follow-up assessments confirming stakeholders’ ability to navigate communication and escalation processes.</w:t>
      </w:r>
    </w:p>
    <w:p w14:paraId="37BBFFC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250F14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Improvement and Review</w:t>
      </w:r>
    </w:p>
    <w:p w14:paraId="3645052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review and update communication, escalation, and decision-making processes based on feedback and industry best practices to ensure they remain effective and relevant.</w:t>
      </w:r>
    </w:p>
    <w:p w14:paraId="10E3E3F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1AD4E0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and documentation indicating periodic assessments of communication and escalation processes.</w:t>
      </w:r>
    </w:p>
    <w:p w14:paraId="409821F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plans created to address issues identified during reviews, detailing improvements to be made.</w:t>
      </w:r>
    </w:p>
    <w:p w14:paraId="275BC10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stakeholder feedback used to inform changes or updates to the communication framework.</w:t>
      </w:r>
    </w:p>
    <w:p w14:paraId="0608B0D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highlighting improvements made to the communication and escalation processes over time.</w:t>
      </w:r>
    </w:p>
    <w:p w14:paraId="1673E6CB"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7769BB4E"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2E439D1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72ED673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698BE284" w14:textId="77777777" w:rsidTr="005C00A5">
        <w:tc>
          <w:tcPr>
            <w:tcW w:w="1170" w:type="dxa"/>
          </w:tcPr>
          <w:p w14:paraId="189DCB9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7897A68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6CDCB15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293405A7" w14:textId="77777777" w:rsidTr="005C00A5">
        <w:tc>
          <w:tcPr>
            <w:tcW w:w="1170" w:type="dxa"/>
          </w:tcPr>
          <w:p w14:paraId="367DDDA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GV-2.1.3</w:t>
            </w:r>
          </w:p>
        </w:tc>
        <w:tc>
          <w:tcPr>
            <w:tcW w:w="2160" w:type="dxa"/>
          </w:tcPr>
          <w:p w14:paraId="15AD71F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Roles and Processes Review/Update</w:t>
            </w:r>
          </w:p>
        </w:tc>
        <w:tc>
          <w:tcPr>
            <w:tcW w:w="6740" w:type="dxa"/>
          </w:tcPr>
          <w:p w14:paraId="39F9D4D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regularly reviews and updates roles, responsibilities, and communication lines to align with its evolving AI strategy, risk landscape, and industry best practices, utilizing stakeholder consultations and gap analysis.</w:t>
            </w:r>
          </w:p>
          <w:p w14:paraId="40671A37" w14:textId="77777777" w:rsidR="00963E47" w:rsidRPr="00963E47" w:rsidRDefault="00963E47" w:rsidP="004C3837">
            <w:pPr>
              <w:keepNext/>
              <w:rPr>
                <w:rFonts w:ascii="Aptos" w:hAnsi="Aptos" w:cs="Times New Roman"/>
                <w:b/>
                <w:bCs/>
                <w:color w:val="000000"/>
                <w:sz w:val="20"/>
                <w:szCs w:val="20"/>
              </w:rPr>
            </w:pPr>
          </w:p>
          <w:p w14:paraId="4E658F37" w14:textId="77777777" w:rsidR="00963E47" w:rsidRPr="00963E47" w:rsidRDefault="00963E47" w:rsidP="004C3837">
            <w:pPr>
              <w:keepNext/>
              <w:rPr>
                <w:rFonts w:ascii="Aptos" w:hAnsi="Aptos" w:cs="Times New Roman"/>
                <w:b/>
                <w:bCs/>
                <w:color w:val="000000"/>
                <w:sz w:val="20"/>
                <w:szCs w:val="20"/>
              </w:rPr>
            </w:pPr>
            <w:hyperlink r:id="rId46" w:anchor="govern-2-1" w:history="1">
              <w:r w:rsidRPr="00963E47">
                <w:rPr>
                  <w:rFonts w:ascii="Aptos" w:hAnsi="Aptos" w:cs="Times New Roman"/>
                  <w:color w:val="000000"/>
                  <w:sz w:val="20"/>
                  <w:szCs w:val="20"/>
                  <w:u w:val="single"/>
                </w:rPr>
                <w:t>Link to NIST AI RMF Playbook</w:t>
              </w:r>
            </w:hyperlink>
          </w:p>
        </w:tc>
      </w:tr>
    </w:tbl>
    <w:p w14:paraId="4BC994E2"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F618B4E"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lastRenderedPageBreak/>
        <w:t>Adoption Stage Applicability:</w:t>
      </w:r>
      <w:r w:rsidRPr="00963E47">
        <w:rPr>
          <w:rFonts w:ascii="Aptos" w:eastAsia="Aptos" w:hAnsi="Aptos" w:cs="Times New Roman"/>
          <w:color w:val="C00000"/>
          <w:kern w:val="2"/>
          <w:sz w:val="20"/>
          <w:szCs w:val="20"/>
          <w14:ligatures w14:val="standardContextual"/>
        </w:rPr>
        <w:t xml:space="preserve"> </w:t>
      </w:r>
    </w:p>
    <w:p w14:paraId="2C29E3B6"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1A5242F1" w14:textId="77777777" w:rsidTr="005C00A5">
        <w:trPr>
          <w:tblHeader/>
        </w:trPr>
        <w:tc>
          <w:tcPr>
            <w:tcW w:w="2160" w:type="dxa"/>
            <w:shd w:val="clear" w:color="auto" w:fill="CCDCDC"/>
            <w:vAlign w:val="center"/>
          </w:tcPr>
          <w:p w14:paraId="5E1195AE"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63A828DF"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4534EC19"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3A6CAED0" w14:textId="77777777" w:rsidTr="005C00A5">
        <w:tc>
          <w:tcPr>
            <w:tcW w:w="2160" w:type="dxa"/>
            <w:shd w:val="clear" w:color="auto" w:fill="CCDCDC"/>
          </w:tcPr>
          <w:p w14:paraId="60DED27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5F3C306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31A138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3670BD50" w14:textId="77777777" w:rsidTr="005C00A5">
        <w:tc>
          <w:tcPr>
            <w:tcW w:w="2160" w:type="dxa"/>
            <w:shd w:val="clear" w:color="auto" w:fill="CCDCDC"/>
          </w:tcPr>
          <w:p w14:paraId="767B29F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6E04EE3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E33DB4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49A38D0C" w14:textId="77777777" w:rsidTr="005C00A5">
        <w:tc>
          <w:tcPr>
            <w:tcW w:w="2160" w:type="dxa"/>
            <w:shd w:val="clear" w:color="auto" w:fill="CCDCDC"/>
          </w:tcPr>
          <w:p w14:paraId="1E1B839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20936C4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52ACC8E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conduct regular reviews and updates of AI risk management roles, responsibilities, and communication lines. They utilize stakeholder consultations and gap analysis to identify areas for improvement and ensure alignment with the organization's AI strategy and risk landscape.</w:t>
            </w:r>
          </w:p>
        </w:tc>
      </w:tr>
      <w:tr w:rsidR="00963E47" w:rsidRPr="00963E47" w14:paraId="1F2A0D97" w14:textId="77777777" w:rsidTr="005C00A5">
        <w:tc>
          <w:tcPr>
            <w:tcW w:w="2160" w:type="dxa"/>
            <w:shd w:val="clear" w:color="auto" w:fill="CCDCDC"/>
          </w:tcPr>
          <w:p w14:paraId="2266E45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6053D04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A69FD6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regularly review and update AI risk management roles, responsibilities, and communication lines. This is fully integrated into the organization's overall strategy and risk management processes. This process is data-driven, incorporates industry best practices, and is fully integrated into the organization's overall strategy and risk management processes.</w:t>
            </w:r>
          </w:p>
        </w:tc>
      </w:tr>
    </w:tbl>
    <w:p w14:paraId="2B5818CC"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33DADB4B" w14:textId="77777777" w:rsidTr="005C00A5">
        <w:tc>
          <w:tcPr>
            <w:tcW w:w="2250" w:type="dxa"/>
          </w:tcPr>
          <w:p w14:paraId="6DBC13C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634F0EE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6AFAD56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10281BEA" w14:textId="77777777" w:rsidTr="005C00A5">
        <w:tc>
          <w:tcPr>
            <w:tcW w:w="2250" w:type="dxa"/>
          </w:tcPr>
          <w:p w14:paraId="6E1B894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316F9D5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Outdated Responsibilities</w:t>
            </w:r>
          </w:p>
        </w:tc>
        <w:tc>
          <w:tcPr>
            <w:tcW w:w="5300" w:type="dxa"/>
          </w:tcPr>
          <w:p w14:paraId="21F35C4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Roles, responsibilities, and communication lines are not regularly reviewed or updated</w:t>
            </w:r>
          </w:p>
        </w:tc>
      </w:tr>
    </w:tbl>
    <w:p w14:paraId="6DC386B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11523B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230793D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4BEBA8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and maintain clear communication, escalation, and reporting lines for AI risk management that are regularly reviewed and updated to reflect the organization’s evolving AI strategy, risk landscape, and industry best practices. Conduct stakeholder consultations and gap analyses to identify areas where roles, responsibilities, or communication pathways need refinement, and incorporate these findings into the update process.</w:t>
      </w:r>
    </w:p>
    <w:p w14:paraId="5407A1B4"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43D35CF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Document these communication channels in a centralized repository, such as an intranet site or shared document, ensuring they are easily accessible to all relevant stakeholders. Regularly test the effectiveness of these channels through simulated scenarios or feedback surveys, and implement improvements as needed. Provide ongoing training to relevant personnel on the use of these communication pathways, encouraging their consistent use for collaboration, issue escalation, and information sharing.</w:t>
      </w:r>
    </w:p>
    <w:p w14:paraId="1EA2631F"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6C16B9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554A273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8CF909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 Role and Responsibility Review</w:t>
      </w:r>
    </w:p>
    <w:p w14:paraId="6DEAFDB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structured process for regularly reviewing and updating roles and responsibilities related to AI management, ensuring alignment with evolving strategies and risk landscapes.</w:t>
      </w:r>
    </w:p>
    <w:p w14:paraId="6B14684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8F0CC4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review schedules outlining when and how roles and responsibilities are assessed.</w:t>
      </w:r>
    </w:p>
    <w:p w14:paraId="18D87B1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meetings or workshops conducted to discuss role alignment and updates with relevant stakeholders.</w:t>
      </w:r>
    </w:p>
    <w:p w14:paraId="43F79C1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Assessment reports identifying gaps or misalignments in current roles and responsibilities.</w:t>
      </w:r>
    </w:p>
    <w:p w14:paraId="0D2B092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changes made to roles and responsibilities following review sessions.</w:t>
      </w:r>
    </w:p>
    <w:p w14:paraId="470BC463"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979D6EB"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Stakeholder Consultation Mechanism</w:t>
      </w:r>
    </w:p>
    <w:p w14:paraId="4236BDC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mechanisms for engaging stakeholders in consultations to gather insights and feedback on role alignment and communication effectiveness within AI management.</w:t>
      </w:r>
    </w:p>
    <w:p w14:paraId="491A5A6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30BBBC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consultation sessions, including participant lists, agendas, and feedback collected.</w:t>
      </w:r>
    </w:p>
    <w:p w14:paraId="442E786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Summaries of stakeholder insights and how they were incorporated into role and communication updates.</w:t>
      </w:r>
    </w:p>
    <w:p w14:paraId="45CE2EC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Feedback surveys distributed to stakeholders assessing the clarity and efficacy of role definitions.</w:t>
      </w:r>
    </w:p>
    <w:p w14:paraId="11E68CC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plans showing stakeholder-driven changes to role definitions or communication processes.</w:t>
      </w:r>
    </w:p>
    <w:p w14:paraId="54B4408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21C73C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Communication Line Assessment and Update</w:t>
      </w:r>
    </w:p>
    <w:p w14:paraId="38917E7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regular assessments of communication lines within AI risk management to ensure they remain efficient and effective, modifying them as needed to support organizational goals.</w:t>
      </w:r>
    </w:p>
    <w:p w14:paraId="40AE774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022878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Maps of current communication lines within AI risk management and documentation of assessment findings.</w:t>
      </w:r>
    </w:p>
    <w:p w14:paraId="47B7253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changes made to improve communication channels, including the rationale and expected impact.</w:t>
      </w:r>
    </w:p>
    <w:p w14:paraId="581C2FA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stakeholders on the effectiveness of communication lines before and after updates.</w:t>
      </w:r>
    </w:p>
    <w:p w14:paraId="4C5E405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summarizing the results of communication line assessments, highlighting areas for improvement.</w:t>
      </w:r>
    </w:p>
    <w:p w14:paraId="56D7156F"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45E164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Gap Analysis and Role Realignment</w:t>
      </w:r>
    </w:p>
    <w:p w14:paraId="788931D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Perform gap analyses to identify discrepancies between current roles, processes, and best practices, using findings to realign roles and responsibilities with strategic objectives.</w:t>
      </w:r>
    </w:p>
    <w:p w14:paraId="424966E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4FDCAD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gap analysis methodologies and findings highlighting misalignments or deficiencies.</w:t>
      </w:r>
    </w:p>
    <w:p w14:paraId="675B7DE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Actionable recommendations for role and process realignment based on gap analysis results.</w:t>
      </w:r>
    </w:p>
    <w:p w14:paraId="3BFA2B6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Implementation logs showing adjustments made to roles or processes in response to gaps identified.</w:t>
      </w:r>
    </w:p>
    <w:p w14:paraId="075F435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stakeholder validation of realignment efforts’ effectiveness and alignment with strategic goals.</w:t>
      </w:r>
    </w:p>
    <w:p w14:paraId="6CA73A4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674395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Improvement and Industry Alignment</w:t>
      </w:r>
    </w:p>
    <w:p w14:paraId="13C8C69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processes for incorporating industry best practices into role, responsibility, and communication updates, ensuring continuous alignment with leading standards and evolving landscapes.</w:t>
      </w:r>
    </w:p>
    <w:p w14:paraId="1877CF6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75D350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industry benchmarking studies conducted to compare organizational practices with best practices.</w:t>
      </w:r>
    </w:p>
    <w:p w14:paraId="5DC842B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updates made to roles or processes to reflect industry trends and standards.</w:t>
      </w:r>
    </w:p>
    <w:p w14:paraId="66B4DD1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training or education sessions informing staff about industry best practices adopted.</w:t>
      </w:r>
    </w:p>
    <w:p w14:paraId="4391CCE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Summary reports tracking the impact of adopting industry practices on role efficacy and communication.</w:t>
      </w:r>
    </w:p>
    <w:p w14:paraId="4B6EEA86"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7927F563"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0CFDC79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7EDE794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08B10A6D" w14:textId="77777777" w:rsidTr="005C00A5">
        <w:tc>
          <w:tcPr>
            <w:tcW w:w="1170" w:type="dxa"/>
          </w:tcPr>
          <w:p w14:paraId="37DF134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03F2474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00A6590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3DCB6E72" w14:textId="77777777" w:rsidTr="005C00A5">
        <w:tc>
          <w:tcPr>
            <w:tcW w:w="1170" w:type="dxa"/>
          </w:tcPr>
          <w:p w14:paraId="0AE9BEA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GV-2.1.4</w:t>
            </w:r>
          </w:p>
        </w:tc>
        <w:tc>
          <w:tcPr>
            <w:tcW w:w="2160" w:type="dxa"/>
          </w:tcPr>
          <w:p w14:paraId="4443135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Risk Roles in Job and Performance</w:t>
            </w:r>
          </w:p>
        </w:tc>
        <w:tc>
          <w:tcPr>
            <w:tcW w:w="6740" w:type="dxa"/>
          </w:tcPr>
          <w:p w14:paraId="5C49176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embeds AI risk management roles into job descriptions, performance goals, and career development paths, providing relevant personnel with necessary training and support. Additionally, the organization evaluates their performance in these areas.</w:t>
            </w:r>
          </w:p>
          <w:p w14:paraId="7B13AE12" w14:textId="77777777" w:rsidR="00963E47" w:rsidRPr="00963E47" w:rsidRDefault="00963E47" w:rsidP="004C3837">
            <w:pPr>
              <w:keepNext/>
              <w:rPr>
                <w:rFonts w:ascii="Aptos" w:hAnsi="Aptos" w:cs="Times New Roman"/>
                <w:b/>
                <w:bCs/>
                <w:color w:val="000000"/>
                <w:sz w:val="20"/>
                <w:szCs w:val="20"/>
              </w:rPr>
            </w:pPr>
          </w:p>
          <w:p w14:paraId="3D09D8B5" w14:textId="77777777" w:rsidR="00963E47" w:rsidRPr="00963E47" w:rsidRDefault="00963E47" w:rsidP="004C3837">
            <w:pPr>
              <w:keepNext/>
              <w:rPr>
                <w:rFonts w:ascii="Aptos" w:hAnsi="Aptos" w:cs="Times New Roman"/>
                <w:b/>
                <w:bCs/>
                <w:color w:val="000000"/>
                <w:sz w:val="20"/>
                <w:szCs w:val="20"/>
              </w:rPr>
            </w:pPr>
            <w:hyperlink r:id="rId47" w:anchor="govern-2-1" w:history="1">
              <w:r w:rsidRPr="00963E47">
                <w:rPr>
                  <w:rFonts w:ascii="Aptos" w:hAnsi="Aptos" w:cs="Times New Roman"/>
                  <w:color w:val="000000"/>
                  <w:sz w:val="20"/>
                  <w:szCs w:val="20"/>
                  <w:u w:val="single"/>
                </w:rPr>
                <w:t>Link to NIST AI RMF Playbook</w:t>
              </w:r>
            </w:hyperlink>
          </w:p>
        </w:tc>
      </w:tr>
    </w:tbl>
    <w:p w14:paraId="4058EB53"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E4895D0"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31A80B0E"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071C081C" w14:textId="77777777" w:rsidTr="005C00A5">
        <w:trPr>
          <w:tblHeader/>
        </w:trPr>
        <w:tc>
          <w:tcPr>
            <w:tcW w:w="2160" w:type="dxa"/>
            <w:shd w:val="clear" w:color="auto" w:fill="CCDCDC"/>
            <w:vAlign w:val="center"/>
          </w:tcPr>
          <w:p w14:paraId="16BCDE4C"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66A8C4A7"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738D1999"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2625CF67" w14:textId="77777777" w:rsidTr="005C00A5">
        <w:tc>
          <w:tcPr>
            <w:tcW w:w="2160" w:type="dxa"/>
            <w:shd w:val="clear" w:color="auto" w:fill="CCDCDC"/>
          </w:tcPr>
          <w:p w14:paraId="596FC1A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2F653FA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5A4863B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2FC63267" w14:textId="77777777" w:rsidTr="005C00A5">
        <w:tc>
          <w:tcPr>
            <w:tcW w:w="2160" w:type="dxa"/>
            <w:shd w:val="clear" w:color="auto" w:fill="CCDCDC"/>
          </w:tcPr>
          <w:p w14:paraId="1392622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71CD6EA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11AE4B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CEAD326" w14:textId="77777777" w:rsidTr="005C00A5">
        <w:tc>
          <w:tcPr>
            <w:tcW w:w="2160" w:type="dxa"/>
            <w:shd w:val="clear" w:color="auto" w:fill="CCDCDC"/>
          </w:tcPr>
          <w:p w14:paraId="61886A1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495BCC6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1BE4F0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evolving stage, organizations have started to embed AI risk management roles into job descriptions, performance goals, and career development paths for relevant personnel. Training and support are provided, and performance in these areas is evaluated, although </w:t>
            </w:r>
            <w:r w:rsidRPr="00963E47">
              <w:rPr>
                <w:rFonts w:ascii="Aptos" w:hAnsi="Aptos" w:cs="Times New Roman"/>
                <w:noProof/>
                <w:color w:val="auto"/>
                <w:sz w:val="20"/>
                <w:szCs w:val="20"/>
              </w:rPr>
              <w:lastRenderedPageBreak/>
              <w:t>the process may not yet be fully mature or consistently applied across all relevant roles.</w:t>
            </w:r>
          </w:p>
        </w:tc>
      </w:tr>
      <w:tr w:rsidR="00963E47" w:rsidRPr="00963E47" w14:paraId="633A9746" w14:textId="77777777" w:rsidTr="005C00A5">
        <w:tc>
          <w:tcPr>
            <w:tcW w:w="2160" w:type="dxa"/>
            <w:shd w:val="clear" w:color="auto" w:fill="CCDCDC"/>
          </w:tcPr>
          <w:p w14:paraId="37B3529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4: Embedded</w:t>
            </w:r>
          </w:p>
        </w:tc>
        <w:tc>
          <w:tcPr>
            <w:tcW w:w="1350" w:type="dxa"/>
          </w:tcPr>
          <w:p w14:paraId="75733E8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13256D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AI risk management roles are fully integrated into job descriptions, performance goals, and career development paths for all relevant personnel. Comprehensive training, support, and performance evaluation processes are in place, ensuring that AI risk management is a core competency and responsibility for all relevant staff.</w:t>
            </w:r>
          </w:p>
        </w:tc>
      </w:tr>
    </w:tbl>
    <w:p w14:paraId="59CA4D77"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11D27EFA" w14:textId="77777777" w:rsidTr="005C00A5">
        <w:tc>
          <w:tcPr>
            <w:tcW w:w="2250" w:type="dxa"/>
          </w:tcPr>
          <w:p w14:paraId="410AC3C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55061C5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667AD88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6155726E" w14:textId="77777777" w:rsidTr="005C00A5">
        <w:tc>
          <w:tcPr>
            <w:tcW w:w="2250" w:type="dxa"/>
          </w:tcPr>
          <w:p w14:paraId="535E09E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59AF790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Inadequate Integration of AI Risk Roles</w:t>
            </w:r>
          </w:p>
        </w:tc>
        <w:tc>
          <w:tcPr>
            <w:tcW w:w="5300" w:type="dxa"/>
          </w:tcPr>
          <w:p w14:paraId="3BC3CB2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risk roles are not embedded into job descriptions or performance goals</w:t>
            </w:r>
          </w:p>
        </w:tc>
      </w:tr>
    </w:tbl>
    <w:p w14:paraId="2613C8F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0109D5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7871F47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6BD5B5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Integrate AI risk management responsibilities into individual job descriptions, performance goals, and career development pathways for relevant personnel, ensuring they have clear accountability and opportunities to develop necessary skills. Establish cross-functional AI risk management teams with representatives from functions such as IT, risk management, legal, and business units, supported by documented charters that outline their purpose, objectives, roles, responsibilities, and decision-making authority.</w:t>
      </w:r>
    </w:p>
    <w:p w14:paraId="6966033A"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996B41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Provide these teams and individuals with the necessary resources, including budget, tools, and training, to effectively identify, assess, and mitigate AI risks. Regularly evaluate the performance of personnel and teams in fulfilling their AI risk management roles, and adjust responsibilities and development plans as needed to ensure ongoing alignment with organizational risk management objectives.</w:t>
      </w:r>
    </w:p>
    <w:p w14:paraId="7588B9E3"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950354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35178E6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3BFAB9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of AI Risk Roles into Job Descriptions</w:t>
      </w:r>
    </w:p>
    <w:p w14:paraId="4B2677F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Embed specific AI risk management responsibilities into relevant job descriptions, ensuring clarity regarding the expectations and duties related to AI risk oversight.</w:t>
      </w:r>
    </w:p>
    <w:p w14:paraId="1DD58D8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4A380D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job descriptions that explicitly outline AI risk management responsibilities and expectations.</w:t>
      </w:r>
    </w:p>
    <w:p w14:paraId="2F9250D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job description revisions, including the rationale for embedding AI risk roles.</w:t>
      </w:r>
    </w:p>
    <w:p w14:paraId="1B33D2F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employees on the clarity and understanding of their AI risk management duties.</w:t>
      </w:r>
    </w:p>
    <w:p w14:paraId="2E315AE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HR policies supporting the inclusion of AI risk roles in job descriptions.</w:t>
      </w:r>
    </w:p>
    <w:p w14:paraId="3678E52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6FABF9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AI Risk Performance Goals</w:t>
      </w:r>
    </w:p>
    <w:p w14:paraId="6C95AC5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performance goals associated with AI risk management for applicable roles, integrating them into performance evaluation processes to ensure accountability.</w:t>
      </w:r>
    </w:p>
    <w:p w14:paraId="4501A2A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AC9D61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Performance evaluation criteria that include AI risk management competencies and objectives.</w:t>
      </w:r>
    </w:p>
    <w:p w14:paraId="5C26AF4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performance reviews highlighting achievements and areas for improvement in AI risk management.</w:t>
      </w:r>
    </w:p>
    <w:p w14:paraId="53202ED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KPIs related to AI risk management factored into performance appraisals.</w:t>
      </w:r>
    </w:p>
    <w:p w14:paraId="14B27A8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forms from evaluators providing insights on performance regarding AI risk responsibilities.</w:t>
      </w:r>
    </w:p>
    <w:p w14:paraId="1E124C6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F09E55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Training and Development in AI Risk Management</w:t>
      </w:r>
    </w:p>
    <w:p w14:paraId="79AFC68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Provide targeted training and development opportunities to equip personnel with the skills and knowledge necessary to manage AI risks effectively.</w:t>
      </w:r>
    </w:p>
    <w:p w14:paraId="675FB19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5D2C963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program materials designed to enhance AI risk management skills and understanding.</w:t>
      </w:r>
    </w:p>
    <w:p w14:paraId="128C9EB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Attendance records for training sessions and workshops attended by relevant personnel.</w:t>
      </w:r>
    </w:p>
    <w:p w14:paraId="37B0C1C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surveys assessing the effectiveness and relevance of provided training programs.</w:t>
      </w:r>
    </w:p>
    <w:p w14:paraId="13076C4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career development plans that incorporate AI risk management learning objectives.</w:t>
      </w:r>
    </w:p>
    <w:p w14:paraId="1ED0B57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7CF0E8B"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Performance Evaluation of AI Risk Roles</w:t>
      </w:r>
    </w:p>
    <w:p w14:paraId="6D6DC2A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regular evaluations of personnel performance in AI risk management roles to identify strengths, areas for development, and alignment with organizational risk management goals.</w:t>
      </w:r>
    </w:p>
    <w:p w14:paraId="26D2ABC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B1418C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Evaluation reports summarizing individual performance in AI risk management roles.</w:t>
      </w:r>
    </w:p>
    <w:p w14:paraId="4D085CD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performance feedback sessions with personnel, including agreed-upon goals and development plans.</w:t>
      </w:r>
    </w:p>
    <w:p w14:paraId="54DDB0F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showing how evaluated performance aligns with broader organizational risk management strategies.</w:t>
      </w:r>
    </w:p>
    <w:p w14:paraId="57D9E06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items generated from performance evaluations to support further development in AI risk management.</w:t>
      </w:r>
    </w:p>
    <w:p w14:paraId="5C83650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7C7968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Support Structures for AI Risk Management</w:t>
      </w:r>
    </w:p>
    <w:p w14:paraId="7EE7BDB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support structures to assist personnel in fulfilling their AI risk management roles, including mentoring, resources, and access to risk management tools.</w:t>
      </w:r>
    </w:p>
    <w:p w14:paraId="1B65360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4D64E7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support programs or initiatives providing mentoring or resources for AI risk roles.</w:t>
      </w:r>
    </w:p>
    <w:p w14:paraId="7C8BD26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access to AI risk management tools granted to personnel for effective role execution.</w:t>
      </w:r>
    </w:p>
    <w:p w14:paraId="1B13068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employees on the adequacy and availability of support for AI risk management tasks.</w:t>
      </w:r>
    </w:p>
    <w:p w14:paraId="43EECF9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indicating improvements in AI risk management performance following the introduction of support structures.</w:t>
      </w:r>
    </w:p>
    <w:p w14:paraId="3B9EF6E6"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17" w:name="_Toc214874762"/>
      <w:r w:rsidRPr="00963E47">
        <w:rPr>
          <w:rFonts w:ascii="Aptos" w:eastAsia="Aptos" w:hAnsi="Aptos" w:cs="Times New Roman"/>
          <w:b/>
          <w:bCs/>
          <w:noProof/>
          <w:color w:val="35256B"/>
          <w:kern w:val="2"/>
          <w:sz w:val="24"/>
          <w14:ligatures w14:val="standardContextual"/>
        </w:rPr>
        <w:t>GOVERN / Defining Roles and Responsibilities / Training for AI Risk Management</w:t>
      </w:r>
      <w:bookmarkEnd w:id="17"/>
      <w:r w:rsidRPr="00963E47">
        <w:rPr>
          <w:rFonts w:ascii="Aptos" w:eastAsia="Aptos" w:hAnsi="Aptos" w:cs="Times New Roman"/>
          <w:b/>
          <w:bCs/>
          <w:noProof/>
          <w:color w:val="35256B"/>
          <w:kern w:val="2"/>
          <w:sz w:val="24"/>
          <w14:ligatures w14:val="standardContextual"/>
        </w:rPr>
        <w:t xml:space="preserve"> </w:t>
      </w:r>
    </w:p>
    <w:p w14:paraId="5C72B8FC"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382F76C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0FEDC62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07614CE2" w14:textId="77777777" w:rsidTr="005C00A5">
        <w:tc>
          <w:tcPr>
            <w:tcW w:w="1170" w:type="dxa"/>
          </w:tcPr>
          <w:p w14:paraId="2FD8AA8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2612D26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3B1DF58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21FEBCB1" w14:textId="77777777" w:rsidTr="005C00A5">
        <w:tc>
          <w:tcPr>
            <w:tcW w:w="1170" w:type="dxa"/>
          </w:tcPr>
          <w:p w14:paraId="3ACF31D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GV-2.2.1</w:t>
            </w:r>
          </w:p>
        </w:tc>
        <w:tc>
          <w:tcPr>
            <w:tcW w:w="2160" w:type="dxa"/>
          </w:tcPr>
          <w:p w14:paraId="39B8311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Risk Management Training and Policies</w:t>
            </w:r>
          </w:p>
        </w:tc>
        <w:tc>
          <w:tcPr>
            <w:tcW w:w="6740" w:type="dxa"/>
          </w:tcPr>
          <w:p w14:paraId="6A3F2DD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provides role-specific AI risk management training to all personnel involved in AI system development, deployment, or use, including executives, decision-makers, and technical staff. This training covers relevant trustworthiness principles, policies, procedures, legal and regulatory requirements, and industry best practices. It emphasizes understanding AI assumptions, limitations, and risks, fostering an informed approach to AI adoption and oversight.</w:t>
            </w:r>
          </w:p>
          <w:p w14:paraId="14CE9B0D" w14:textId="77777777" w:rsidR="00963E47" w:rsidRPr="00963E47" w:rsidRDefault="00963E47" w:rsidP="004C3837">
            <w:pPr>
              <w:keepNext/>
              <w:rPr>
                <w:rFonts w:ascii="Aptos" w:hAnsi="Aptos" w:cs="Times New Roman"/>
                <w:b/>
                <w:bCs/>
                <w:color w:val="000000"/>
                <w:sz w:val="20"/>
                <w:szCs w:val="20"/>
              </w:rPr>
            </w:pPr>
          </w:p>
          <w:p w14:paraId="551F048F" w14:textId="77777777" w:rsidR="00963E47" w:rsidRPr="00963E47" w:rsidRDefault="00963E47" w:rsidP="004C3837">
            <w:pPr>
              <w:keepNext/>
              <w:rPr>
                <w:rFonts w:ascii="Aptos" w:hAnsi="Aptos" w:cs="Times New Roman"/>
                <w:b/>
                <w:bCs/>
                <w:color w:val="000000"/>
                <w:sz w:val="20"/>
                <w:szCs w:val="20"/>
              </w:rPr>
            </w:pPr>
            <w:hyperlink r:id="rId48" w:anchor="govern-2-2" w:history="1">
              <w:r w:rsidRPr="00963E47">
                <w:rPr>
                  <w:rFonts w:ascii="Aptos" w:hAnsi="Aptos" w:cs="Times New Roman"/>
                  <w:color w:val="000000"/>
                  <w:sz w:val="20"/>
                  <w:szCs w:val="20"/>
                  <w:u w:val="single"/>
                </w:rPr>
                <w:t>Link to NIST AI RMF Playbook</w:t>
              </w:r>
            </w:hyperlink>
          </w:p>
        </w:tc>
      </w:tr>
    </w:tbl>
    <w:p w14:paraId="44998481"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07D172A"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69EE78FA"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038AC5CC" w14:textId="77777777" w:rsidTr="005C00A5">
        <w:trPr>
          <w:tblHeader/>
        </w:trPr>
        <w:tc>
          <w:tcPr>
            <w:tcW w:w="2160" w:type="dxa"/>
            <w:shd w:val="clear" w:color="auto" w:fill="CCDCDC"/>
            <w:vAlign w:val="center"/>
          </w:tcPr>
          <w:p w14:paraId="7CA3FD09"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3A2F49E4"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433280FA"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5F22AB2A" w14:textId="77777777" w:rsidTr="005C00A5">
        <w:tc>
          <w:tcPr>
            <w:tcW w:w="2160" w:type="dxa"/>
            <w:shd w:val="clear" w:color="auto" w:fill="CCDCDC"/>
          </w:tcPr>
          <w:p w14:paraId="7DD2E7D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1F142C6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3F8E97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D896E05" w14:textId="77777777" w:rsidTr="005C00A5">
        <w:tc>
          <w:tcPr>
            <w:tcW w:w="2160" w:type="dxa"/>
            <w:shd w:val="clear" w:color="auto" w:fill="CCDCDC"/>
          </w:tcPr>
          <w:p w14:paraId="500D580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2AF6E25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C56806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provide basic AI risk management training to some personnel with access to AI systems. However, the training may be generic, infrequent, and not mandatory for all relevant personnel.</w:t>
            </w:r>
          </w:p>
        </w:tc>
      </w:tr>
      <w:tr w:rsidR="00963E47" w:rsidRPr="00963E47" w14:paraId="7D1A91E4" w14:textId="77777777" w:rsidTr="005C00A5">
        <w:tc>
          <w:tcPr>
            <w:tcW w:w="2160" w:type="dxa"/>
            <w:shd w:val="clear" w:color="auto" w:fill="CCDCDC"/>
          </w:tcPr>
          <w:p w14:paraId="1C4EBE4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13E5E15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50287A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evolving stage, organizations provide mandatory, role-specific AI risk management training to all personnel with access to AI systems. </w:t>
            </w:r>
            <w:r w:rsidRPr="00963E47">
              <w:rPr>
                <w:rFonts w:ascii="Aptos" w:hAnsi="Aptos" w:cs="Times New Roman"/>
                <w:noProof/>
                <w:color w:val="auto"/>
                <w:sz w:val="20"/>
                <w:szCs w:val="20"/>
              </w:rPr>
              <w:lastRenderedPageBreak/>
              <w:t>The training covers AI system capabilities, limitations, risks, and best practices for human-AI collaboration and oversight, and includes both theoretical and practical exercises.</w:t>
            </w:r>
          </w:p>
        </w:tc>
      </w:tr>
      <w:tr w:rsidR="00963E47" w:rsidRPr="00963E47" w14:paraId="73774E8C" w14:textId="77777777" w:rsidTr="005C00A5">
        <w:tc>
          <w:tcPr>
            <w:tcW w:w="2160" w:type="dxa"/>
            <w:shd w:val="clear" w:color="auto" w:fill="CCDCDC"/>
          </w:tcPr>
          <w:p w14:paraId="7F5BC6A5"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4: Embedded</w:t>
            </w:r>
          </w:p>
        </w:tc>
        <w:tc>
          <w:tcPr>
            <w:tcW w:w="1350" w:type="dxa"/>
          </w:tcPr>
          <w:p w14:paraId="7EE09AA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999FC7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AI risk management training is comprehensive, continuously updated, and fully integrated into the organization's onboarding and learning and development programs. All personnel with access to AI systems receive ongoing training and support to ensure they can effectively perform their duties in line with the organization's AI risk management policies and procedures.</w:t>
            </w:r>
          </w:p>
        </w:tc>
      </w:tr>
    </w:tbl>
    <w:p w14:paraId="430D5196"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18D5307E" w14:textId="77777777" w:rsidTr="005C00A5">
        <w:tc>
          <w:tcPr>
            <w:tcW w:w="2250" w:type="dxa"/>
          </w:tcPr>
          <w:p w14:paraId="70FFC3B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1F04A76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1097564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45D667BB" w14:textId="77777777" w:rsidTr="005C00A5">
        <w:tc>
          <w:tcPr>
            <w:tcW w:w="2250" w:type="dxa"/>
          </w:tcPr>
          <w:p w14:paraId="45B217A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5C435A1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Insufficient Role Training</w:t>
            </w:r>
          </w:p>
        </w:tc>
        <w:tc>
          <w:tcPr>
            <w:tcW w:w="5300" w:type="dxa"/>
          </w:tcPr>
          <w:p w14:paraId="1EE4AD3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Role-specific AI risk management training is insufficient</w:t>
            </w:r>
          </w:p>
        </w:tc>
      </w:tr>
    </w:tbl>
    <w:p w14:paraId="4D564CB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2CA1C3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1EAA317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23986B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Develop and deliver role-specific AI risk management training accessible to all personnel involved in AI system development, deployment, or decision-making. This includes executives, those responsible for making strategic or operational decisions related to AI, and technical staff. The training should be designed to be practical, actionable, and accessible to individuals across the organization, avoiding overly technical jargon where appropriate. </w:t>
      </w:r>
    </w:p>
    <w:p w14:paraId="73F2FAF1"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4B91DA2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Tailor the content to each role, covering relevant policies, procedures, legal and regulatory requirements, and industry best practices. Explicitly address AI assumptions, limitations, potential biases, and the importance of questioning AI outputs, highlighting that AI is not infallible. Encourage open discussion and questions, creating an environment where stakeholders feel comfortable challenging or clarifying AI-related decisions. Training should address all relevant trustworthiness principles.</w:t>
      </w:r>
    </w:p>
    <w:p w14:paraId="356BCD09"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3A5A03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Utilize a variety of delivery methods (e.g., in-person sessions, online courses, executive briefings, workshops) to accommodate different learning styles and schedules. Regularly review and update the training content to ensure it remains aligned with current policies, regulatory developments, and evolving industry understanding of AI risks.</w:t>
      </w:r>
    </w:p>
    <w:p w14:paraId="03FF7469"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A21963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758DA7E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66F51F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Role-Specific Training Program</w:t>
      </w:r>
    </w:p>
    <w:p w14:paraId="07A82CC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and implement role-specific AI risk management training programs tailored to the needs of different personnel involved in AI system development, deployment, or use.</w:t>
      </w:r>
    </w:p>
    <w:p w14:paraId="59C9882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37A430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materials customized for different roles (executives, decision-makers, technical staff) highlighting relevant AI risks and responsibilities.</w:t>
      </w:r>
    </w:p>
    <w:p w14:paraId="246A0FC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Attendance records of personnel participating in the tailored training sessions.</w:t>
      </w:r>
    </w:p>
    <w:p w14:paraId="13EB190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course evaluations from participants assessing the effectiveness and relevance of the training content.</w:t>
      </w:r>
    </w:p>
    <w:p w14:paraId="3D2C316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summarizing participant understanding of AI risk management after completing the training.</w:t>
      </w:r>
    </w:p>
    <w:p w14:paraId="6370330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26281F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Comprehensive Curriculum Development</w:t>
      </w:r>
    </w:p>
    <w:p w14:paraId="782196B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comprehensive curriculum that covers AI Trustworthy Principles, policies, procedures, legal and regulatory requirements, and best practices in AI risk management.</w:t>
      </w:r>
    </w:p>
    <w:p w14:paraId="3B9F88C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24E164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Curriculum outlines detailing the topics covered, objectives, and learning outcomes for each training session.</w:t>
      </w:r>
    </w:p>
    <w:p w14:paraId="38B9642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Course syllabi that include references to relevant legal and regulatory materials, guidelines, and industry standards.</w:t>
      </w:r>
    </w:p>
    <w:p w14:paraId="3B45102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Records of updates made to the curriculum in response to regulatory changes or emerging best practices.</w:t>
      </w:r>
    </w:p>
    <w:p w14:paraId="6389810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Assessment tools used to evaluate participant comprehension of key concepts taught in the curriculum.</w:t>
      </w:r>
    </w:p>
    <w:p w14:paraId="2D27FA1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1B1B9D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Ongoing Training and Familiarization</w:t>
      </w:r>
    </w:p>
    <w:p w14:paraId="4A34430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ongoing training sessions and refreshers to ensure that personnel remain informed about current AI risk management practices and emerging trends.</w:t>
      </w:r>
    </w:p>
    <w:p w14:paraId="51FB509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15042F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Schedules for periodic refresher training sessions or workshops on AI risk management topics.</w:t>
      </w:r>
    </w:p>
    <w:p w14:paraId="6F25025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participant feedback for refresher training assessing engagement and relevance.</w:t>
      </w:r>
    </w:p>
    <w:p w14:paraId="79D6FDC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new training materials or updates provided during ongoing training sessions.</w:t>
      </w:r>
    </w:p>
    <w:p w14:paraId="47D263A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Comparison data showing improvements in knowledge retention and application after attending refresher courses.</w:t>
      </w:r>
    </w:p>
    <w:p w14:paraId="6D46E073"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31D9E9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Evaluation and Assessment of Training Impact</w:t>
      </w:r>
    </w:p>
    <w:p w14:paraId="325A597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evaluate the impact of AI risk management training on personnel performance and decision-making, ensuring the training objectives are met effectively.</w:t>
      </w:r>
    </w:p>
    <w:p w14:paraId="4F278DD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B7A2A6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Assessment results measuring knowledge retention and application of AI risk management principles post-training.</w:t>
      </w:r>
    </w:p>
    <w:p w14:paraId="58B8B5E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Performance metrics showing changes in incident rates or risk management effectiveness related to trained personnel.</w:t>
      </w:r>
    </w:p>
    <w:p w14:paraId="412884D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supervisors indicating observed improvements in risk-related decision-making following training.</w:t>
      </w:r>
    </w:p>
    <w:p w14:paraId="4A7CFEF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follow-up evaluations assessing training effectiveness over time.</w:t>
      </w:r>
    </w:p>
    <w:p w14:paraId="384E929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95B6A0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Training Documentation and Compliance</w:t>
      </w:r>
    </w:p>
    <w:p w14:paraId="0300467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thorough documentation of all training activities related to AI risk management to ensure compliance with organizational policies and audit requirements.</w:t>
      </w:r>
    </w:p>
    <w:p w14:paraId="3C9C49F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2CDDFB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records including attendance, dates, and content delivered for each session conducted.</w:t>
      </w:r>
    </w:p>
    <w:p w14:paraId="3F0D858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Certification documentation showing completion of training by personnel, including competency levels achieved.</w:t>
      </w:r>
    </w:p>
    <w:p w14:paraId="04C7FEB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logs indicating compliance with internal training policies and regulatory requirements.</w:t>
      </w:r>
    </w:p>
    <w:p w14:paraId="078332D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stakeholder audits assessing the quality and comprehensiveness of training records kept.</w:t>
      </w:r>
    </w:p>
    <w:p w14:paraId="4F42D1E0"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517A61CE"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5F06F71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29425D1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3B684955" w14:textId="77777777" w:rsidTr="005C00A5">
        <w:tc>
          <w:tcPr>
            <w:tcW w:w="1170" w:type="dxa"/>
          </w:tcPr>
          <w:p w14:paraId="71F906A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798023D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43EB780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3B3D9276" w14:textId="77777777" w:rsidTr="005C00A5">
        <w:tc>
          <w:tcPr>
            <w:tcW w:w="1170" w:type="dxa"/>
          </w:tcPr>
          <w:p w14:paraId="2AD222D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GV-2.2.2</w:t>
            </w:r>
          </w:p>
        </w:tc>
        <w:tc>
          <w:tcPr>
            <w:tcW w:w="2160" w:type="dxa"/>
          </w:tcPr>
          <w:p w14:paraId="5A8F473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Mandatory AI Risk Management Training</w:t>
            </w:r>
          </w:p>
        </w:tc>
        <w:tc>
          <w:tcPr>
            <w:tcW w:w="6740" w:type="dxa"/>
          </w:tcPr>
          <w:p w14:paraId="45AC73F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provides role-specific AI risk management training to all personnel involved in AI system development, deployment, or use, including new hires and those transitioning into AI roles. This training covers relevant trustworthiness principles, policies, and legal and regulatory requirements. It emphasizes understanding AI assumptions, limitations, risks, and content provenance, with content lineage and provenance information integrated as a key subcomponent to enhance comprehension of data origin, integrity, and traceability throughout the AI lifecycle. The program incorporates theoretical concepts, practical exercises, and case studies to ensure effective application of knowledge across organizational roles.</w:t>
            </w:r>
          </w:p>
          <w:p w14:paraId="03E94976" w14:textId="77777777" w:rsidR="00963E47" w:rsidRPr="00963E47" w:rsidRDefault="00963E47" w:rsidP="004C3837">
            <w:pPr>
              <w:keepNext/>
              <w:rPr>
                <w:rFonts w:ascii="Aptos" w:hAnsi="Aptos" w:cs="Times New Roman"/>
                <w:b/>
                <w:bCs/>
                <w:color w:val="000000"/>
                <w:sz w:val="20"/>
                <w:szCs w:val="20"/>
              </w:rPr>
            </w:pPr>
          </w:p>
          <w:p w14:paraId="27B3E3F9" w14:textId="77777777" w:rsidR="00963E47" w:rsidRPr="00963E47" w:rsidRDefault="00963E47" w:rsidP="004C3837">
            <w:pPr>
              <w:keepNext/>
              <w:rPr>
                <w:rFonts w:ascii="Aptos" w:hAnsi="Aptos" w:cs="Times New Roman"/>
                <w:b/>
                <w:bCs/>
                <w:color w:val="000000"/>
                <w:sz w:val="20"/>
                <w:szCs w:val="20"/>
              </w:rPr>
            </w:pPr>
            <w:hyperlink r:id="rId49" w:anchor="govern-2-2" w:history="1">
              <w:r w:rsidRPr="00963E47">
                <w:rPr>
                  <w:rFonts w:ascii="Aptos" w:hAnsi="Aptos" w:cs="Times New Roman"/>
                  <w:color w:val="000000"/>
                  <w:sz w:val="20"/>
                  <w:szCs w:val="20"/>
                  <w:u w:val="single"/>
                </w:rPr>
                <w:t>Link to NIST AI RMF Playbook</w:t>
              </w:r>
            </w:hyperlink>
          </w:p>
        </w:tc>
      </w:tr>
    </w:tbl>
    <w:p w14:paraId="44288BE3"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28B6731"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lastRenderedPageBreak/>
        <w:t>Adoption Stage Applicability:</w:t>
      </w:r>
      <w:r w:rsidRPr="00963E47">
        <w:rPr>
          <w:rFonts w:ascii="Aptos" w:eastAsia="Aptos" w:hAnsi="Aptos" w:cs="Times New Roman"/>
          <w:color w:val="C00000"/>
          <w:kern w:val="2"/>
          <w:sz w:val="20"/>
          <w:szCs w:val="20"/>
          <w14:ligatures w14:val="standardContextual"/>
        </w:rPr>
        <w:t xml:space="preserve"> </w:t>
      </w:r>
    </w:p>
    <w:p w14:paraId="1902B9F1"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7EA51DDD" w14:textId="77777777" w:rsidTr="005C00A5">
        <w:trPr>
          <w:tblHeader/>
        </w:trPr>
        <w:tc>
          <w:tcPr>
            <w:tcW w:w="2160" w:type="dxa"/>
            <w:shd w:val="clear" w:color="auto" w:fill="CCDCDC"/>
            <w:vAlign w:val="center"/>
          </w:tcPr>
          <w:p w14:paraId="18A3FEB0"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666E58E3"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3254EA16"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52070C68" w14:textId="77777777" w:rsidTr="005C00A5">
        <w:tc>
          <w:tcPr>
            <w:tcW w:w="2160" w:type="dxa"/>
            <w:shd w:val="clear" w:color="auto" w:fill="CCDCDC"/>
          </w:tcPr>
          <w:p w14:paraId="1F77994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4A3F10B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0719FA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67B4F65E" w14:textId="77777777" w:rsidTr="005C00A5">
        <w:tc>
          <w:tcPr>
            <w:tcW w:w="2160" w:type="dxa"/>
            <w:shd w:val="clear" w:color="auto" w:fill="CCDCDC"/>
          </w:tcPr>
          <w:p w14:paraId="7373CEE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3CD5DEB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3CF030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2DCD148" w14:textId="77777777" w:rsidTr="005C00A5">
        <w:tc>
          <w:tcPr>
            <w:tcW w:w="2160" w:type="dxa"/>
            <w:shd w:val="clear" w:color="auto" w:fill="CCDCDC"/>
          </w:tcPr>
          <w:p w14:paraId="245C5CA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065C1B3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68DA41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provide advanced, role-specific AI risk management training and certification programs to personnel involved in AI system development, deployment, or use. The training covers relevant policies, procedures, legal and regulatory requirements, and best practices, although its implementation may not yet be fully consistent across all relevant personnel.</w:t>
            </w:r>
          </w:p>
        </w:tc>
      </w:tr>
      <w:tr w:rsidR="00963E47" w:rsidRPr="00963E47" w14:paraId="4D19CAE7" w14:textId="77777777" w:rsidTr="005C00A5">
        <w:tc>
          <w:tcPr>
            <w:tcW w:w="2160" w:type="dxa"/>
            <w:shd w:val="clear" w:color="auto" w:fill="CCDCDC"/>
          </w:tcPr>
          <w:p w14:paraId="7C55A99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7D572DE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488546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provide advanced, role-specific AI risk management training and certification programs to personnel involved in AI system development, deployment, or use, which is fully integrated into the organization's overall learning and development strategy. This training is consistently implemented, regularly reviewed and updated based on changes in AI policy and industry best practices, and is supported by robust competency frameworks, certification programs, and metrics that track its impact on personnel's ability to effectively manage AI risks.</w:t>
            </w:r>
          </w:p>
        </w:tc>
      </w:tr>
    </w:tbl>
    <w:p w14:paraId="7189EC90"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7FB5B796" w14:textId="77777777" w:rsidTr="005C00A5">
        <w:tc>
          <w:tcPr>
            <w:tcW w:w="2250" w:type="dxa"/>
          </w:tcPr>
          <w:p w14:paraId="534538B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219C92D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0EB98F2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12A42A7F" w14:textId="77777777" w:rsidTr="005C00A5">
        <w:tc>
          <w:tcPr>
            <w:tcW w:w="2250" w:type="dxa"/>
          </w:tcPr>
          <w:p w14:paraId="7950EF5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30FA2A7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Inadequate AI Training</w:t>
            </w:r>
          </w:p>
        </w:tc>
        <w:tc>
          <w:tcPr>
            <w:tcW w:w="5300" w:type="dxa"/>
          </w:tcPr>
          <w:p w14:paraId="083C76B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risk management training lacks practical application and relevance</w:t>
            </w:r>
          </w:p>
        </w:tc>
      </w:tr>
    </w:tbl>
    <w:p w14:paraId="3EFF0AF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953EAB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035F36A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6C19BC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comprehensive, role-specific AI risk management and content provenance training for all personnel involved in AI system development, deployment, or use. Include new hires, individuals transitioning into AI roles, and external third-party partners such as vendors, consultants, and contractors. Tailor training programs to address each group’s specific responsibilities, emphasizing particular risks and challenges they may encounter. Develop engaging, interactive curricula that incorporate theoretical concepts, practical applications, case studies, simulations, AI incident tabletop exercises, and hands-on workshops. Focus on fostering understanding of AI assumptions, limitations, legal and regulatory requirements, and risk management principles to ensure responsible AI use.</w:t>
      </w:r>
    </w:p>
    <w:p w14:paraId="7C81468D"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67C90C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Integrate content lineage, origin, and provenance information into the training program as a key component. Conduct assessments or surveys to evaluate operators' and end-users’ understanding of data sources, quality, potential biases, and traceability related to AI systems. Identify knowledge gaps and develop targeted training modules or resources to address these deficiencies. Incorporate content on the importance of content provenance, data origins, and maintaining data integrity throughout the AI lifecycle. Regularly review and update training modules to reflect evolving AI systems and data sources, ensuring ongoing relevance and effectiveness.</w:t>
      </w:r>
    </w:p>
    <w:p w14:paraId="73CAD804"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47CDF45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Extend training efforts to external partners by providing targeted educational programs that promote consistent risk management practices and shared expectations. Support ongoing learning through participation in industry conferences, online courses, and other professional development activities. Evaluate the effectiveness of training programs regularly through assessments, feedback, and performance metrics. Use evaluation results to identify and address knowledge gaps and improve training content accordingly. Establish clear communication channels and feedback mechanisms to promote policy adherence and foster continuous improvement. Monitor training completion rates and follow up with individuals or partners who have not completed required programs within designated timeframes, fostering a culture of responsible AI deployment across all organizational and external stakeholders.</w:t>
      </w:r>
    </w:p>
    <w:p w14:paraId="43243E45"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075B68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lastRenderedPageBreak/>
        <w:t xml:space="preserve">Example Controls and Evidence: </w:t>
      </w:r>
    </w:p>
    <w:p w14:paraId="1EE8549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2025F9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Comprehensive Training Program Design</w:t>
      </w:r>
    </w:p>
    <w:p w14:paraId="40197D1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 comprehensive AI risk management training program that covers theoretical concepts, organizational principles, and practical exercises tailored to the needs of various personnel, including new hires and those transitioning into AI-related roles.</w:t>
      </w:r>
    </w:p>
    <w:p w14:paraId="2CE1C54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C595B4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Detailed training program documentation outlining course objectives, content, and structure for various user groups.</w:t>
      </w:r>
    </w:p>
    <w:p w14:paraId="3B0EA42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Syllabi for each training module that include specific topics covered, methodologies used, and assessment criteria.</w:t>
      </w:r>
    </w:p>
    <w:p w14:paraId="3BBB65D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training needs assessments identifying gaps that the training program addresses for different roles.</w:t>
      </w:r>
    </w:p>
    <w:p w14:paraId="1F3E0F5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Approval documents from stakeholders validating the curriculum and its alignment with organizational risk management goals.</w:t>
      </w:r>
    </w:p>
    <w:p w14:paraId="2ADF659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748CAF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Practical Exercises and Simulations</w:t>
      </w:r>
    </w:p>
    <w:p w14:paraId="1E9F244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Integrate hands-on practical exercises into the training program, such as case studies, simulations, AI incident tabletop exercises, and workshops, to enhance understanding and application of AI risk management concepts.</w:t>
      </w:r>
    </w:p>
    <w:p w14:paraId="5A4044C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E9BB04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executed exercises, including objectives, scenarios, and participant outcomes.</w:t>
      </w:r>
    </w:p>
    <w:p w14:paraId="65C77FA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forms from participants assessing the effectiveness of practical exercises in enhancing their understanding.</w:t>
      </w:r>
    </w:p>
    <w:p w14:paraId="3178B89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case study analyses completed during training sessions, including findings and discussions held.</w:t>
      </w:r>
    </w:p>
    <w:p w14:paraId="7F4DE53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Post-exercise debriefing summaries highlighting lessons learned and improvements identified during simulations.</w:t>
      </w:r>
    </w:p>
    <w:p w14:paraId="6A5FA54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254927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Training for Third Parties</w:t>
      </w:r>
    </w:p>
    <w:p w14:paraId="318310B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Provide mandatory AI risk management training for relevant third-party personnel involved in AI projects to ensure consistency in understanding risk management practices across the organization’s ecosystem.</w:t>
      </w:r>
    </w:p>
    <w:p w14:paraId="0C24BBC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845B5A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materials designed specifically for third-party contractors and partners, addressing their roles and responsibilities.</w:t>
      </w:r>
    </w:p>
    <w:p w14:paraId="2557F15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Attendance records for third-party personnel participating in training sessions.</w:t>
      </w:r>
    </w:p>
    <w:p w14:paraId="39D2465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received from third-party participants regarding training content and its applicability to their roles.</w:t>
      </w:r>
    </w:p>
    <w:p w14:paraId="52E11FC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any customized training sessions held for specific third-party needs or concerns.</w:t>
      </w:r>
    </w:p>
    <w:p w14:paraId="218C89D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7906BE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Assessment of Knowledge Retention</w:t>
      </w:r>
    </w:p>
    <w:p w14:paraId="6A872C6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assessments to evaluate knowledge retention and application of AI risk management concepts post-training, ensuring participants can effectively apply what they have learned.</w:t>
      </w:r>
    </w:p>
    <w:p w14:paraId="5EBEE51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C68CC9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Pre- and post-training assessment results demonstrating knowledge improvement and retention levels.</w:t>
      </w:r>
    </w:p>
    <w:p w14:paraId="3B7CF5F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competency assessments validating participants’ understanding of key principles covered in the training.</w:t>
      </w:r>
    </w:p>
    <w:p w14:paraId="43F531B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practical evaluations (e.g., simulations, case studies) where participants are assessed on their application of concepts.</w:t>
      </w:r>
    </w:p>
    <w:p w14:paraId="3082092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Analysis reports summarizing trends found in assessment results, indicating areas where further training may be required.</w:t>
      </w:r>
    </w:p>
    <w:p w14:paraId="07A63A2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F11658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Improvement of Training Programs</w:t>
      </w:r>
    </w:p>
    <w:p w14:paraId="2970957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review and update the AI risk management training program based on feedback, evolving practices, and lessons learned to ensure ongoing relevance and effectiveness.</w:t>
      </w:r>
    </w:p>
    <w:p w14:paraId="5F23545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69668FF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periodic program reviews that analyze the training content based on participant feedback and performance data.</w:t>
      </w:r>
    </w:p>
    <w:p w14:paraId="1EAD460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changes made to the training curriculum or methodologies as a result of review findings.</w:t>
      </w:r>
    </w:p>
    <w:p w14:paraId="786451D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feedback collected after each training cohort to assess the quality and impact of training sessions.</w:t>
      </w:r>
    </w:p>
    <w:p w14:paraId="3BA449A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highlighting how updates to the training program align with emerging industry standards and best practices.</w:t>
      </w:r>
    </w:p>
    <w:p w14:paraId="28AB178A"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46B2CA9F"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5414062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1F3D28E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01BA905E" w14:textId="77777777" w:rsidTr="005C00A5">
        <w:tc>
          <w:tcPr>
            <w:tcW w:w="1170" w:type="dxa"/>
          </w:tcPr>
          <w:p w14:paraId="0857609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1B20601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441200E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48AD44FA" w14:textId="77777777" w:rsidTr="005C00A5">
        <w:tc>
          <w:tcPr>
            <w:tcW w:w="1170" w:type="dxa"/>
          </w:tcPr>
          <w:p w14:paraId="6D411AD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GV-2.2.3</w:t>
            </w:r>
          </w:p>
        </w:tc>
        <w:tc>
          <w:tcPr>
            <w:tcW w:w="2160" w:type="dxa"/>
          </w:tcPr>
          <w:p w14:paraId="75AEDEB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Training Effectiveness Evaluation</w:t>
            </w:r>
          </w:p>
        </w:tc>
        <w:tc>
          <w:tcPr>
            <w:tcW w:w="6740" w:type="dxa"/>
          </w:tcPr>
          <w:p w14:paraId="50A380D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regularly evaluates the effectiveness of AI risk management training using assessments, employee feedback, and performance metrics. Evaluation results drive insights from monitoring activities and incident management to identify gaps and lessons learned. These findings inform updates to training content, delivery methods, and the overall training program to ensure continued relevance, effectiveness, and alignment with best practices and organizational needs.</w:t>
            </w:r>
          </w:p>
          <w:p w14:paraId="2B921737" w14:textId="77777777" w:rsidR="00963E47" w:rsidRPr="00963E47" w:rsidRDefault="00963E47" w:rsidP="004C3837">
            <w:pPr>
              <w:keepNext/>
              <w:rPr>
                <w:rFonts w:ascii="Aptos" w:hAnsi="Aptos" w:cs="Times New Roman"/>
                <w:b/>
                <w:bCs/>
                <w:color w:val="000000"/>
                <w:sz w:val="20"/>
                <w:szCs w:val="20"/>
              </w:rPr>
            </w:pPr>
          </w:p>
          <w:p w14:paraId="1E91566D" w14:textId="77777777" w:rsidR="00963E47" w:rsidRPr="00963E47" w:rsidRDefault="00963E47" w:rsidP="004C3837">
            <w:pPr>
              <w:keepNext/>
              <w:rPr>
                <w:rFonts w:ascii="Aptos" w:hAnsi="Aptos" w:cs="Times New Roman"/>
                <w:b/>
                <w:bCs/>
                <w:color w:val="000000"/>
                <w:sz w:val="20"/>
                <w:szCs w:val="20"/>
              </w:rPr>
            </w:pPr>
            <w:hyperlink r:id="rId50" w:anchor="govern-2-2" w:history="1">
              <w:r w:rsidRPr="00963E47">
                <w:rPr>
                  <w:rFonts w:ascii="Aptos" w:hAnsi="Aptos" w:cs="Times New Roman"/>
                  <w:color w:val="000000"/>
                  <w:sz w:val="20"/>
                  <w:szCs w:val="20"/>
                  <w:u w:val="single"/>
                </w:rPr>
                <w:t>Link to NIST AI RMF Playbook</w:t>
              </w:r>
            </w:hyperlink>
          </w:p>
        </w:tc>
      </w:tr>
    </w:tbl>
    <w:p w14:paraId="3A3BF932"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9D3CCDB"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3D66B14B"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27DEF51F" w14:textId="77777777" w:rsidTr="005C00A5">
        <w:trPr>
          <w:tblHeader/>
        </w:trPr>
        <w:tc>
          <w:tcPr>
            <w:tcW w:w="2160" w:type="dxa"/>
            <w:shd w:val="clear" w:color="auto" w:fill="CCDCDC"/>
            <w:vAlign w:val="center"/>
          </w:tcPr>
          <w:p w14:paraId="27AC6BE1"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1CB36437"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291864C7"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5D556D36" w14:textId="77777777" w:rsidTr="005C00A5">
        <w:tc>
          <w:tcPr>
            <w:tcW w:w="2160" w:type="dxa"/>
            <w:shd w:val="clear" w:color="auto" w:fill="CCDCDC"/>
          </w:tcPr>
          <w:p w14:paraId="2F6E5D0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37F3F3A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4D6BE7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5E09586" w14:textId="77777777" w:rsidTr="005C00A5">
        <w:tc>
          <w:tcPr>
            <w:tcW w:w="2160" w:type="dxa"/>
            <w:shd w:val="clear" w:color="auto" w:fill="CCDCDC"/>
          </w:tcPr>
          <w:p w14:paraId="314BA13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3D7554D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5945627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4EF9FCA0" w14:textId="77777777" w:rsidTr="005C00A5">
        <w:tc>
          <w:tcPr>
            <w:tcW w:w="2160" w:type="dxa"/>
            <w:shd w:val="clear" w:color="auto" w:fill="CCDCDC"/>
          </w:tcPr>
          <w:p w14:paraId="23D52B65"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43EE82E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01FCCA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2C7BC5B6" w14:textId="77777777" w:rsidTr="005C00A5">
        <w:tc>
          <w:tcPr>
            <w:tcW w:w="2160" w:type="dxa"/>
            <w:shd w:val="clear" w:color="auto" w:fill="CCDCDC"/>
          </w:tcPr>
          <w:p w14:paraId="675D728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0700385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E7DD5B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regularly evaluate the effectiveness of AI risk management training using assessments, personnel feedback, and performance metrics, which is fully integrated into the organization's overall learning and development evaluation framework. This process is data-driven, incorporates industry best practices and benchmarks, and is used to continuously improve the impact and relevance of AI risk management training.</w:t>
            </w:r>
          </w:p>
        </w:tc>
      </w:tr>
    </w:tbl>
    <w:p w14:paraId="235CABDD"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189A24A1" w14:textId="77777777" w:rsidTr="005C00A5">
        <w:tc>
          <w:tcPr>
            <w:tcW w:w="2250" w:type="dxa"/>
          </w:tcPr>
          <w:p w14:paraId="353A017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0D573DA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66E5CA9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18279C21" w14:textId="77777777" w:rsidTr="005C00A5">
        <w:tc>
          <w:tcPr>
            <w:tcW w:w="2250" w:type="dxa"/>
          </w:tcPr>
          <w:p w14:paraId="6C7BEE2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696D55A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Unevaluated Training Effectiveness</w:t>
            </w:r>
          </w:p>
        </w:tc>
        <w:tc>
          <w:tcPr>
            <w:tcW w:w="5300" w:type="dxa"/>
          </w:tcPr>
          <w:p w14:paraId="227C5DC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Effectiveness of AI risk management training is not adequately evaluated</w:t>
            </w:r>
          </w:p>
        </w:tc>
      </w:tr>
    </w:tbl>
    <w:p w14:paraId="429D4DD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7C11A1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3613838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5AAC13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Regularly assess the effectiveness of AI risk management training through various methods, such as assessments, employee feedback, and performance metrics. Develop and utilize assessment tools, like quizzes and surveys, to measure participants’ understanding and retention of key concepts. Collect feedback on the relevance, clarity, and usefulness of the training content and delivery methods.</w:t>
      </w:r>
    </w:p>
    <w:p w14:paraId="22C25024"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138938A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Incorporate lessons learned from monitoring activities, incident analyses, and risk management outcomes to identify gaps and refine the training program. Use these insights to update training content, improve delivery methods, and ensure ongoing alignment with evolving best practices and organizational objectives. Regularly review and enhance the training to maintain its effectiveness and relevance in supporting AI risk management.</w:t>
      </w:r>
    </w:p>
    <w:p w14:paraId="124FA575"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48B28D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39AB51F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C746CF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Training Effectiveness Assessment Framework</w:t>
      </w:r>
    </w:p>
    <w:p w14:paraId="1984F95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 structured framework for evaluating the effectiveness of AI risk management training, utilizing assessments, employee feedback, and performance metrics to gauge understanding and application of key concepts.</w:t>
      </w:r>
    </w:p>
    <w:p w14:paraId="1D5EBF6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6E16D6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outlining the assessment framework, including evaluation criteria and methods used.</w:t>
      </w:r>
    </w:p>
    <w:p w14:paraId="212E7E2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assessment tools (e.g., quizzes, practical exercises) designed to measure training effectiveness.</w:t>
      </w:r>
    </w:p>
    <w:p w14:paraId="0FAA7C6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reports summarizing performance metrics related to training objectives and participants’ understanding.</w:t>
      </w:r>
    </w:p>
    <w:p w14:paraId="1A744EC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summaries from participants evaluating the clarity, relevance, and applicability of training content.</w:t>
      </w:r>
    </w:p>
    <w:p w14:paraId="7AFEA7F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67F9F9B"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Employee Feedback Collection</w:t>
      </w:r>
    </w:p>
    <w:p w14:paraId="391AB92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mechanisms for regularly collecting feedback from employees regarding their training experiences, focusing on areas of strength and opportunities for improvement.</w:t>
      </w:r>
    </w:p>
    <w:p w14:paraId="513ED23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213137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surveys distributed to participants after completing the AI risk management training sessions.</w:t>
      </w:r>
    </w:p>
    <w:p w14:paraId="60DDCE3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Recorded testimonials or comments from employees on their training experiences and perceived effectiveness.</w:t>
      </w:r>
    </w:p>
    <w:p w14:paraId="383DBB2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focus group discussions conducted post-training to gather in-depth insights on content and delivery.</w:t>
      </w:r>
    </w:p>
    <w:p w14:paraId="3340809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Analysis of feedback trends highlighting common themes or suggestions for improving the training program.</w:t>
      </w:r>
    </w:p>
    <w:p w14:paraId="4C92AD2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20A5C4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Monitoring of Training Impact</w:t>
      </w:r>
    </w:p>
    <w:p w14:paraId="5283143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Track performance metrics and outcomes post-training to assess the impact of the AI risk management training on employees' ability to implement learned concepts effectively.</w:t>
      </w:r>
    </w:p>
    <w:p w14:paraId="09AA741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B3388F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Performance reports correlating training completion with improvements in risk management practices or reduced incidents.</w:t>
      </w:r>
    </w:p>
    <w:p w14:paraId="331A4EF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Logs of operational incidents before and after training, showing any reductions in risk-related events.</w:t>
      </w:r>
    </w:p>
    <w:p w14:paraId="1353138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illustrating changes in compliance with AI risk management protocols following training sessions.</w:t>
      </w:r>
    </w:p>
    <w:p w14:paraId="7521AAD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Comparisons highlighting employee performance metrics before and after participating in the training program.</w:t>
      </w:r>
    </w:p>
    <w:p w14:paraId="27A3D0C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28E021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Improvement of Training Content</w:t>
      </w:r>
    </w:p>
    <w:p w14:paraId="2CF3205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update training materials and delivery methods based on evaluation findings, ensuring they remain relevant, effective, and aligned with industry best practices and organizational needs.</w:t>
      </w:r>
    </w:p>
    <w:p w14:paraId="062CB0B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B83AFF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revisions made to training content in response to evaluation feedback and new insights.</w:t>
      </w:r>
    </w:p>
    <w:p w14:paraId="0602C15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updated training materials, including versions and changes made to address identified gaps.</w:t>
      </w:r>
    </w:p>
    <w:p w14:paraId="32C0176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Minutes from meetings discussing training content updates and decisions made based on performance evaluations.</w:t>
      </w:r>
    </w:p>
    <w:p w14:paraId="0E4D7F8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summarizing innovations in training delivery methods, such as new technologies or formats employed to enhance engagement.</w:t>
      </w:r>
    </w:p>
    <w:p w14:paraId="4E21A2E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B742BD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of Insights into Training Program</w:t>
      </w:r>
    </w:p>
    <w:p w14:paraId="32C3F8A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Incorporate insights gained from evaluations and monitoring into the overall training program design, ensuring that all components are continuously refined to meet stakeholder needs.</w:t>
      </w:r>
    </w:p>
    <w:p w14:paraId="23280FF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2FA428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Comprehensive analysis reports detailing insights derived from training evaluations and their influence on program refinements.</w:t>
      </w:r>
    </w:p>
    <w:p w14:paraId="65D6811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Documentation of strategic meetings where evaluation insights were discussed and incorporated into planning for future training cohorts.</w:t>
      </w:r>
    </w:p>
    <w:p w14:paraId="71243A7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changes in training objectives based on stakeholder feedback and performance evaluations.</w:t>
      </w:r>
    </w:p>
    <w:p w14:paraId="15E37D3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loops established with stakeholders to ensure continuous engagement and updates to the training program in alignment with emerging best practices.</w:t>
      </w:r>
    </w:p>
    <w:p w14:paraId="53465674"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4C6F8CF0"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6E7EA32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0B45484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435928FB" w14:textId="77777777" w:rsidTr="005C00A5">
        <w:tc>
          <w:tcPr>
            <w:tcW w:w="1170" w:type="dxa"/>
          </w:tcPr>
          <w:p w14:paraId="7BF2F8F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334579B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0B5B29A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0846EF49" w14:textId="77777777" w:rsidTr="005C00A5">
        <w:tc>
          <w:tcPr>
            <w:tcW w:w="1170" w:type="dxa"/>
          </w:tcPr>
          <w:p w14:paraId="4E860C0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GV-2.2.4</w:t>
            </w:r>
          </w:p>
        </w:tc>
        <w:tc>
          <w:tcPr>
            <w:tcW w:w="2160" w:type="dxa"/>
          </w:tcPr>
          <w:p w14:paraId="0789845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Advanced AI Risk Certification Programs</w:t>
            </w:r>
          </w:p>
        </w:tc>
        <w:tc>
          <w:tcPr>
            <w:tcW w:w="6740" w:type="dxa"/>
          </w:tcPr>
          <w:p w14:paraId="41A72F8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offers advanced AI risk management training and certification programs for personnel in specialized roles (e.g., executives, data scientists, risk managers). These programs cover advanced topics (e.g., responsible AI design, algorithmic fairness, explainable AI, risk quantification) and develop AI risk management expertise. AI risk management training is integrated into the organization's broader learning and development strategy.</w:t>
            </w:r>
          </w:p>
          <w:p w14:paraId="45D86A00" w14:textId="77777777" w:rsidR="00963E47" w:rsidRPr="00963E47" w:rsidRDefault="00963E47" w:rsidP="004C3837">
            <w:pPr>
              <w:keepNext/>
              <w:rPr>
                <w:rFonts w:ascii="Aptos" w:hAnsi="Aptos" w:cs="Times New Roman"/>
                <w:b/>
                <w:bCs/>
                <w:color w:val="000000"/>
                <w:sz w:val="20"/>
                <w:szCs w:val="20"/>
              </w:rPr>
            </w:pPr>
          </w:p>
          <w:p w14:paraId="1A674ECE" w14:textId="77777777" w:rsidR="00963E47" w:rsidRPr="00963E47" w:rsidRDefault="00963E47" w:rsidP="004C3837">
            <w:pPr>
              <w:keepNext/>
              <w:rPr>
                <w:rFonts w:ascii="Aptos" w:hAnsi="Aptos" w:cs="Times New Roman"/>
                <w:b/>
                <w:bCs/>
                <w:color w:val="000000"/>
                <w:sz w:val="20"/>
                <w:szCs w:val="20"/>
              </w:rPr>
            </w:pPr>
            <w:hyperlink r:id="rId51" w:anchor="govern-2-2" w:history="1">
              <w:r w:rsidRPr="00963E47">
                <w:rPr>
                  <w:rFonts w:ascii="Aptos" w:hAnsi="Aptos" w:cs="Times New Roman"/>
                  <w:color w:val="000000"/>
                  <w:sz w:val="20"/>
                  <w:szCs w:val="20"/>
                  <w:u w:val="single"/>
                </w:rPr>
                <w:t>Link to NIST AI RMF Playbook</w:t>
              </w:r>
            </w:hyperlink>
          </w:p>
        </w:tc>
      </w:tr>
    </w:tbl>
    <w:p w14:paraId="24566AB6"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2487B85"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51B76805"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2623BDD2" w14:textId="77777777" w:rsidTr="005C00A5">
        <w:trPr>
          <w:tblHeader/>
        </w:trPr>
        <w:tc>
          <w:tcPr>
            <w:tcW w:w="2160" w:type="dxa"/>
            <w:shd w:val="clear" w:color="auto" w:fill="CCDCDC"/>
            <w:vAlign w:val="center"/>
          </w:tcPr>
          <w:p w14:paraId="041E6555"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1D22155E"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3F9A866C"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2A91216C" w14:textId="77777777" w:rsidTr="005C00A5">
        <w:tc>
          <w:tcPr>
            <w:tcW w:w="2160" w:type="dxa"/>
            <w:shd w:val="clear" w:color="auto" w:fill="CCDCDC"/>
          </w:tcPr>
          <w:p w14:paraId="4435D9E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60F68BF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D63D93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13890975" w14:textId="77777777" w:rsidTr="005C00A5">
        <w:tc>
          <w:tcPr>
            <w:tcW w:w="2160" w:type="dxa"/>
            <w:shd w:val="clear" w:color="auto" w:fill="CCDCDC"/>
          </w:tcPr>
          <w:p w14:paraId="1CBBEB4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703CC6D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6A643E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E718EDC" w14:textId="77777777" w:rsidTr="005C00A5">
        <w:tc>
          <w:tcPr>
            <w:tcW w:w="2160" w:type="dxa"/>
            <w:shd w:val="clear" w:color="auto" w:fill="CCDCDC"/>
          </w:tcPr>
          <w:p w14:paraId="0B3C9AF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2F1261F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F45A90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63BFEB83" w14:textId="77777777" w:rsidTr="005C00A5">
        <w:tc>
          <w:tcPr>
            <w:tcW w:w="2160" w:type="dxa"/>
            <w:shd w:val="clear" w:color="auto" w:fill="CCDCDC"/>
          </w:tcPr>
          <w:p w14:paraId="458285B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3B5141C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755703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offer advanced AI risk management training and certification programs for personnel in specialized roles which is fully integrated into the organization's overall learning and development strategy. These programs are consistently implemented, regularly reviewed and updated based on changes in AI policy and industry best practices, and are supported by robust competency frameworks, certification programs, and metrics that track their impact on developing AI risk management expertise and integrating AI risk management training into the organization's broader learning and development strategy.</w:t>
            </w:r>
          </w:p>
        </w:tc>
      </w:tr>
    </w:tbl>
    <w:p w14:paraId="54BAFD7F"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6D8C9D31" w14:textId="77777777" w:rsidTr="005C00A5">
        <w:tc>
          <w:tcPr>
            <w:tcW w:w="2250" w:type="dxa"/>
          </w:tcPr>
          <w:p w14:paraId="249BC31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0698D81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30A60EA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0879E0C6" w14:textId="77777777" w:rsidTr="005C00A5">
        <w:tc>
          <w:tcPr>
            <w:tcW w:w="2250" w:type="dxa"/>
          </w:tcPr>
          <w:p w14:paraId="4677450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68A1056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Insufficient Advanced Training</w:t>
            </w:r>
          </w:p>
        </w:tc>
        <w:tc>
          <w:tcPr>
            <w:tcW w:w="5300" w:type="dxa"/>
          </w:tcPr>
          <w:p w14:paraId="0459EA3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Advanced AI risk management training is insufficient for specialized roles</w:t>
            </w:r>
          </w:p>
        </w:tc>
      </w:tr>
    </w:tbl>
    <w:p w14:paraId="46B0BB4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50DB19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7961DD8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A7CFD7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Offer advanced AI risk management training and certification programs for personnel in specialized roles, such as executives, data scientists, and risk managers. Develop a curriculum that covers advanced topics, such as responsible AI design, algorithmic fairness, explainable AI, and risk quantification. Partner with external experts or training providers to deliver the programs, ensuring they are of high quality and aligned with industry best practices.</w:t>
      </w:r>
    </w:p>
    <w:p w14:paraId="68152562"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E48084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Encourage eligible personnel to participate in these programs by providing incentives, such as career advancement opportunities or recognition. Integrate AI risk management training into the organization's broader learning and </w:t>
      </w:r>
      <w:r w:rsidRPr="00963E47">
        <w:rPr>
          <w:rFonts w:ascii="Aptos" w:eastAsia="Aptos" w:hAnsi="Aptos" w:cs="Times New Roman"/>
          <w:noProof/>
          <w:color w:val="auto"/>
          <w:kern w:val="2"/>
          <w:sz w:val="20"/>
          <w:szCs w:val="20"/>
          <w14:ligatures w14:val="standardContextual"/>
        </w:rPr>
        <w:lastRenderedPageBreak/>
        <w:t>development strategy, ensuring it is prioritized and resourced appropriately. Regularly review and update the advanced training programs to ensure they remain relevant and effective in developing AI risk management expertise within the organization.</w:t>
      </w:r>
    </w:p>
    <w:p w14:paraId="7C735ACB"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06F225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72865D7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7BC9F0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Advanced Certification Programs</w:t>
      </w:r>
    </w:p>
    <w:p w14:paraId="0A2DD90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Create structured advanced training and certification programs for specialized roles in AI risk management, focusing on critical topics such as responsible AI design, algorithmic fairness, and explainable AI.</w:t>
      </w:r>
    </w:p>
    <w:p w14:paraId="1BEC140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AC8F74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certification program curricula, including course objectives, content outlines, and assessment methods.</w:t>
      </w:r>
    </w:p>
    <w:p w14:paraId="1AC35B7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Certificates or credentials awarded to personnel upon completion of the certification programs.</w:t>
      </w:r>
    </w:p>
    <w:p w14:paraId="5399146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materials developed for advanced topics tailored to specialized roles.</w:t>
      </w:r>
    </w:p>
    <w:p w14:paraId="32AFF53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updates made to certification programs to reflect current best practices and emerging trends in AI risk management.</w:t>
      </w:r>
    </w:p>
    <w:p w14:paraId="235F950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4E5EB8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into Learning and Development Strategy</w:t>
      </w:r>
    </w:p>
    <w:p w14:paraId="2389E27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Integrate AI risk management training and certification programs into the organization’s broader learning and development strategy, ensuring alignment with overall professional development goals.</w:t>
      </w:r>
    </w:p>
    <w:p w14:paraId="7BC237E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4E6E9F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showing how AI risk management training fits within the organization’s overall learning and development framework.</w:t>
      </w:r>
    </w:p>
    <w:p w14:paraId="09A97A6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Strategic plans highlighting the importance of AI risk management training in personnel development initiatives.</w:t>
      </w:r>
    </w:p>
    <w:p w14:paraId="45C874B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departmental training schedules incorporating the advanced certification programs.</w:t>
      </w:r>
    </w:p>
    <w:p w14:paraId="3632610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participants on how the AI risk management training aligns with their career development objectives.</w:t>
      </w:r>
    </w:p>
    <w:p w14:paraId="45C12D7F"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EFB46D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Evaluation of Certification Program Effectiveness</w:t>
      </w:r>
    </w:p>
    <w:p w14:paraId="28D8860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regular evaluations of the advanced AI risk management certification programs to assess their effectiveness and alignment with industry standards and organizational needs.</w:t>
      </w:r>
    </w:p>
    <w:p w14:paraId="159BC7E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450328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Evaluation reports summarizing participant performance, knowledge retention, and the relevance of content.</w:t>
      </w:r>
    </w:p>
    <w:p w14:paraId="63AEF71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Surveys collected from participants assessing the effectiveness and applicability of the training received.</w:t>
      </w:r>
    </w:p>
    <w:p w14:paraId="4A4A71A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industry benchmarks used to compare the certification program with similar offerings.</w:t>
      </w:r>
    </w:p>
    <w:p w14:paraId="24F7831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updates made to the certification program based on evaluation outcomes and stakeholder recommendations.</w:t>
      </w:r>
    </w:p>
    <w:p w14:paraId="466BE3C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40D9FB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Specialized Training for Different Roles</w:t>
      </w:r>
    </w:p>
    <w:p w14:paraId="09B4C3D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Provide tailored training components within the certification programs that address the unique needs and responsibilities of specialized roles like  data scientists and risk managers.</w:t>
      </w:r>
    </w:p>
    <w:p w14:paraId="76CAB85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A0EF79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Customized training modules designed specifically for different roles within the organization.</w:t>
      </w:r>
    </w:p>
    <w:p w14:paraId="0B3E0E6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participant feedback indicating the relevance and applicability of training content to their job functions.</w:t>
      </w:r>
    </w:p>
    <w:p w14:paraId="66BAC95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role-specific objectives and outcomes for each training module delivered in the certification programs.</w:t>
      </w:r>
    </w:p>
    <w:p w14:paraId="26CA5B6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Case studies used in training that reflect real-world scenarios relevant to different specialized roles.</w:t>
      </w:r>
    </w:p>
    <w:p w14:paraId="3C22627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E28C22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Ongoing Support and Resources for Certification Holders</w:t>
      </w:r>
    </w:p>
    <w:p w14:paraId="4CAD383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support mechanisms for personnel who have completed the advanced AI risk management certification, providing them with resources for ongoing learning and professional development.</w:t>
      </w:r>
    </w:p>
    <w:p w14:paraId="2C52A55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799D009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resources and materials available to certification holders, such as webinars, workshops, or access to a resource library.</w:t>
      </w:r>
    </w:p>
    <w:p w14:paraId="172DB8B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alumni engagement events aimed at fostering a community of practice among certification holders.</w:t>
      </w:r>
    </w:p>
    <w:p w14:paraId="50132B8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certification holders regarding the availability and usefulness of ongoing support resources.</w:t>
      </w:r>
    </w:p>
    <w:p w14:paraId="0A7AA47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Examples of professional development opportunities advertised to certification holders to encourage continued learning in AI risk management.</w:t>
      </w:r>
    </w:p>
    <w:p w14:paraId="1E04B783"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18" w:name="_Toc214874763"/>
      <w:r w:rsidRPr="00963E47">
        <w:rPr>
          <w:rFonts w:ascii="Aptos" w:eastAsia="Aptos" w:hAnsi="Aptos" w:cs="Times New Roman"/>
          <w:b/>
          <w:bCs/>
          <w:noProof/>
          <w:color w:val="35256B"/>
          <w:kern w:val="2"/>
          <w:sz w:val="24"/>
          <w14:ligatures w14:val="standardContextual"/>
        </w:rPr>
        <w:t>GOVERN / Defining Roles and Responsibilities / Accountability of Executive Leadership</w:t>
      </w:r>
      <w:bookmarkEnd w:id="18"/>
      <w:r w:rsidRPr="00963E47">
        <w:rPr>
          <w:rFonts w:ascii="Aptos" w:eastAsia="Aptos" w:hAnsi="Aptos" w:cs="Times New Roman"/>
          <w:b/>
          <w:bCs/>
          <w:noProof/>
          <w:color w:val="35256B"/>
          <w:kern w:val="2"/>
          <w:sz w:val="24"/>
          <w14:ligatures w14:val="standardContextual"/>
        </w:rPr>
        <w:t xml:space="preserve"> </w:t>
      </w:r>
    </w:p>
    <w:p w14:paraId="3600D23D"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588E4A1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65BD760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3123EE76" w14:textId="77777777" w:rsidTr="005C00A5">
        <w:tc>
          <w:tcPr>
            <w:tcW w:w="1170" w:type="dxa"/>
          </w:tcPr>
          <w:p w14:paraId="3066A9D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6D8D694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650CA50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2A33E08A" w14:textId="77777777" w:rsidTr="005C00A5">
        <w:tc>
          <w:tcPr>
            <w:tcW w:w="1170" w:type="dxa"/>
          </w:tcPr>
          <w:p w14:paraId="4A7FF47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GV-2.3.1</w:t>
            </w:r>
          </w:p>
        </w:tc>
        <w:tc>
          <w:tcPr>
            <w:tcW w:w="2160" w:type="dxa"/>
          </w:tcPr>
          <w:p w14:paraId="29D1692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Leadership Commitment to Responsible AI</w:t>
            </w:r>
          </w:p>
        </w:tc>
        <w:tc>
          <w:tcPr>
            <w:tcW w:w="6740" w:type="dxa"/>
          </w:tcPr>
          <w:p w14:paraId="61BB7EF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organization’s executive leadership demonstrates their commitment to responsible AI development and deployment by communicating the importance of AI risk management through town halls, newsletters, public statements, and digital channels. They emphasize the benefits of effective AI risk management, foster open dialogue, and recognize exemplary practices. Additionally, leadership sets clear expectations, defines roles and responsibilities, allocates adequate resources, and holds management accountable to ensure the effective implementation and integration of AI risk management practices across the organization.</w:t>
            </w:r>
          </w:p>
          <w:p w14:paraId="7102B15B" w14:textId="77777777" w:rsidR="00963E47" w:rsidRPr="00963E47" w:rsidRDefault="00963E47" w:rsidP="004C3837">
            <w:pPr>
              <w:keepNext/>
              <w:rPr>
                <w:rFonts w:ascii="Aptos" w:hAnsi="Aptos" w:cs="Times New Roman"/>
                <w:b/>
                <w:bCs/>
                <w:color w:val="000000"/>
                <w:sz w:val="20"/>
                <w:szCs w:val="20"/>
              </w:rPr>
            </w:pPr>
          </w:p>
          <w:p w14:paraId="0F5AD1EB" w14:textId="77777777" w:rsidR="00963E47" w:rsidRPr="00963E47" w:rsidRDefault="00963E47" w:rsidP="004C3837">
            <w:pPr>
              <w:keepNext/>
              <w:rPr>
                <w:rFonts w:ascii="Aptos" w:hAnsi="Aptos" w:cs="Times New Roman"/>
                <w:b/>
                <w:bCs/>
                <w:color w:val="000000"/>
                <w:sz w:val="20"/>
                <w:szCs w:val="20"/>
              </w:rPr>
            </w:pPr>
            <w:hyperlink r:id="rId52" w:anchor="govern-2-3" w:history="1">
              <w:r w:rsidRPr="00963E47">
                <w:rPr>
                  <w:rFonts w:ascii="Aptos" w:hAnsi="Aptos" w:cs="Times New Roman"/>
                  <w:color w:val="000000"/>
                  <w:sz w:val="20"/>
                  <w:szCs w:val="20"/>
                  <w:u w:val="single"/>
                </w:rPr>
                <w:t>Link to NIST AI RMF Playbook</w:t>
              </w:r>
            </w:hyperlink>
          </w:p>
        </w:tc>
      </w:tr>
    </w:tbl>
    <w:p w14:paraId="2339E281"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EB33691"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3C41525C"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0067344A" w14:textId="77777777" w:rsidTr="005C00A5">
        <w:trPr>
          <w:tblHeader/>
        </w:trPr>
        <w:tc>
          <w:tcPr>
            <w:tcW w:w="2160" w:type="dxa"/>
            <w:shd w:val="clear" w:color="auto" w:fill="CCDCDC"/>
            <w:vAlign w:val="center"/>
          </w:tcPr>
          <w:p w14:paraId="31016CAA"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1EB2760C"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3F677E5B"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55EF98BD" w14:textId="77777777" w:rsidTr="005C00A5">
        <w:tc>
          <w:tcPr>
            <w:tcW w:w="2160" w:type="dxa"/>
            <w:shd w:val="clear" w:color="auto" w:fill="CCDCDC"/>
          </w:tcPr>
          <w:p w14:paraId="124DBC7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4B4338C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CE630E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1C2DFFDB" w14:textId="77777777" w:rsidTr="005C00A5">
        <w:tc>
          <w:tcPr>
            <w:tcW w:w="2160" w:type="dxa"/>
            <w:shd w:val="clear" w:color="auto" w:fill="CCDCDC"/>
          </w:tcPr>
          <w:p w14:paraId="63C35DC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58F09FC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22FBB3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executive leadership has started to demonstrate some commitment to responsible AI development and deployment. However, this commitment may be limited, inconsistently communicated, or not fully supported by internal actions and resource allocation.</w:t>
            </w:r>
          </w:p>
        </w:tc>
      </w:tr>
      <w:tr w:rsidR="00963E47" w:rsidRPr="00963E47" w14:paraId="317820D4" w14:textId="77777777" w:rsidTr="005C00A5">
        <w:tc>
          <w:tcPr>
            <w:tcW w:w="2160" w:type="dxa"/>
            <w:shd w:val="clear" w:color="auto" w:fill="CCDCDC"/>
          </w:tcPr>
          <w:p w14:paraId="2BBD23F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121A79E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CC44AD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executive leadership demonstrates a strong commitment to responsible AI development and deployment through clear public statements and consistent internal actions. This includes setting expectations, defining roles and responsibilities, allocating resources, and holding management accountable for AI risk management practices.</w:t>
            </w:r>
          </w:p>
        </w:tc>
      </w:tr>
      <w:tr w:rsidR="00963E47" w:rsidRPr="00963E47" w14:paraId="7000C35E" w14:textId="77777777" w:rsidTr="005C00A5">
        <w:tc>
          <w:tcPr>
            <w:tcW w:w="2160" w:type="dxa"/>
            <w:shd w:val="clear" w:color="auto" w:fill="CCDCDC"/>
          </w:tcPr>
          <w:p w14:paraId="68902F1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7E6C846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41FB8C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executive leadership demonstrates a commitment to responsible AI development and deployment. This commitment is fully integrated into the organization's strategy, culture, and decision-making processes, and is consistently reinforced through public statements, internal actions, and resource allocation.</w:t>
            </w:r>
          </w:p>
        </w:tc>
      </w:tr>
    </w:tbl>
    <w:p w14:paraId="6853F0DF"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17BE35AB" w14:textId="77777777" w:rsidTr="005C00A5">
        <w:tc>
          <w:tcPr>
            <w:tcW w:w="2250" w:type="dxa"/>
          </w:tcPr>
          <w:p w14:paraId="774C817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lastRenderedPageBreak/>
              <w:t>AI Principle</w:t>
            </w:r>
          </w:p>
        </w:tc>
        <w:tc>
          <w:tcPr>
            <w:tcW w:w="2520" w:type="dxa"/>
          </w:tcPr>
          <w:p w14:paraId="4D0E8B2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41FCBBD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655B0A2E" w14:textId="77777777" w:rsidTr="005C00A5">
        <w:tc>
          <w:tcPr>
            <w:tcW w:w="2250" w:type="dxa"/>
          </w:tcPr>
          <w:p w14:paraId="771D947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44D4C38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Lack of Executive Commitment</w:t>
            </w:r>
          </w:p>
        </w:tc>
        <w:tc>
          <w:tcPr>
            <w:tcW w:w="5300" w:type="dxa"/>
          </w:tcPr>
          <w:p w14:paraId="315D5A3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Executive leadership doesn't demonstrate commitment to responsible AI development and deployment</w:t>
            </w:r>
          </w:p>
        </w:tc>
      </w:tr>
    </w:tbl>
    <w:p w14:paraId="70A27FD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5105CD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7FC65AE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7993B1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Encourage executive leadership to communicate the importance of AI risk management to employees and stakeholders through various channels, such as town hall meetings, newsletters, public statements, and digital communications. These messages should highlight the benefits of effective AI risk management, including enhanced trust, reputation, decision-making, and reduced legal and regulatory risks. Leadership should foster open dialogue, invite feedback on AI risk issues, and recognize exemplary practices or individuals making significant contributions to the organization’s AI risk efforts. Ensure that AI risk management is integrated into the organization’s broader communication strategy with consistent messaging across all channels.</w:t>
      </w:r>
    </w:p>
    <w:p w14:paraId="4C7D8533"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66BE24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Set clear expectations for AI risk management by formally outlining the organization’s approach, emphasizing its importance through memos, policy statements, or strategic communications. These should define roles and responsibilities for senior management in implementing and overseeing AI risk practices. To support this, establish effective monitoring and reporting capabilities that provide the executive team with timely, accurate insights into risk management activities, performance metrics, and incident responses. Develop dashboards and reporting mechanisms that enable oversight of risk mitigation efforts and compliance.</w:t>
      </w:r>
    </w:p>
    <w:p w14:paraId="73D37A3A"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1305002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Ensure that executive leaders actively participate in AI risk management discussions by attending relevant meetings, reviewing monitoring reports, and providing strategic input on key issues. Regular engagement and oversight are critical for embedding AI risk management into the organization’s governance framework, fostering continuous improvement, and maintaining strong leadership support.</w:t>
      </w:r>
    </w:p>
    <w:p w14:paraId="41E2AB9C"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FDE4D4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7E483D5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4661F8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Executive Communication Strategy</w:t>
      </w:r>
    </w:p>
    <w:p w14:paraId="4CD5424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communication strategy for executive leadership to convey the importance of responsible AI development and AI risk management through various channels such as town halls, newsletters, and public statements.</w:t>
      </w:r>
    </w:p>
    <w:p w14:paraId="2C5BB63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56B415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communication plans outlining key messages and methods for engaging stakeholders on AI risk management.</w:t>
      </w:r>
    </w:p>
    <w:p w14:paraId="0EB57D4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town hall meetings, including agendas, attendee lists, and feedback received from participants.</w:t>
      </w:r>
    </w:p>
    <w:p w14:paraId="6393866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Copies of newsletters or public statements from leadership emphasizing the organization’s commitment to responsible AI practices.</w:t>
      </w:r>
    </w:p>
    <w:p w14:paraId="2D98CC9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Media coverage or digital communication highlights demonstrating leadership's active role in promoting AI risk management.</w:t>
      </w:r>
    </w:p>
    <w:p w14:paraId="59ED207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903086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Recognition of Exemplary Practices</w:t>
      </w:r>
    </w:p>
    <w:p w14:paraId="0466912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a recognition program to highlight and reward teams and individuals demonstrating exemplary practices in AI risk management, encouraging a culture of responsibility and innovation.</w:t>
      </w:r>
    </w:p>
    <w:p w14:paraId="6DDBDD2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6C1479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the recognition program's criteria, processes, and award structures for outstanding contributions to AI risk management.</w:t>
      </w:r>
    </w:p>
    <w:p w14:paraId="5FE52F7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awards or acknowledgments given to teams or individuals for their effective AI risk management practices.</w:t>
      </w:r>
    </w:p>
    <w:p w14:paraId="765AFBD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Testimonials or case studies showcasing successful initiatives recognized by leadership.</w:t>
      </w:r>
    </w:p>
    <w:p w14:paraId="1B7C3A8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Communication regarding recognition events or announcements made to celebrate achievements in AI risk management.</w:t>
      </w:r>
    </w:p>
    <w:p w14:paraId="07DD20C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93F822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Clear Expectations and Accountability</w:t>
      </w:r>
    </w:p>
    <w:p w14:paraId="247108C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Set clear expectations for AI risk management processes, defining roles and responsibilities for all personnel involved, and establishing accountability measures for leadership and management.</w:t>
      </w:r>
    </w:p>
    <w:p w14:paraId="1F6AA8B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9D82A7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Written policies outlining expectations for AI risk management across various roles and departments.</w:t>
      </w:r>
    </w:p>
    <w:p w14:paraId="54E1B58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RACI matrices clarifying responsibilities for AI risk management tasks and decision-making processes.</w:t>
      </w:r>
    </w:p>
    <w:p w14:paraId="71FCD80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performance evaluations that include assessments of adherence to AI risk management practices.</w:t>
      </w:r>
    </w:p>
    <w:p w14:paraId="0BF846E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notes from discussions focused on accountability and role clarity related to AI initiatives.</w:t>
      </w:r>
    </w:p>
    <w:p w14:paraId="4EC5EFE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A9149C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Resource Allocation for AI Risk Management</w:t>
      </w:r>
    </w:p>
    <w:p w14:paraId="52C867D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Allocate adequate resources, including personnel, training, and technology, to support effective implementation of AI risk management practices across the organization.</w:t>
      </w:r>
    </w:p>
    <w:p w14:paraId="6D44189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8712EC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Budget documents reflecting allocated resources for AI risk management initiatives and associated training programs.</w:t>
      </w:r>
    </w:p>
    <w:p w14:paraId="591B755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Staffing plans indicating dedicated personnel for AI risk management responsibilities.</w:t>
      </w:r>
    </w:p>
    <w:p w14:paraId="0D721CB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schedules and attendance records for courses designed to strengthen AI risk management capabilities among staff.</w:t>
      </w:r>
    </w:p>
    <w:p w14:paraId="6DC39D1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tools and technologies purchased or developed to support AI risk management efforts.</w:t>
      </w:r>
    </w:p>
    <w:p w14:paraId="046DB58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FD9A46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Open Dialogue and Stakeholder Engagement</w:t>
      </w:r>
    </w:p>
    <w:p w14:paraId="5B85E62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Foster open dialogue about AI risk management with stakeholders at all levels, encouraging input, questions, and discussions around practices and policies.</w:t>
      </w:r>
    </w:p>
    <w:p w14:paraId="3ADA55A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513F2E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Logs of feedback sessions or forums where stakeholders have provided input on AI risk management practices.</w:t>
      </w:r>
    </w:p>
    <w:p w14:paraId="495B6E7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initiatives aimed at facilitating discussions among various stakeholder groups regarding AI risk management.</w:t>
      </w:r>
    </w:p>
    <w:p w14:paraId="53A9116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Surveys assessing stakeholder perceptions of how well their voices are heard in the risk management process.</w:t>
      </w:r>
    </w:p>
    <w:p w14:paraId="180CD41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summarizing stakeholder feedback and subsequent actions taken in response to that input.</w:t>
      </w:r>
    </w:p>
    <w:p w14:paraId="3F322B83"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02BC054E"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0224241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3F89DE1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0B9786D1" w14:textId="77777777" w:rsidTr="005C00A5">
        <w:tc>
          <w:tcPr>
            <w:tcW w:w="1170" w:type="dxa"/>
          </w:tcPr>
          <w:p w14:paraId="27196D9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158D30B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64938D1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6F00C7A2" w14:textId="77777777" w:rsidTr="005C00A5">
        <w:tc>
          <w:tcPr>
            <w:tcW w:w="1170" w:type="dxa"/>
          </w:tcPr>
          <w:p w14:paraId="4F1BB7E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GV-2.3.2</w:t>
            </w:r>
          </w:p>
        </w:tc>
        <w:tc>
          <w:tcPr>
            <w:tcW w:w="2160" w:type="dxa"/>
          </w:tcPr>
          <w:p w14:paraId="756AC05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Risk Appetite and Thresholds</w:t>
            </w:r>
          </w:p>
        </w:tc>
        <w:tc>
          <w:tcPr>
            <w:tcW w:w="6740" w:type="dxa"/>
          </w:tcPr>
          <w:p w14:paraId="1B61453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organization's executive leadership and/or an oversight board or committee, actively participate in establishing and approving the organization's risk appetite and tolerance thresholds for AI systems. They regularly review and contribute to AI risk management strategies, policies, and performance metrics, and principles, creating alignment with the ERM framework and business objectives.</w:t>
            </w:r>
          </w:p>
          <w:p w14:paraId="7DA800D9" w14:textId="77777777" w:rsidR="00963E47" w:rsidRPr="00963E47" w:rsidRDefault="00963E47" w:rsidP="004C3837">
            <w:pPr>
              <w:keepNext/>
              <w:rPr>
                <w:rFonts w:ascii="Aptos" w:hAnsi="Aptos" w:cs="Times New Roman"/>
                <w:b/>
                <w:bCs/>
                <w:color w:val="000000"/>
                <w:sz w:val="20"/>
                <w:szCs w:val="20"/>
              </w:rPr>
            </w:pPr>
          </w:p>
          <w:p w14:paraId="313590CD" w14:textId="77777777" w:rsidR="00963E47" w:rsidRPr="00963E47" w:rsidRDefault="00963E47" w:rsidP="004C3837">
            <w:pPr>
              <w:keepNext/>
              <w:rPr>
                <w:rFonts w:ascii="Aptos" w:hAnsi="Aptos" w:cs="Times New Roman"/>
                <w:b/>
                <w:bCs/>
                <w:color w:val="000000"/>
                <w:sz w:val="20"/>
                <w:szCs w:val="20"/>
              </w:rPr>
            </w:pPr>
            <w:hyperlink r:id="rId53" w:anchor="govern-2-3" w:history="1">
              <w:r w:rsidRPr="00963E47">
                <w:rPr>
                  <w:rFonts w:ascii="Aptos" w:hAnsi="Aptos" w:cs="Times New Roman"/>
                  <w:color w:val="000000"/>
                  <w:sz w:val="20"/>
                  <w:szCs w:val="20"/>
                  <w:u w:val="single"/>
                </w:rPr>
                <w:t>Link to NIST AI RMF Playbook</w:t>
              </w:r>
            </w:hyperlink>
          </w:p>
        </w:tc>
      </w:tr>
    </w:tbl>
    <w:p w14:paraId="0BF796C7"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4600CC3"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63D65EB8"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61D97B28" w14:textId="77777777" w:rsidTr="005C00A5">
        <w:trPr>
          <w:tblHeader/>
        </w:trPr>
        <w:tc>
          <w:tcPr>
            <w:tcW w:w="2160" w:type="dxa"/>
            <w:shd w:val="clear" w:color="auto" w:fill="CCDCDC"/>
            <w:vAlign w:val="center"/>
          </w:tcPr>
          <w:p w14:paraId="31FC966E"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4223CEC8"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72C099CE"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731A5D10" w14:textId="77777777" w:rsidTr="005C00A5">
        <w:tc>
          <w:tcPr>
            <w:tcW w:w="2160" w:type="dxa"/>
            <w:shd w:val="clear" w:color="auto" w:fill="CCDCDC"/>
          </w:tcPr>
          <w:p w14:paraId="6F56892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65D9161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5430E6F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1EDABF0F" w14:textId="77777777" w:rsidTr="005C00A5">
        <w:tc>
          <w:tcPr>
            <w:tcW w:w="2160" w:type="dxa"/>
            <w:shd w:val="clear" w:color="auto" w:fill="CCDCDC"/>
          </w:tcPr>
          <w:p w14:paraId="557110E5"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2: Minimal</w:t>
            </w:r>
          </w:p>
        </w:tc>
        <w:tc>
          <w:tcPr>
            <w:tcW w:w="1350" w:type="dxa"/>
          </w:tcPr>
          <w:p w14:paraId="6DA1F23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8D502D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0F7ECA02" w14:textId="77777777" w:rsidTr="005C00A5">
        <w:tc>
          <w:tcPr>
            <w:tcW w:w="2160" w:type="dxa"/>
            <w:shd w:val="clear" w:color="auto" w:fill="CCDCDC"/>
          </w:tcPr>
          <w:p w14:paraId="48E06AE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6472128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073ECE5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the organization's executive leadership and oversight board or committee actively participate in establishing and approving AI risk appetite and tolerance thresholds. They regularly review and contribute to AI risk management strategies, policies, and performance metrics, although the process may not yet be fully mature or consistently applied across all AI initiatives.</w:t>
            </w:r>
          </w:p>
        </w:tc>
      </w:tr>
      <w:tr w:rsidR="00963E47" w:rsidRPr="00963E47" w14:paraId="13807F52" w14:textId="77777777" w:rsidTr="005C00A5">
        <w:tc>
          <w:tcPr>
            <w:tcW w:w="2160" w:type="dxa"/>
            <w:shd w:val="clear" w:color="auto" w:fill="CCDCDC"/>
          </w:tcPr>
          <w:p w14:paraId="0E185F8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5814BB3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E5F27A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the organization's executive leadership and oversight board or committee are fully engaged in setting and approving AI risk appetite and tolerance thresholds. They play a central role in defining and overseeing the implementation of AI risk management strategies, policies, and performance metrics, ensuring full alignment with the organization's ERM framework, business objectives, and organizational principles.</w:t>
            </w:r>
          </w:p>
        </w:tc>
      </w:tr>
    </w:tbl>
    <w:p w14:paraId="43A11DDE"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61401668" w14:textId="77777777" w:rsidTr="005C00A5">
        <w:tc>
          <w:tcPr>
            <w:tcW w:w="2250" w:type="dxa"/>
          </w:tcPr>
          <w:p w14:paraId="1703A68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0217D9C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6809F67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4624E3E9" w14:textId="77777777" w:rsidTr="005C00A5">
        <w:tc>
          <w:tcPr>
            <w:tcW w:w="2250" w:type="dxa"/>
          </w:tcPr>
          <w:p w14:paraId="72A87DF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44F4E23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Undefined AI Risk Appetite</w:t>
            </w:r>
          </w:p>
        </w:tc>
        <w:tc>
          <w:tcPr>
            <w:tcW w:w="5300" w:type="dxa"/>
          </w:tcPr>
          <w:p w14:paraId="01982DE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Executive leadership doesn't actively participate in defining AI risk appetite</w:t>
            </w:r>
          </w:p>
        </w:tc>
      </w:tr>
    </w:tbl>
    <w:p w14:paraId="10482CF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BF13A4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30555AA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583C6F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Involve executive leadership and/or the board or risk committee in establishing the organization's risk appetite and setting tolerance thresholds for AI systems through a collaborative process that includes input from senior management, risk management professionals, and other relevant stakeholders. Executive leadership should review and provide feedback on proposed risk appetite statements and tolerance thresholds, ensuring they align with the organization's overall risk management framework and business objectives.</w:t>
      </w:r>
    </w:p>
    <w:p w14:paraId="3B747C5F"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7ED41A6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They should also consider the implications of AI systems and ensure these considerations are reflected in the risk appetite and tolerance thresholds. Once established, executive leadership should regularly review and update the risk appetite and tolerance thresholds as needed to ensure they remain appropriate and effective.</w:t>
      </w:r>
    </w:p>
    <w:p w14:paraId="2A05F614"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1BE1F2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35BD01D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EFD631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Risk Appetite and Tolerance Definition</w:t>
      </w:r>
    </w:p>
    <w:p w14:paraId="49CE263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and document clear definitions of the organization's risk appetite and tolerance thresholds for AI systems, ensuring alignment with overall business objectives and organizational strategy.</w:t>
      </w:r>
    </w:p>
    <w:p w14:paraId="049DF2A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A732AF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Written risk appetite statements that articulate the organization's willingness to accept specific levels of risk in AI initiatives.</w:t>
      </w:r>
    </w:p>
    <w:p w14:paraId="6F43287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thresholds for varying levels of AI risks, including clear definitions of what constitutes acceptable versus unacceptable risks.</w:t>
      </w:r>
    </w:p>
    <w:p w14:paraId="7E73E03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from discussions among executive leadership or oversight boards regarding the establishment of risk appetite and tolerance.</w:t>
      </w:r>
    </w:p>
    <w:p w14:paraId="3E6DF51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Approval records that indicate formal endorsement of the defined risk appetite and thresholds by leadership or the oversight committee.</w:t>
      </w:r>
    </w:p>
    <w:p w14:paraId="1B60ACC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6D223D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 Review of Risk Management Strategies</w:t>
      </w:r>
    </w:p>
    <w:p w14:paraId="26B4DF9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a process for regularly reviewing and updating AI risk management strategies, policies, and performance metrics to ensure they align with the established risk appetite and tolerance.</w:t>
      </w:r>
    </w:p>
    <w:p w14:paraId="03F3905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31F3ED5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Scheduling documentation for periodic reviews of risk management strategies by leadership and/or oversight boards.</w:t>
      </w:r>
    </w:p>
    <w:p w14:paraId="75E5A0E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summarizing findings from reviews, including any recommendations for adjustments to risk management approaches.</w:t>
      </w:r>
    </w:p>
    <w:p w14:paraId="055AF73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reflecting how feedback from these reviews is integrated into updated AI risk management practices.</w:t>
      </w:r>
    </w:p>
    <w:p w14:paraId="0DCADA7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Communication logs indicating discussions on performance metrics and adjustments made based on prior reviews.</w:t>
      </w:r>
    </w:p>
    <w:p w14:paraId="3A2BC6C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C754E9B"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Stakeholder Engagement in Risk Discussions</w:t>
      </w:r>
    </w:p>
    <w:p w14:paraId="7B555E6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Engage relevant stakeholders in discussions about risk appetite and tolerance, facilitating collaborative input into AI risk management processes and decisions.</w:t>
      </w:r>
    </w:p>
    <w:p w14:paraId="1512B9C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A6E01F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stakeholder meetings with agendas and participant lists discussing AI risk appetite and related topics.</w:t>
      </w:r>
    </w:p>
    <w:p w14:paraId="394DAE6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Summaries of stakeholder feedback and insights contributed during discussions around risk appetite.</w:t>
      </w:r>
    </w:p>
    <w:p w14:paraId="742796A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showing how stakeholder input has informed adjustments to risk management strategies or thresholds.</w:t>
      </w:r>
    </w:p>
    <w:p w14:paraId="2DCC6A1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Lists of action items generated from stakeholder engagement sessions and their corresponding outcomes.</w:t>
      </w:r>
    </w:p>
    <w:p w14:paraId="160E453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C82923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Alignment with Enterprise Risk Management (ERM) Framework</w:t>
      </w:r>
    </w:p>
    <w:p w14:paraId="78313BF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Ensure that AI risk appetite and tolerance are integrated into the broader Enterprise Risk Management (ERM) framework to support organizational objectives and ensure consistent risk governance.</w:t>
      </w:r>
    </w:p>
    <w:p w14:paraId="13D79FE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21EE4F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outlining the connection between AI risk tolerance and the overarching ERM framework.</w:t>
      </w:r>
    </w:p>
    <w:p w14:paraId="0643D05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from discussions on aligning AI risk policies with ERM strategies and objectives.</w:t>
      </w:r>
    </w:p>
    <w:p w14:paraId="729BB0C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dashboards that illustrate how AI risk management integrates with overall enterprise risk metrics.</w:t>
      </w:r>
    </w:p>
    <w:p w14:paraId="59D9BE1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audits assessing the consistency of AI risk appetite definitions within the context of the ERM framework.</w:t>
      </w:r>
    </w:p>
    <w:p w14:paraId="115DBB7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3EC9E0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Monitoring of Risk Metrics</w:t>
      </w:r>
    </w:p>
    <w:p w14:paraId="3777C41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processes to continuously monitor compliance with the defined risk appetite and tolerance thresholds, ensuring that the organization's AI risk management practices remain effective and responsive to changes.</w:t>
      </w:r>
    </w:p>
    <w:p w14:paraId="08AB8E9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88ADD1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tools that track key risk metrics and indicators related to AI systems against established thresholds.</w:t>
      </w:r>
    </w:p>
    <w:p w14:paraId="4250ED8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Regularly updated reports analyzing risk metric performance in relation to appetite levels and risk tolerance.</w:t>
      </w:r>
    </w:p>
    <w:p w14:paraId="35B5785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logs documenting any occurrences that exceed defined risk thresholds and the responses initiated as a result.</w:t>
      </w:r>
    </w:p>
    <w:p w14:paraId="0DD7483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scheduled reviews of risk monitoring outcomes and subsequent adjustments made to maintain alignment with risk appetite.</w:t>
      </w:r>
    </w:p>
    <w:p w14:paraId="16FA94A4"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26251A91"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7878EEF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5275303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6A7F9C53" w14:textId="77777777" w:rsidTr="005C00A5">
        <w:tc>
          <w:tcPr>
            <w:tcW w:w="1170" w:type="dxa"/>
          </w:tcPr>
          <w:p w14:paraId="74C83CD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40D31C8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7DF992B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21425C5C" w14:textId="77777777" w:rsidTr="005C00A5">
        <w:tc>
          <w:tcPr>
            <w:tcW w:w="1170" w:type="dxa"/>
          </w:tcPr>
          <w:p w14:paraId="3C9D0E9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GV-2.3.3</w:t>
            </w:r>
          </w:p>
        </w:tc>
        <w:tc>
          <w:tcPr>
            <w:tcW w:w="2160" w:type="dxa"/>
          </w:tcPr>
          <w:p w14:paraId="7044B88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Governance Structure</w:t>
            </w:r>
          </w:p>
        </w:tc>
        <w:tc>
          <w:tcPr>
            <w:tcW w:w="6740" w:type="dxa"/>
          </w:tcPr>
          <w:p w14:paraId="1767E37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establishes an AI governance structure, such as a committee with senior leaders from business, technology, risk, and legal. It provides oversight, reviews major AI initiatives, and advises on resources. Over time, this structure evolves toward clearer accountability, potentially involving a senior executive or Chief Model Risk Officer (CMRO) who takes primary responsibility for AI risk, ensuring alignment with existing risk functions like Model Risk Management (MRM).</w:t>
            </w:r>
          </w:p>
          <w:p w14:paraId="078D3C26" w14:textId="77777777" w:rsidR="00963E47" w:rsidRPr="00963E47" w:rsidRDefault="00963E47" w:rsidP="004C3837">
            <w:pPr>
              <w:keepNext/>
              <w:rPr>
                <w:rFonts w:ascii="Aptos" w:hAnsi="Aptos" w:cs="Times New Roman"/>
                <w:b/>
                <w:bCs/>
                <w:color w:val="000000"/>
                <w:sz w:val="20"/>
                <w:szCs w:val="20"/>
              </w:rPr>
            </w:pPr>
          </w:p>
          <w:p w14:paraId="504925F7" w14:textId="77777777" w:rsidR="00963E47" w:rsidRPr="00963E47" w:rsidRDefault="00963E47" w:rsidP="004C3837">
            <w:pPr>
              <w:keepNext/>
              <w:rPr>
                <w:rFonts w:ascii="Aptos" w:hAnsi="Aptos" w:cs="Times New Roman"/>
                <w:b/>
                <w:bCs/>
                <w:color w:val="000000"/>
                <w:sz w:val="20"/>
                <w:szCs w:val="20"/>
              </w:rPr>
            </w:pPr>
            <w:hyperlink r:id="rId54" w:anchor="govern-2-3" w:history="1">
              <w:r w:rsidRPr="00963E47">
                <w:rPr>
                  <w:rFonts w:ascii="Aptos" w:hAnsi="Aptos" w:cs="Times New Roman"/>
                  <w:color w:val="000000"/>
                  <w:sz w:val="20"/>
                  <w:szCs w:val="20"/>
                  <w:u w:val="single"/>
                </w:rPr>
                <w:t>Link to NIST AI RMF Playbook</w:t>
              </w:r>
            </w:hyperlink>
          </w:p>
        </w:tc>
      </w:tr>
    </w:tbl>
    <w:p w14:paraId="09DDF0EB"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2702364"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430A79C3"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28E3F73C" w14:textId="77777777" w:rsidTr="005C00A5">
        <w:trPr>
          <w:tblHeader/>
        </w:trPr>
        <w:tc>
          <w:tcPr>
            <w:tcW w:w="2160" w:type="dxa"/>
            <w:shd w:val="clear" w:color="auto" w:fill="CCDCDC"/>
            <w:vAlign w:val="center"/>
          </w:tcPr>
          <w:p w14:paraId="03EDFDCB"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5C2E00F4"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6BE770EC"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21C056D5" w14:textId="77777777" w:rsidTr="005C00A5">
        <w:tc>
          <w:tcPr>
            <w:tcW w:w="2160" w:type="dxa"/>
            <w:shd w:val="clear" w:color="auto" w:fill="CCDCDC"/>
          </w:tcPr>
          <w:p w14:paraId="4C90890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5FE6597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30213D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23BBCB5D" w14:textId="77777777" w:rsidTr="005C00A5">
        <w:tc>
          <w:tcPr>
            <w:tcW w:w="2160" w:type="dxa"/>
            <w:shd w:val="clear" w:color="auto" w:fill="CCDCDC"/>
          </w:tcPr>
          <w:p w14:paraId="6ACFEB8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458BF5E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564B68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4B71CB1D" w14:textId="77777777" w:rsidTr="005C00A5">
        <w:tc>
          <w:tcPr>
            <w:tcW w:w="2160" w:type="dxa"/>
            <w:shd w:val="clear" w:color="auto" w:fill="CCDCDC"/>
          </w:tcPr>
          <w:p w14:paraId="7675729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12BA19D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087D56A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have established an AI governance committee with senior leaders from relevant functions. This committee provides strategic oversight, reviews and approves significant AI initiatives, and monitors AI risk management effectiveness, although its role and influence may not yet be fully mature or consistently applied across all AI initiatives.</w:t>
            </w:r>
          </w:p>
        </w:tc>
      </w:tr>
      <w:tr w:rsidR="00963E47" w:rsidRPr="00963E47" w14:paraId="12BD2B24" w14:textId="77777777" w:rsidTr="005C00A5">
        <w:tc>
          <w:tcPr>
            <w:tcW w:w="2160" w:type="dxa"/>
            <w:shd w:val="clear" w:color="auto" w:fill="CCDCDC"/>
          </w:tcPr>
          <w:p w14:paraId="6789E2D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2FD01AA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D9AB27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AI governance committee is a central and influential body within the organization. It has a clearly defined charter, decision-making authority, and performance metrics, and is fully integrated into the organization's overall governance and risk management processes. The committee plays a crucial role in providing strategic oversight, approving AI initiatives, monitoring AI risk management effectiveness, and ensuring adequate resource allocation. Committee may continue to mature into an executive group with a designated leader.</w:t>
            </w:r>
          </w:p>
        </w:tc>
      </w:tr>
    </w:tbl>
    <w:p w14:paraId="7E2CC87C"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036E6D2D" w14:textId="77777777" w:rsidTr="005C00A5">
        <w:tc>
          <w:tcPr>
            <w:tcW w:w="2250" w:type="dxa"/>
          </w:tcPr>
          <w:p w14:paraId="1714370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7D8FFCA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17DC8F3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14AC91C7" w14:textId="77777777" w:rsidTr="005C00A5">
        <w:tc>
          <w:tcPr>
            <w:tcW w:w="2250" w:type="dxa"/>
          </w:tcPr>
          <w:p w14:paraId="3E5EFC1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5CF8CBC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Insufficient Governance Structure</w:t>
            </w:r>
          </w:p>
        </w:tc>
        <w:tc>
          <w:tcPr>
            <w:tcW w:w="5300" w:type="dxa"/>
          </w:tcPr>
          <w:p w14:paraId="4FAF571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governance structure is insufficient for oversight and accountability</w:t>
            </w:r>
          </w:p>
        </w:tc>
      </w:tr>
    </w:tbl>
    <w:p w14:paraId="3B614E4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F0471C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088DA86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D831BD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an AI governance committee or a similar organizational structure that includes senior leaders from relevant functions such as business, technology, risk management, legal, and compliance. This committee should serve as a forum for strategic oversight, discussing emerging AI risks and opportunities, and making recommendations to executive leadership. The committee should have a clear charter outlining its purpose, responsibilities, and decision-making authority, with regular meetings to review significant AI initiatives, monitor risk management effectiveness, and ensure resource support.</w:t>
      </w:r>
    </w:p>
    <w:p w14:paraId="69D0C4F3"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9208C0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Consider defining a single senior executive (e.g., Chief Model Risk Officer) who takes primary responsibility for AI risk oversight while ensuring this role coordinates effectively with other established risk management functions. Ensure this structure complements existing risk functions, not conflicts with them, and promotes clear accountability for AI-related risks at the highest levels of governance.</w:t>
      </w:r>
    </w:p>
    <w:p w14:paraId="40A9862B"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428D095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Align the governance structure, whether a dedicated committee or a senior executive, with the organization’s mission and risk appetite, providing sufficient oversight and challenge to manage AI risks effectively without undermining existing risk management or MRM processes.</w:t>
      </w:r>
    </w:p>
    <w:p w14:paraId="37AC5A1F"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A0A395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2546B5E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4BCCC4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Formation of AI Governance Committee</w:t>
      </w:r>
    </w:p>
    <w:p w14:paraId="79F4F76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an AI governance committee comprising senior leaders from business, technology, risk, and legal departments to oversee AI initiatives, resource allocation, and compliance with governance standards.</w:t>
      </w:r>
    </w:p>
    <w:p w14:paraId="45C4658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A7741D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the committee's charter outlining its objectives, membership, and responsibilities.</w:t>
      </w:r>
    </w:p>
    <w:p w14:paraId="6C2664A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agendas and minutes highlighting discussions and decisions made regarding AI initiatives.</w:t>
      </w:r>
    </w:p>
    <w:p w14:paraId="17EFF1F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attendance and participation from committee members during governance meetings.</w:t>
      </w:r>
    </w:p>
    <w:p w14:paraId="6B22A3D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detailing recommendations made by the committee for resource allocation and risk management.</w:t>
      </w:r>
    </w:p>
    <w:p w14:paraId="2AF351E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39A081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Oversight of Major AI Initiatives</w:t>
      </w:r>
    </w:p>
    <w:p w14:paraId="57367B1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processes within the governance structure for the review and oversight of major AI initiatives to ensure alignment with organizational goals and risk objectives.</w:t>
      </w:r>
    </w:p>
    <w:p w14:paraId="601D9F9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B80231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major AI initiatives presented to the governance committee for review, including project proposals and risk assessments.</w:t>
      </w:r>
    </w:p>
    <w:p w14:paraId="2DCF353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committee feedback on significant AI projects, including action items or required changes prior to project approval.</w:t>
      </w:r>
    </w:p>
    <w:p w14:paraId="013A908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Approval logs indicating that the committee has formally signed off on AI initiatives at various stages.</w:t>
      </w:r>
    </w:p>
    <w:p w14:paraId="3EC727F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Evaluation reports summarizing the outcomes of major AI initiatives and their alignment with established goals and risk strategies.</w:t>
      </w:r>
    </w:p>
    <w:p w14:paraId="79550CE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EDD5EA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Definition of Roles and Accountability</w:t>
      </w:r>
    </w:p>
    <w:p w14:paraId="1D85DB7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Clearly define roles and responsibilities within the AI governance structure to enhance accountability and ensure effective oversight of AI risk management.</w:t>
      </w:r>
    </w:p>
    <w:p w14:paraId="3340CB5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7C6303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Role descriptions for committee members, detailing specific responsibilities related to AI governance and risk oversight.</w:t>
      </w:r>
    </w:p>
    <w:p w14:paraId="69344C6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RACI (Responsible, Accountable, Consulted, Informed) matrices illustrating accountability within the AI governance structure.</w:t>
      </w:r>
    </w:p>
    <w:p w14:paraId="1663DB8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any changes made to roles or responsibilities over time, reflecting evolving governance needs.</w:t>
      </w:r>
    </w:p>
    <w:p w14:paraId="0FE9377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committee members regarding their experiences and clarity in their assigned roles.</w:t>
      </w:r>
    </w:p>
    <w:p w14:paraId="010181E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1E18B8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Appointment of Chief Model Risk Officer (CMRO)</w:t>
      </w:r>
    </w:p>
    <w:p w14:paraId="34B2A99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If applicable, appoint a Chief Model Risk Officer (CMRO) to take primary responsibility for AI risk management, ensuring integration with existing risk functions like Model Risk Management (MRM).</w:t>
      </w:r>
    </w:p>
    <w:p w14:paraId="4521BCC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A53B3C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Official appointment letters or announcements confirming the selection of the CMRO and their roles within the organization.</w:t>
      </w:r>
    </w:p>
    <w:p w14:paraId="3824081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outlining the CMRO's responsibilities and authority in relation to AI risk management.</w:t>
      </w:r>
    </w:p>
    <w:p w14:paraId="5956784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meetings led by the CMRO focused on AI risk assessment and mitigation strategies.</w:t>
      </w:r>
    </w:p>
    <w:p w14:paraId="6550F82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Reports detailing interactions between the CMRO and existing risk functions to demonstrate integrated governance efforts.</w:t>
      </w:r>
    </w:p>
    <w:p w14:paraId="6E4E0C5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33C940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Evaluation and Adaptation of Governance Structure</w:t>
      </w:r>
    </w:p>
    <w:p w14:paraId="0608181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evaluate and adapt the AI governance structure over time to ensure it remains effective, accountable, and aligned with evolving industry standards and organizational objectives.</w:t>
      </w:r>
    </w:p>
    <w:p w14:paraId="7F9085F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66F3DB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documenting periodic evaluations of the governance structure and its effectiveness.</w:t>
      </w:r>
    </w:p>
    <w:p w14:paraId="54A0C87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reports from stakeholders assessing the governance structure's performance and areas for improvement.</w:t>
      </w:r>
    </w:p>
    <w:p w14:paraId="37365AC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reflecting amendments made to governance processes or structures based on evaluations and stakeholder input.</w:t>
      </w:r>
    </w:p>
    <w:p w14:paraId="3B45B2A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action plans developed from evaluations to enhance the governance framework and accountability measures.</w:t>
      </w:r>
    </w:p>
    <w:p w14:paraId="7BE37E24"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616B243C"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665A070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26CDAE8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35A476AA" w14:textId="77777777" w:rsidTr="005C00A5">
        <w:tc>
          <w:tcPr>
            <w:tcW w:w="1170" w:type="dxa"/>
          </w:tcPr>
          <w:p w14:paraId="3BAE4AD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2879D7F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65602CD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4E6DD64D" w14:textId="77777777" w:rsidTr="005C00A5">
        <w:tc>
          <w:tcPr>
            <w:tcW w:w="1170" w:type="dxa"/>
          </w:tcPr>
          <w:p w14:paraId="016933B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GV-2.3.4</w:t>
            </w:r>
          </w:p>
        </w:tc>
        <w:tc>
          <w:tcPr>
            <w:tcW w:w="2160" w:type="dxa"/>
          </w:tcPr>
          <w:p w14:paraId="3BF108A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Board Oversight of AI Risks</w:t>
            </w:r>
          </w:p>
        </w:tc>
        <w:tc>
          <w:tcPr>
            <w:tcW w:w="6740" w:type="dxa"/>
          </w:tcPr>
          <w:p w14:paraId="28E507F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organization’s board of directors provides independent oversight of AI risk management by reviewing performance, discussing significant AI-related issues, and offering guidance on industry standards and guidelines. The board actively oversees the integration of AI into the organization’s broader strategic objectives, including investment and resource planning, business model evolution, and HR practices related to AI talent. The board ensures that AI considerations are embedded into enterprise-level decision-making, aligning AI initiatives with organizational goals and risk appetite.</w:t>
            </w:r>
          </w:p>
          <w:p w14:paraId="756E8CBA" w14:textId="77777777" w:rsidR="00963E47" w:rsidRPr="00963E47" w:rsidRDefault="00963E47" w:rsidP="004C3837">
            <w:pPr>
              <w:keepNext/>
              <w:rPr>
                <w:rFonts w:ascii="Aptos" w:hAnsi="Aptos" w:cs="Times New Roman"/>
                <w:b/>
                <w:bCs/>
                <w:color w:val="000000"/>
                <w:sz w:val="20"/>
                <w:szCs w:val="20"/>
              </w:rPr>
            </w:pPr>
          </w:p>
          <w:p w14:paraId="2D19B628" w14:textId="77777777" w:rsidR="00963E47" w:rsidRPr="00963E47" w:rsidRDefault="00963E47" w:rsidP="004C3837">
            <w:pPr>
              <w:keepNext/>
              <w:rPr>
                <w:rFonts w:ascii="Aptos" w:hAnsi="Aptos" w:cs="Times New Roman"/>
                <w:b/>
                <w:bCs/>
                <w:color w:val="000000"/>
                <w:sz w:val="20"/>
                <w:szCs w:val="20"/>
              </w:rPr>
            </w:pPr>
            <w:hyperlink r:id="rId55" w:anchor="govern-2-3" w:history="1">
              <w:r w:rsidRPr="00963E47">
                <w:rPr>
                  <w:rFonts w:ascii="Aptos" w:hAnsi="Aptos" w:cs="Times New Roman"/>
                  <w:color w:val="000000"/>
                  <w:sz w:val="20"/>
                  <w:szCs w:val="20"/>
                  <w:u w:val="single"/>
                </w:rPr>
                <w:t>Link to NIST AI RMF Playbook</w:t>
              </w:r>
            </w:hyperlink>
          </w:p>
        </w:tc>
      </w:tr>
    </w:tbl>
    <w:p w14:paraId="66C32388"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7371742"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47842CAC"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2047991D" w14:textId="77777777" w:rsidTr="005C00A5">
        <w:trPr>
          <w:tblHeader/>
        </w:trPr>
        <w:tc>
          <w:tcPr>
            <w:tcW w:w="2160" w:type="dxa"/>
            <w:shd w:val="clear" w:color="auto" w:fill="CCDCDC"/>
            <w:vAlign w:val="center"/>
          </w:tcPr>
          <w:p w14:paraId="34B29954"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42B0F2FF"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1967056B"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04E75809" w14:textId="77777777" w:rsidTr="005C00A5">
        <w:tc>
          <w:tcPr>
            <w:tcW w:w="2160" w:type="dxa"/>
            <w:shd w:val="clear" w:color="auto" w:fill="CCDCDC"/>
          </w:tcPr>
          <w:p w14:paraId="75C9ACB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54F32D9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028B65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07043579" w14:textId="77777777" w:rsidTr="005C00A5">
        <w:tc>
          <w:tcPr>
            <w:tcW w:w="2160" w:type="dxa"/>
            <w:shd w:val="clear" w:color="auto" w:fill="CCDCDC"/>
          </w:tcPr>
          <w:p w14:paraId="3A29087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53379E9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7CBF86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6754483A" w14:textId="77777777" w:rsidTr="005C00A5">
        <w:tc>
          <w:tcPr>
            <w:tcW w:w="2160" w:type="dxa"/>
            <w:shd w:val="clear" w:color="auto" w:fill="CCDCDC"/>
          </w:tcPr>
          <w:p w14:paraId="47841815"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319CAF2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2F8369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6C8B21D1" w14:textId="77777777" w:rsidTr="005C00A5">
        <w:tc>
          <w:tcPr>
            <w:tcW w:w="2160" w:type="dxa"/>
            <w:shd w:val="clear" w:color="auto" w:fill="CCDCDC"/>
          </w:tcPr>
          <w:p w14:paraId="2763CA7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3A59FDB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966EC7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the organization's board of directors provides comprehensive and ongoing independent oversight of AI risk management. This oversight is fully integrated into the board's overall governance responsibilities and is supported by regular briefings, performance reports, and risk assessments. The board plays a crucial role in ensuring that AI risk management is aligned with industry standards, regulatory requirements, and the organization's overall strategy and risk appetite.</w:t>
            </w:r>
          </w:p>
        </w:tc>
      </w:tr>
    </w:tbl>
    <w:p w14:paraId="309D47C9"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21F20DAF" w14:textId="77777777" w:rsidTr="005C00A5">
        <w:tc>
          <w:tcPr>
            <w:tcW w:w="2250" w:type="dxa"/>
          </w:tcPr>
          <w:p w14:paraId="1CD7C36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lastRenderedPageBreak/>
              <w:t>AI Principle</w:t>
            </w:r>
          </w:p>
        </w:tc>
        <w:tc>
          <w:tcPr>
            <w:tcW w:w="2520" w:type="dxa"/>
          </w:tcPr>
          <w:p w14:paraId="1C70615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1E54454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34B614EA" w14:textId="77777777" w:rsidTr="005C00A5">
        <w:tc>
          <w:tcPr>
            <w:tcW w:w="2250" w:type="dxa"/>
          </w:tcPr>
          <w:p w14:paraId="5E03AD1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4E14463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Inadequate Board Oversight</w:t>
            </w:r>
          </w:p>
        </w:tc>
        <w:tc>
          <w:tcPr>
            <w:tcW w:w="5300" w:type="dxa"/>
          </w:tcPr>
          <w:p w14:paraId="7AD767C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Board oversight of AI risk management is inadequate or missing</w:t>
            </w:r>
          </w:p>
        </w:tc>
      </w:tr>
    </w:tbl>
    <w:p w14:paraId="484D2F2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4168BF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000531D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254EEA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Ensure the board of directors provides independent oversight of AI risk management by regularly reviewing performance metrics, discussing significant AI-related issues, and offering strategic guidance. This oversight should extend to integrating AI into the organization’s broader strategy, including resource allocation, investment priorities, and talent management strategies for AI. The board should meaningfully engage in discussions on AI’s role in business transformation, ensure alignment with enterprise risk appetite, and monitor approval and oversight of major AI initiatives. </w:t>
      </w:r>
    </w:p>
    <w:p w14:paraId="6F543A55"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D4EC96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The board should receive comprehensive reports from executive leadership or the AI governance committee, incorporating both performance data and strategic considerations. They should also stay informed about industry standards and emerging best practices, ensuring organizational practices align with these external expectations. Constructive challenge and oversight by the board regarding AI risks and opportunities are essential to fostering responsible and strategic AI deployment, with follow-up actions taken to address weaknesses or gaps.</w:t>
      </w:r>
    </w:p>
    <w:p w14:paraId="2290B435"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45E158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486D497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3A9320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Board Review Process for AI Risks</w:t>
      </w:r>
    </w:p>
    <w:p w14:paraId="2CF011E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formal process for the board to regularly review AI risk management performance and significant AI-related issues, ensuring accountability and informed decision-making.</w:t>
      </w:r>
    </w:p>
    <w:p w14:paraId="10EC887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D3C0F2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Agendas and minutes from board meetings that include discussions specifically related to AI risk management and performance evaluations.</w:t>
      </w:r>
    </w:p>
    <w:p w14:paraId="641D2CE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presented to the board detailing AI risk performance metrics, issues, and current strategies being employed.</w:t>
      </w:r>
    </w:p>
    <w:p w14:paraId="4E511B9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action items generated from board discussions regarding recommendations or concerns about AI risks.</w:t>
      </w:r>
    </w:p>
    <w:p w14:paraId="189C897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feedback and guidance provided by board members on AI risk management practices and policies.</w:t>
      </w:r>
    </w:p>
    <w:p w14:paraId="4852354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4D2D49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of AI with Strategic Objectives</w:t>
      </w:r>
    </w:p>
    <w:p w14:paraId="773258A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Ensure that AI considerations are integrated into the organization’s broader strategic objectives through regular dialogue between the board and senior management.</w:t>
      </w:r>
    </w:p>
    <w:p w14:paraId="617F060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117505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Strategic planning documents indicating how AI initiatives align with overall business objectives and resource planning.</w:t>
      </w:r>
    </w:p>
    <w:p w14:paraId="56715DD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records showing discussions on how AI impacts business model evolution and strategic resource allocation.</w:t>
      </w:r>
    </w:p>
    <w:p w14:paraId="5628D05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Presentations made to the board that outline the strategic relevance of AI initiatives and their anticipated outcomes.</w:t>
      </w:r>
    </w:p>
    <w:p w14:paraId="76CDD3B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on how AI projects contribute to enterprise-level goals, including metrics that demonstrate their success.</w:t>
      </w:r>
    </w:p>
    <w:p w14:paraId="514067E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EDEE0F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Guidance on Industry Standards and Best Practices</w:t>
      </w:r>
    </w:p>
    <w:p w14:paraId="3769014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Provide the board with relevant guidance on industry standards and best practices related to AI risk management, ensuring that the organization remains compliant and competitive.</w:t>
      </w:r>
    </w:p>
    <w:p w14:paraId="5261E3D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06DB48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training sessions or informational briefings provided to the board on AI-related industry standards and best practices.</w:t>
      </w:r>
    </w:p>
    <w:p w14:paraId="5BB34C3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Records of external expert consultations or presentations made to the board regarding the state of AI risk management in the industry.</w:t>
      </w:r>
    </w:p>
    <w:p w14:paraId="088014D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Annual reports summarizing changes in regulations or industry standards that impact AI initiatives, presented for board review.</w:t>
      </w:r>
    </w:p>
    <w:p w14:paraId="34ACC97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board members on how well the organization is aligned with industry benchmarks and standards.</w:t>
      </w:r>
    </w:p>
    <w:p w14:paraId="63BA6F2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247854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Oversight of AI Talent</w:t>
      </w:r>
    </w:p>
    <w:p w14:paraId="0CD111F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Oversee human resources practices related to AI talent acquisition in AI development and deployment, ensuring alignment with the organization’s standards and values.</w:t>
      </w:r>
    </w:p>
    <w:p w14:paraId="4BAC1A4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47856C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HR policies outlining recruitment and training practices specifically for AI roles.</w:t>
      </w:r>
    </w:p>
    <w:p w14:paraId="37A5975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board discussions regarding workforce planning focused on AI capabilities and responsibilities.</w:t>
      </w:r>
    </w:p>
    <w:p w14:paraId="66AB9AE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initiatives aimed at fostering a responsible organizational culture in AI development and talent management.</w:t>
      </w:r>
    </w:p>
    <w:p w14:paraId="60636A6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Surveys or assessments of employee understanding of responsible practices in AI, reported to the board.</w:t>
      </w:r>
    </w:p>
    <w:p w14:paraId="60F52E3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8FA83B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Monitoring and Adaptation of AI Governance</w:t>
      </w:r>
    </w:p>
    <w:p w14:paraId="7D9BE2D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monitor and adapt the organization’s AI governance framework based on developments in AI risk management, stakeholder feedback, and changes in the organizational risk appetite.</w:t>
      </w:r>
    </w:p>
    <w:p w14:paraId="605B1AE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223782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outlining when the governance framework will be assessed by the board.</w:t>
      </w:r>
    </w:p>
    <w:p w14:paraId="45C5CD3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changes made to AI governance structures or processes following board evaluations.</w:t>
      </w:r>
    </w:p>
    <w:p w14:paraId="505E3DF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summarizing benchmarking analyses that compare the organization’s AI governance against industry standards.</w:t>
      </w:r>
    </w:p>
    <w:p w14:paraId="4A7B68F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stakeholder feedback incorporated into governance updates presented to the board.</w:t>
      </w:r>
    </w:p>
    <w:p w14:paraId="7B77D0AE"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19" w:name="_Toc214874764"/>
      <w:r w:rsidRPr="00963E47">
        <w:rPr>
          <w:rFonts w:ascii="Aptos" w:eastAsia="Aptos" w:hAnsi="Aptos" w:cs="Times New Roman"/>
          <w:b/>
          <w:bCs/>
          <w:noProof/>
          <w:color w:val="35256B"/>
          <w:kern w:val="2"/>
          <w:sz w:val="24"/>
          <w14:ligatures w14:val="standardContextual"/>
        </w:rPr>
        <w:t>GOVERN / Building an AI Risk Management Workforce / Bolstering Broad Perspectives</w:t>
      </w:r>
      <w:bookmarkEnd w:id="19"/>
      <w:r w:rsidRPr="00963E47">
        <w:rPr>
          <w:rFonts w:ascii="Aptos" w:eastAsia="Aptos" w:hAnsi="Aptos" w:cs="Times New Roman"/>
          <w:b/>
          <w:bCs/>
          <w:noProof/>
          <w:color w:val="35256B"/>
          <w:kern w:val="2"/>
          <w:sz w:val="24"/>
          <w14:ligatures w14:val="standardContextual"/>
        </w:rPr>
        <w:t xml:space="preserve"> </w:t>
      </w:r>
    </w:p>
    <w:p w14:paraId="3E8D9F71"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5A2A922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2E36F0A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5000DB39" w14:textId="77777777" w:rsidTr="005C00A5">
        <w:tc>
          <w:tcPr>
            <w:tcW w:w="1170" w:type="dxa"/>
          </w:tcPr>
          <w:p w14:paraId="0CBA75B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6842681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569FEAD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0AC6D000" w14:textId="77777777" w:rsidTr="005C00A5">
        <w:tc>
          <w:tcPr>
            <w:tcW w:w="1170" w:type="dxa"/>
          </w:tcPr>
          <w:p w14:paraId="4BE6FE7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GV-3.1.1</w:t>
            </w:r>
          </w:p>
        </w:tc>
        <w:tc>
          <w:tcPr>
            <w:tcW w:w="2160" w:type="dxa"/>
          </w:tcPr>
          <w:p w14:paraId="77BDC0A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Multiple Perspectives in AI Risk Teams</w:t>
            </w:r>
          </w:p>
        </w:tc>
        <w:tc>
          <w:tcPr>
            <w:tcW w:w="6740" w:type="dxa"/>
          </w:tcPr>
          <w:p w14:paraId="459485D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To minimize risk blind spots and groupthink and represent global or regional stakeholder interests, the organization prioritizes multidisciplinary perspectives in AI risk management decision-making. AI risk management teams are formed considering demographics, disciplines, experience, and backgrounds, actively seeking multiple perspectives.</w:t>
            </w:r>
          </w:p>
          <w:p w14:paraId="6DDF1B03" w14:textId="77777777" w:rsidR="00963E47" w:rsidRPr="00963E47" w:rsidRDefault="00963E47" w:rsidP="004C3837">
            <w:pPr>
              <w:keepNext/>
              <w:rPr>
                <w:rFonts w:ascii="Aptos" w:hAnsi="Aptos" w:cs="Times New Roman"/>
                <w:b/>
                <w:bCs/>
                <w:color w:val="000000"/>
                <w:sz w:val="20"/>
                <w:szCs w:val="20"/>
              </w:rPr>
            </w:pPr>
          </w:p>
          <w:p w14:paraId="231C2BBE" w14:textId="77777777" w:rsidR="00963E47" w:rsidRPr="00963E47" w:rsidRDefault="00963E47" w:rsidP="004C3837">
            <w:pPr>
              <w:keepNext/>
              <w:rPr>
                <w:rFonts w:ascii="Aptos" w:hAnsi="Aptos" w:cs="Times New Roman"/>
                <w:b/>
                <w:bCs/>
                <w:color w:val="000000"/>
                <w:sz w:val="20"/>
                <w:szCs w:val="20"/>
              </w:rPr>
            </w:pPr>
            <w:hyperlink r:id="rId56" w:anchor="govern-3-1" w:history="1">
              <w:r w:rsidRPr="00963E47">
                <w:rPr>
                  <w:rFonts w:ascii="Aptos" w:hAnsi="Aptos" w:cs="Times New Roman"/>
                  <w:color w:val="000000"/>
                  <w:sz w:val="20"/>
                  <w:szCs w:val="20"/>
                  <w:u w:val="single"/>
                </w:rPr>
                <w:t>Link to NIST AI RMF Playbook</w:t>
              </w:r>
            </w:hyperlink>
          </w:p>
        </w:tc>
      </w:tr>
    </w:tbl>
    <w:p w14:paraId="0826376B"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D28A5D0"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5B6E0144"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6CB7E64A" w14:textId="77777777" w:rsidTr="005C00A5">
        <w:trPr>
          <w:tblHeader/>
        </w:trPr>
        <w:tc>
          <w:tcPr>
            <w:tcW w:w="2160" w:type="dxa"/>
            <w:shd w:val="clear" w:color="auto" w:fill="CCDCDC"/>
            <w:vAlign w:val="center"/>
          </w:tcPr>
          <w:p w14:paraId="26336C57"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1DD008E5"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50F1F103"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13CD35C8" w14:textId="77777777" w:rsidTr="005C00A5">
        <w:tc>
          <w:tcPr>
            <w:tcW w:w="2160" w:type="dxa"/>
            <w:shd w:val="clear" w:color="auto" w:fill="CCDCDC"/>
          </w:tcPr>
          <w:p w14:paraId="660A9BC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40079EC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F62FE9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358AD01B" w14:textId="77777777" w:rsidTr="005C00A5">
        <w:tc>
          <w:tcPr>
            <w:tcW w:w="2160" w:type="dxa"/>
            <w:shd w:val="clear" w:color="auto" w:fill="CCDCDC"/>
          </w:tcPr>
          <w:p w14:paraId="4294EE2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6682413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E0CA10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have started to recognize the importance of multidisciplinary perspectives in AI risk management decision-making. However, efforts to form multidisciplinary teams and implement collaborative processes may be limited, inconsistent, or not fully supported by clear criteria and structured techniques.</w:t>
            </w:r>
          </w:p>
        </w:tc>
      </w:tr>
      <w:tr w:rsidR="00963E47" w:rsidRPr="00963E47" w14:paraId="6330941E" w14:textId="77777777" w:rsidTr="005C00A5">
        <w:tc>
          <w:tcPr>
            <w:tcW w:w="2160" w:type="dxa"/>
            <w:shd w:val="clear" w:color="auto" w:fill="CCDCDC"/>
          </w:tcPr>
          <w:p w14:paraId="295E5CA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24141E2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2D652B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evolving stage, organizations actively prioritize and promote multidisciplinary perspectives in AI risk management decision-making. They form teams with various demographics, disciplines, experiences, </w:t>
            </w:r>
            <w:r w:rsidRPr="00963E47">
              <w:rPr>
                <w:rFonts w:ascii="Aptos" w:hAnsi="Aptos" w:cs="Times New Roman"/>
                <w:noProof/>
                <w:color w:val="auto"/>
                <w:sz w:val="20"/>
                <w:szCs w:val="20"/>
              </w:rPr>
              <w:lastRenderedPageBreak/>
              <w:t>and backgrounds, and implement collaborative processes with clear criteria, open dialogue, and structured techniques to ensure multidisciplinary viewpoints are considered.</w:t>
            </w:r>
          </w:p>
        </w:tc>
      </w:tr>
      <w:tr w:rsidR="00963E47" w:rsidRPr="00963E47" w14:paraId="5F8A71B4" w14:textId="77777777" w:rsidTr="005C00A5">
        <w:tc>
          <w:tcPr>
            <w:tcW w:w="2160" w:type="dxa"/>
            <w:shd w:val="clear" w:color="auto" w:fill="CCDCDC"/>
          </w:tcPr>
          <w:p w14:paraId="59AF27F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4: Embedded</w:t>
            </w:r>
          </w:p>
        </w:tc>
        <w:tc>
          <w:tcPr>
            <w:tcW w:w="1350" w:type="dxa"/>
          </w:tcPr>
          <w:p w14:paraId="2F9D7CE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7CEB1D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prioritize multidisciplinary perspectives in AI risk management decision-making. This is fully integrated into the organization's culture and processes. Multidisciplinary teams are consistently formed, and collaborative processes are continuously refined and improved based on feedback and best practices. The organization actively measures and reports on the impact of multidisciplinary viewpoints on AI risk management outcomes.</w:t>
            </w:r>
          </w:p>
        </w:tc>
      </w:tr>
    </w:tbl>
    <w:p w14:paraId="5D390159"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3C91D4D5" w14:textId="77777777" w:rsidTr="005C00A5">
        <w:tc>
          <w:tcPr>
            <w:tcW w:w="2250" w:type="dxa"/>
          </w:tcPr>
          <w:p w14:paraId="6EF58FF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5D9FFDD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5DDB2E7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7E4F9713" w14:textId="77777777" w:rsidTr="005C00A5">
        <w:tc>
          <w:tcPr>
            <w:tcW w:w="2250" w:type="dxa"/>
          </w:tcPr>
          <w:p w14:paraId="419ECE2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Fair</w:t>
            </w:r>
          </w:p>
        </w:tc>
        <w:tc>
          <w:tcPr>
            <w:tcW w:w="2520" w:type="dxa"/>
          </w:tcPr>
          <w:p w14:paraId="0457F27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Lack of Multidisciplinary Perspectives</w:t>
            </w:r>
          </w:p>
        </w:tc>
        <w:tc>
          <w:tcPr>
            <w:tcW w:w="5300" w:type="dxa"/>
          </w:tcPr>
          <w:p w14:paraId="3CFE2EA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Multidisciplinary perspectives are not prioritized in AI risk management decision-making</w:t>
            </w:r>
          </w:p>
        </w:tc>
      </w:tr>
    </w:tbl>
    <w:p w14:paraId="4E63A3C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F8E9DB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7D4698C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85FF5D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a clear policy that emphasizes the importance of incorporating multiple perspectives within AI risk management teams to enhance decision-making and holistic risk assessment. This policy should articulate the organization’s commitment to forming teams that include individuals with varied demographics, disciplines, experiences, and backgrounds to foster different viewpoints.</w:t>
      </w:r>
    </w:p>
    <w:p w14:paraId="34661F94"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4CD643A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When assembling AI risk management teams, actively seek out members who can offer different insights and expertise. This can be achieved through targeted recruitment efforts, leveraging employee resource groups, or inviting nominations across different departments and levels of the organization. Ensure team members understand the value of multiple perspectives and are encouraged to share their unique insights and experiences, contributing to more robust and comprehensive risk assessments and decision-making processes.</w:t>
      </w:r>
    </w:p>
    <w:p w14:paraId="52ED9A02"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03A17B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4FADA5C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3BD56E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Multidisciplinary AI Risk Teams</w:t>
      </w:r>
    </w:p>
    <w:p w14:paraId="21BC9A9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guidelines for forming AI risk management teams that prioritize different demographics, disciplines, experience, and backgrounds to foster innovative thinking and minimize bias.</w:t>
      </w:r>
    </w:p>
    <w:p w14:paraId="5B835A3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927BA4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team composition criteria that outline different requirements for AI risk management roles.</w:t>
      </w:r>
    </w:p>
    <w:p w14:paraId="642223A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demographic data for team members, showcasing a range of backgrounds and experiences.</w:t>
      </w:r>
    </w:p>
    <w:p w14:paraId="0CBE08F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from discussions on the importance of multiple disciplines in decision-making processes within AI risk management.</w:t>
      </w:r>
    </w:p>
    <w:p w14:paraId="716BDDE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Performance evaluations indicating how multidisciplinary perspectives contributed to innovative solutions or outcomes in risk management.</w:t>
      </w:r>
    </w:p>
    <w:p w14:paraId="522BBFE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36DDF8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Stakeholder Engagement Strategies</w:t>
      </w:r>
    </w:p>
    <w:p w14:paraId="59260DD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engagement strategies to actively seek input from a wide range of stakeholders, including global and regional representatives, during AI risk management discussions and decision-making.</w:t>
      </w:r>
    </w:p>
    <w:p w14:paraId="23EF025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339DE1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Logs of stakeholder engagement activities, including focus groups, interviews, and consultations involving multidisciplinary stakeholders.</w:t>
      </w:r>
    </w:p>
    <w:p w14:paraId="7E0AA07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feedback received from stakeholders on AI risk processes and their incorporation into decision-making.</w:t>
      </w:r>
    </w:p>
    <w:p w14:paraId="78BB4D0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Documentation of how engagement strategies are developed to reach wide-ranging groups in the AI risk management process.</w:t>
      </w:r>
    </w:p>
    <w:p w14:paraId="4486BDD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summarizing the impact of stakeholder input on AI risk assessments and management strategies.</w:t>
      </w:r>
    </w:p>
    <w:p w14:paraId="002CBE4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F8CDBA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Training on Bias and Decision-Making</w:t>
      </w:r>
    </w:p>
    <w:p w14:paraId="69D4379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Provide training for AI risk management teams on recognizing and mitigating biases in decision-making to ensure that multiple perspectives are valued and considered.</w:t>
      </w:r>
    </w:p>
    <w:p w14:paraId="0D6494F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6B4632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materials focusing on bias, decision-making processes, and the importance of multidisciplinary perspectives.</w:t>
      </w:r>
    </w:p>
    <w:p w14:paraId="314DE18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Attendance records for team members participating in bias awareness and decision-making training sessions.</w:t>
      </w:r>
    </w:p>
    <w:p w14:paraId="13D207F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surveys assessing the effectiveness of the training in raising awareness of bias within the decision-making framework.</w:t>
      </w:r>
    </w:p>
    <w:p w14:paraId="7B88FF6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discussions held post-training to address how the insights impacted ongoing risk management practices.</w:t>
      </w:r>
    </w:p>
    <w:p w14:paraId="51BAD66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7BF177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Analysis of Group Dynamics in Decision-Making</w:t>
      </w:r>
    </w:p>
    <w:p w14:paraId="48F4DE7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analyze the dynamics of AI risk management teams to evaluate the effectiveness of multidisciplinary perspectives in minimizing groupthink and enhancing decision quality.</w:t>
      </w:r>
    </w:p>
    <w:p w14:paraId="7508579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C14670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detailing assessments of team dynamics and decision-making processes, highlighting instances of groupthink or bias encountered.</w:t>
      </w:r>
    </w:p>
    <w:p w14:paraId="15C1ACC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facilitation sessions aimed at improving group discussions and encouraging open dialogue among team members.</w:t>
      </w:r>
    </w:p>
    <w:p w14:paraId="420ED07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Evaluation metrics measuring decision quality before and after implementing strategies to enhance different perspectives in teams.</w:t>
      </w:r>
    </w:p>
    <w:p w14:paraId="4D616F6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adaptations made to teamwork processes based on analysis outcomes to foster better engagement.</w:t>
      </w:r>
    </w:p>
    <w:p w14:paraId="2DFC99E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EA88BE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Improvement of Cross-Functional Initiatives</w:t>
      </w:r>
    </w:p>
    <w:p w14:paraId="330B1E9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continuous improvement process for the organization's cross-functional initiatives within AI risk management, regularly assessing their effectiveness based on team performance and stakeholder feedback.</w:t>
      </w:r>
    </w:p>
    <w:p w14:paraId="4CA1574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49D2EA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periodic reviews assessing the outcomes of cross-functional initiatives and their impacts on AI risk management decisions.</w:t>
      </w:r>
    </w:p>
    <w:p w14:paraId="7D12C46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plans derived from reviews highlighting areas for improvement and strategies for addressing identified gaps in multidisciplinary efforts.</w:t>
      </w:r>
    </w:p>
    <w:p w14:paraId="5405B58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records from stakeholders regarding the effectiveness of initiatives aimed at improving cross-functionality in risk management teams.</w:t>
      </w:r>
    </w:p>
    <w:p w14:paraId="7A11DDA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documenting changes made to practices based on evaluations and stakeholder insights, demonstrating a commitment to ongoing improvement.</w:t>
      </w:r>
    </w:p>
    <w:p w14:paraId="1A720353"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20" w:name="_Toc214874765"/>
      <w:r w:rsidRPr="00963E47">
        <w:rPr>
          <w:rFonts w:ascii="Aptos" w:eastAsia="Aptos" w:hAnsi="Aptos" w:cs="Times New Roman"/>
          <w:b/>
          <w:bCs/>
          <w:noProof/>
          <w:color w:val="35256B"/>
          <w:kern w:val="2"/>
          <w:sz w:val="24"/>
          <w14:ligatures w14:val="standardContextual"/>
        </w:rPr>
        <w:lastRenderedPageBreak/>
        <w:t>GOVERN / Building an AI Risk Management Workforce / Defining Human-AI Configurations</w:t>
      </w:r>
      <w:bookmarkEnd w:id="20"/>
      <w:r w:rsidRPr="00963E47">
        <w:rPr>
          <w:rFonts w:ascii="Aptos" w:eastAsia="Aptos" w:hAnsi="Aptos" w:cs="Times New Roman"/>
          <w:b/>
          <w:bCs/>
          <w:noProof/>
          <w:color w:val="35256B"/>
          <w:kern w:val="2"/>
          <w:sz w:val="24"/>
          <w14:ligatures w14:val="standardContextual"/>
        </w:rPr>
        <w:t xml:space="preserve"> </w:t>
      </w:r>
    </w:p>
    <w:p w14:paraId="22F65A1A"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5FEB4DD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61162C5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5531D2D7" w14:textId="77777777" w:rsidTr="005C00A5">
        <w:tc>
          <w:tcPr>
            <w:tcW w:w="1170" w:type="dxa"/>
          </w:tcPr>
          <w:p w14:paraId="2AB0BDE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59724A1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10923CC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6782DF09" w14:textId="77777777" w:rsidTr="005C00A5">
        <w:tc>
          <w:tcPr>
            <w:tcW w:w="1170" w:type="dxa"/>
          </w:tcPr>
          <w:p w14:paraId="73725F5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GV-3.2.1</w:t>
            </w:r>
          </w:p>
        </w:tc>
        <w:tc>
          <w:tcPr>
            <w:tcW w:w="2160" w:type="dxa"/>
          </w:tcPr>
          <w:p w14:paraId="05BF7EC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Human-AI Supervision Policies</w:t>
            </w:r>
          </w:p>
        </w:tc>
        <w:tc>
          <w:tcPr>
            <w:tcW w:w="6740" w:type="dxa"/>
          </w:tcPr>
          <w:p w14:paraId="1E6F050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develops, periodically reviews, and updates policies and protocols for human involvement, oversight, and disclosure throughout the AI lifecycle. These policies should address risks such as automation complacency, anthropomorphization, and disinformation by including measures to prevent unapproved interactions, promote transparency, and mitigate undue reliance. They should also establish safeguards for human override, communication, and external stakeholder engagement to ensure responsible and aligned AI deployment.</w:t>
            </w:r>
          </w:p>
          <w:p w14:paraId="24211053" w14:textId="77777777" w:rsidR="00963E47" w:rsidRPr="00963E47" w:rsidRDefault="00963E47" w:rsidP="004C3837">
            <w:pPr>
              <w:keepNext/>
              <w:rPr>
                <w:rFonts w:ascii="Aptos" w:hAnsi="Aptos" w:cs="Times New Roman"/>
                <w:b/>
                <w:bCs/>
                <w:color w:val="000000"/>
                <w:sz w:val="20"/>
                <w:szCs w:val="20"/>
              </w:rPr>
            </w:pPr>
          </w:p>
          <w:p w14:paraId="237C02C4" w14:textId="77777777" w:rsidR="00963E47" w:rsidRPr="00963E47" w:rsidRDefault="00963E47" w:rsidP="004C3837">
            <w:pPr>
              <w:keepNext/>
              <w:rPr>
                <w:rFonts w:ascii="Aptos" w:hAnsi="Aptos" w:cs="Times New Roman"/>
                <w:b/>
                <w:bCs/>
                <w:color w:val="000000"/>
                <w:sz w:val="20"/>
                <w:szCs w:val="20"/>
              </w:rPr>
            </w:pPr>
            <w:hyperlink r:id="rId57" w:anchor="govern-3-2" w:history="1">
              <w:r w:rsidRPr="00963E47">
                <w:rPr>
                  <w:rFonts w:ascii="Aptos" w:hAnsi="Aptos" w:cs="Times New Roman"/>
                  <w:color w:val="000000"/>
                  <w:sz w:val="20"/>
                  <w:szCs w:val="20"/>
                  <w:u w:val="single"/>
                </w:rPr>
                <w:t>Link to NIST AI RMF Playbook</w:t>
              </w:r>
            </w:hyperlink>
          </w:p>
        </w:tc>
      </w:tr>
    </w:tbl>
    <w:p w14:paraId="22B34133"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1D90EB4"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0F15ECAE"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3FD527D7" w14:textId="77777777" w:rsidTr="005C00A5">
        <w:trPr>
          <w:tblHeader/>
        </w:trPr>
        <w:tc>
          <w:tcPr>
            <w:tcW w:w="2160" w:type="dxa"/>
            <w:shd w:val="clear" w:color="auto" w:fill="CCDCDC"/>
            <w:vAlign w:val="center"/>
          </w:tcPr>
          <w:p w14:paraId="57258828"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55E5422B"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57284B14"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02D3651B" w14:textId="77777777" w:rsidTr="005C00A5">
        <w:tc>
          <w:tcPr>
            <w:tcW w:w="2160" w:type="dxa"/>
            <w:shd w:val="clear" w:color="auto" w:fill="CCDCDC"/>
          </w:tcPr>
          <w:p w14:paraId="6F663A5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3FD8461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70696C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4DD5C42A" w14:textId="77777777" w:rsidTr="005C00A5">
        <w:tc>
          <w:tcPr>
            <w:tcW w:w="2160" w:type="dxa"/>
            <w:shd w:val="clear" w:color="auto" w:fill="CCDCDC"/>
          </w:tcPr>
          <w:p w14:paraId="02DA663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0F91438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2D844D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have started to develop policies for human-AI involvement and supervision of AI systems. However, these policies may be limited in scope, not fully consider factors such as complexity, impact, and potential risks, or not be consistently applied throughout the AI lifecycle.</w:t>
            </w:r>
          </w:p>
        </w:tc>
      </w:tr>
      <w:tr w:rsidR="00963E47" w:rsidRPr="00963E47" w14:paraId="17803848" w14:textId="77777777" w:rsidTr="005C00A5">
        <w:tc>
          <w:tcPr>
            <w:tcW w:w="2160" w:type="dxa"/>
            <w:shd w:val="clear" w:color="auto" w:fill="CCDCDC"/>
          </w:tcPr>
          <w:p w14:paraId="1CD361A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7455970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28F1E0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have established comprehensive policies for human-AI involvement and supervision of AI systems throughout the lifecycle. These policies consider factors such as complexity, impact, and potential risks, and include safeguards against unapproved human-AI interaction, although their implementation may not yet be fully consistent across all AI initiatives.</w:t>
            </w:r>
          </w:p>
        </w:tc>
      </w:tr>
      <w:tr w:rsidR="00963E47" w:rsidRPr="00963E47" w14:paraId="70E10C0F" w14:textId="77777777" w:rsidTr="005C00A5">
        <w:tc>
          <w:tcPr>
            <w:tcW w:w="2160" w:type="dxa"/>
            <w:shd w:val="clear" w:color="auto" w:fill="CCDCDC"/>
          </w:tcPr>
          <w:p w14:paraId="2CFBE30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5642025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D61ED8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policies for human-AI involvement and supervision of AI systems are fully integrated into the organization's overall AI governance framework. These policies are consistently applied throughout the AI lifecycle, regularly reviewed and updated based on feedback and best practices, and are supported by robust training, monitoring, and enforcement mechanisms.</w:t>
            </w:r>
          </w:p>
        </w:tc>
      </w:tr>
    </w:tbl>
    <w:p w14:paraId="04987D03"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278C1D87" w14:textId="77777777" w:rsidTr="005C00A5">
        <w:tc>
          <w:tcPr>
            <w:tcW w:w="2250" w:type="dxa"/>
          </w:tcPr>
          <w:p w14:paraId="69007C6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52B0A07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5D086EB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151CC710" w14:textId="77777777" w:rsidTr="005C00A5">
        <w:tc>
          <w:tcPr>
            <w:tcW w:w="2250" w:type="dxa"/>
          </w:tcPr>
          <w:p w14:paraId="45557C9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7B9A723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Inadequate Human Involvement Policies</w:t>
            </w:r>
          </w:p>
        </w:tc>
        <w:tc>
          <w:tcPr>
            <w:tcW w:w="5300" w:type="dxa"/>
          </w:tcPr>
          <w:p w14:paraId="6F1BB5D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Policies for human involvement in AI systems are inadequate or missing</w:t>
            </w:r>
          </w:p>
        </w:tc>
      </w:tr>
    </w:tbl>
    <w:p w14:paraId="0C0D7A5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C1A568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197688D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36C1CB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clear policies, guidelines, and protocols for human involvement, oversight, and disclosure throughout the AI lifecycle. These should specify conditions that require human intervention (e.g., unexpected or harmful outputs) and outline the steps for effective override and correction. Ensure these protocols are based on a thorough understanding of the AI system’s capabilities, limitations, and associated risks, with a focus on high-risk or high-impact applications.</w:t>
      </w:r>
    </w:p>
    <w:p w14:paraId="15972B78"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636B660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Engage external stakeholders (e.g., industry experts, regulators) to align these guidelines with evolving norms and best practices for responsible AI development and deployment. Incorporate assessments of system complexity and potential impact to identify where human oversight is most critical.</w:t>
      </w:r>
    </w:p>
    <w:p w14:paraId="2A36B0D4"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F2A800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Design specific, actionable roles and responsibilities for human operators at each stage—design, development, deployment, and monitoring—detailing when and how intervention is expected. Policies should promote transparency by including disclosure of AI interactions and safeguards to prevent undue reliance, anthropomorphization, or susceptibility to disinformation.</w:t>
      </w:r>
    </w:p>
    <w:p w14:paraId="6C7E12D6"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BA57F7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Ensure these policies are communicated clearly to all relevant stakeholders, such as developers, operators, and managers, and provide regular training to ensure they understand and can effectively apply the guidelines. Regularly review and update the policies and protocols to adapt to changing risks, regulatory requirements, and industry standards, ensuring ongoing effectiveness and alignment with responsible AI practices.</w:t>
      </w:r>
    </w:p>
    <w:p w14:paraId="571815CE"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209594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4BB3B42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8139D4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Human-AI Supervision Policies</w:t>
      </w:r>
    </w:p>
    <w:p w14:paraId="338492F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comprehensive policies and protocols that define the necessary human involvement and oversight throughout the AI lifecycle, addressing specific risks associated with AI use.</w:t>
      </w:r>
    </w:p>
    <w:p w14:paraId="0006EB1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475B7A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the human-AI supervision policies, including clear definitions of roles and responsibilities for oversight.</w:t>
      </w:r>
    </w:p>
    <w:p w14:paraId="5312995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consultations with experts to identify and address risks such as automation complacency, anthropomorphization, and disinformation in policy development.</w:t>
      </w:r>
    </w:p>
    <w:p w14:paraId="0B92989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Policy drafts that include measures for promoting transparency and preventing unapproved interactions with AI systems.</w:t>
      </w:r>
    </w:p>
    <w:p w14:paraId="11F5CDB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Approval records indicating that the human-AI supervision policies have been reviewed and endorsed by relevant stakeholders.</w:t>
      </w:r>
    </w:p>
    <w:p w14:paraId="1DE11FE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09091A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 Policy Review and Update Process</w:t>
      </w:r>
    </w:p>
    <w:p w14:paraId="253116E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a periodic review process to evaluate and update human-AI supervision policies, ensuring they remain relevant and effective against emerging risks and industry standards.</w:t>
      </w:r>
    </w:p>
    <w:p w14:paraId="674958B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3DD3D6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detailing when and how human-AI supervision policies will be assessed.</w:t>
      </w:r>
    </w:p>
    <w:p w14:paraId="598A230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or reports documenting discussions and outcomes from policy review sessions.</w:t>
      </w:r>
    </w:p>
    <w:p w14:paraId="236E0E9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Revision logs showing changes made to the policies and the rationale for those changes.</w:t>
      </w:r>
    </w:p>
    <w:p w14:paraId="5031C0C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feedback collected during reviews to inform updates to supervision policies.</w:t>
      </w:r>
    </w:p>
    <w:p w14:paraId="1FBD153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3E3BC0B"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Training and Awareness Programs</w:t>
      </w:r>
    </w:p>
    <w:p w14:paraId="42B1BC6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Provide training for relevant personnel on human-AI supervision policies, highlighting the importance of oversight and the risks associated with AI deployment to promote adherence.</w:t>
      </w:r>
    </w:p>
    <w:p w14:paraId="37957D0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CEB606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materials covering the details of human-AI supervision policies and the rationale behind them.</w:t>
      </w:r>
    </w:p>
    <w:p w14:paraId="3CD1848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Attendance records from training sessions where stakeholders learned about supervision and oversight practices.</w:t>
      </w:r>
    </w:p>
    <w:p w14:paraId="4CD6BB3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forms assessing the effectiveness and clarity of the training provided to participants.</w:t>
      </w:r>
    </w:p>
    <w:p w14:paraId="64D8E3F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Competency assessments demonstrating participants' understanding of human-AI integration and supervision requirements.</w:t>
      </w:r>
    </w:p>
    <w:p w14:paraId="6FAED41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10B9A9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Safeguards for Human Oversight and Override</w:t>
      </w:r>
    </w:p>
    <w:p w14:paraId="5536BF6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safeguards that enable human oversight and override capabilities in AI decision-making processes, ensuring that personnel can intervene when necessary.</w:t>
      </w:r>
    </w:p>
    <w:p w14:paraId="305A2B9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0E45F5E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detailing procedures for human intervention and override mechanisms in AI systems.</w:t>
      </w:r>
    </w:p>
    <w:p w14:paraId="2CF84AE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testing the effectiveness and reliability of override functionalities during operational scenarios.</w:t>
      </w:r>
    </w:p>
    <w:p w14:paraId="4C5F716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logs tracking instances where human override has been enacted and the outcomes of those interventions.</w:t>
      </w:r>
    </w:p>
    <w:p w14:paraId="048DD68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summarizing evaluations of the safeguards in place, identifying any areas for improvement.</w:t>
      </w:r>
    </w:p>
    <w:p w14:paraId="506AF02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18BC11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Stakeholder Communication and Engagement</w:t>
      </w:r>
    </w:p>
    <w:p w14:paraId="597C512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and document strategies for engaging external stakeholders in discussions about human-AI supervision, including measures for transparency and collective responsibility in AI deployment.</w:t>
      </w:r>
    </w:p>
    <w:p w14:paraId="1142E47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E42ACA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Communication plans outlining how and when stakeholders will be informed about human-AI supervision policies and practices.</w:t>
      </w:r>
    </w:p>
    <w:p w14:paraId="6EE54D5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stakeholder engagement sessions, including attendance, agendas, and feedback collected.</w:t>
      </w:r>
    </w:p>
    <w:p w14:paraId="6DD4ECE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stakeholder concerns or suggestions raised during discussions and subsequent actions taken.</w:t>
      </w:r>
    </w:p>
    <w:p w14:paraId="1C9236B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summarizing the outcomes of stakeholder engagement initiatives related to human involvement in AI oversight.</w:t>
      </w:r>
    </w:p>
    <w:p w14:paraId="3049AC46"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1562D033"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0AD9F50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669A698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16A7F3A7" w14:textId="77777777" w:rsidTr="005C00A5">
        <w:tc>
          <w:tcPr>
            <w:tcW w:w="1170" w:type="dxa"/>
          </w:tcPr>
          <w:p w14:paraId="4CCF6BA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4C610EE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428580B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73FC23C6" w14:textId="77777777" w:rsidTr="005C00A5">
        <w:tc>
          <w:tcPr>
            <w:tcW w:w="1170" w:type="dxa"/>
          </w:tcPr>
          <w:p w14:paraId="443B1B3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GV-3.2.2</w:t>
            </w:r>
          </w:p>
        </w:tc>
        <w:tc>
          <w:tcPr>
            <w:tcW w:w="2160" w:type="dxa"/>
          </w:tcPr>
          <w:p w14:paraId="2A900D1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Monitoring Human-AI Oversight</w:t>
            </w:r>
          </w:p>
        </w:tc>
        <w:tc>
          <w:tcPr>
            <w:tcW w:w="6740" w:type="dxa"/>
          </w:tcPr>
          <w:p w14:paraId="7353B5D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implements mechanisms (e.g., audits, performance evaluations, feedback loops) to monitor and assess human-AI interactions, including behavioral risks like automation complacency or inappropriate overreliance. Data collected should inform decision-making and resource allocation, and policies should promote understanding of AI limitations to prevent overreliance. Integration with ongoing monitoring processes should specifically include assessments of how effectively human operators are interacting with and overseeing AI systems, evaluating the quality and outcomes of human-AI collaboration.</w:t>
            </w:r>
          </w:p>
          <w:p w14:paraId="6D752FE2" w14:textId="77777777" w:rsidR="00963E47" w:rsidRPr="00963E47" w:rsidRDefault="00963E47" w:rsidP="004C3837">
            <w:pPr>
              <w:keepNext/>
              <w:rPr>
                <w:rFonts w:ascii="Aptos" w:hAnsi="Aptos" w:cs="Times New Roman"/>
                <w:b/>
                <w:bCs/>
                <w:color w:val="000000"/>
                <w:sz w:val="20"/>
                <w:szCs w:val="20"/>
              </w:rPr>
            </w:pPr>
          </w:p>
          <w:p w14:paraId="43BAE551" w14:textId="77777777" w:rsidR="00963E47" w:rsidRPr="00963E47" w:rsidRDefault="00963E47" w:rsidP="004C3837">
            <w:pPr>
              <w:keepNext/>
              <w:rPr>
                <w:rFonts w:ascii="Aptos" w:hAnsi="Aptos" w:cs="Times New Roman"/>
                <w:b/>
                <w:bCs/>
                <w:color w:val="000000"/>
                <w:sz w:val="20"/>
                <w:szCs w:val="20"/>
              </w:rPr>
            </w:pPr>
            <w:hyperlink r:id="rId58" w:anchor="govern-3-2" w:history="1">
              <w:r w:rsidRPr="00963E47">
                <w:rPr>
                  <w:rFonts w:ascii="Aptos" w:hAnsi="Aptos" w:cs="Times New Roman"/>
                  <w:color w:val="000000"/>
                  <w:sz w:val="20"/>
                  <w:szCs w:val="20"/>
                  <w:u w:val="single"/>
                </w:rPr>
                <w:t>Link to NIST AI RMF Playbook</w:t>
              </w:r>
            </w:hyperlink>
          </w:p>
        </w:tc>
      </w:tr>
    </w:tbl>
    <w:p w14:paraId="2AF54A7B"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F372BB9"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22952649"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3A20E990" w14:textId="77777777" w:rsidTr="005C00A5">
        <w:trPr>
          <w:tblHeader/>
        </w:trPr>
        <w:tc>
          <w:tcPr>
            <w:tcW w:w="2160" w:type="dxa"/>
            <w:shd w:val="clear" w:color="auto" w:fill="CCDCDC"/>
            <w:vAlign w:val="center"/>
          </w:tcPr>
          <w:p w14:paraId="4EEA7C56"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14B0C377"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5C476600"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794C6FB5" w14:textId="77777777" w:rsidTr="005C00A5">
        <w:tc>
          <w:tcPr>
            <w:tcW w:w="2160" w:type="dxa"/>
            <w:shd w:val="clear" w:color="auto" w:fill="CCDCDC"/>
          </w:tcPr>
          <w:p w14:paraId="1BAD11C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5990D32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401EF7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01B809E2" w14:textId="77777777" w:rsidTr="005C00A5">
        <w:tc>
          <w:tcPr>
            <w:tcW w:w="2160" w:type="dxa"/>
            <w:shd w:val="clear" w:color="auto" w:fill="CCDCDC"/>
          </w:tcPr>
          <w:p w14:paraId="04667DE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6AF89FD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5F19F42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8C8B1B7" w14:textId="77777777" w:rsidTr="005C00A5">
        <w:tc>
          <w:tcPr>
            <w:tcW w:w="2160" w:type="dxa"/>
            <w:shd w:val="clear" w:color="auto" w:fill="CCDCDC"/>
          </w:tcPr>
          <w:p w14:paraId="0C5FDFC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55194D8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6C0429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have implemented mechanisms to monitor and assess human-AI interaction and oversight effectiveness. These mechanisms may include audits, performance evaluations, and feedback loops, and the data gathered is used to inform decision-making and resource allocation. However, the use of these mechanisms may not yet be fully consistent or integrated across all AI initiatives.</w:t>
            </w:r>
          </w:p>
        </w:tc>
      </w:tr>
      <w:tr w:rsidR="00963E47" w:rsidRPr="00963E47" w14:paraId="06A5AC3E" w14:textId="77777777" w:rsidTr="005C00A5">
        <w:tc>
          <w:tcPr>
            <w:tcW w:w="2160" w:type="dxa"/>
            <w:shd w:val="clear" w:color="auto" w:fill="CCDCDC"/>
          </w:tcPr>
          <w:p w14:paraId="26569F2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6424AE0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E351CF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embedded stage, organizations monitor and assess human-AI interaction and oversight effectiveness that is fully integrated into the organization's AI governance processes. The organization has robust, automated mechanisms in place, including regular audits, performance evaluations, and feedback loops, and the data gathered </w:t>
            </w:r>
            <w:r w:rsidRPr="00963E47">
              <w:rPr>
                <w:rFonts w:ascii="Aptos" w:hAnsi="Aptos" w:cs="Times New Roman"/>
                <w:noProof/>
                <w:color w:val="auto"/>
                <w:sz w:val="20"/>
                <w:szCs w:val="20"/>
              </w:rPr>
              <w:lastRenderedPageBreak/>
              <w:t>is systematically analyzed and used to drive continuous improvement in human-AI interaction and oversight. The effectiveness of these mechanisms is regularly reviewed and updated based on best practices and emerging trends.</w:t>
            </w:r>
          </w:p>
        </w:tc>
      </w:tr>
    </w:tbl>
    <w:p w14:paraId="1CCD7F19"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52E41DCA" w14:textId="77777777" w:rsidTr="005C00A5">
        <w:tc>
          <w:tcPr>
            <w:tcW w:w="2250" w:type="dxa"/>
          </w:tcPr>
          <w:p w14:paraId="12919AE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76EF777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5BC5EB6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4CE188AE" w14:textId="77777777" w:rsidTr="005C00A5">
        <w:tc>
          <w:tcPr>
            <w:tcW w:w="2250" w:type="dxa"/>
          </w:tcPr>
          <w:p w14:paraId="1457ACA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0286FCC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Unaddressed Human-AI Risks</w:t>
            </w:r>
          </w:p>
        </w:tc>
        <w:tc>
          <w:tcPr>
            <w:tcW w:w="5300" w:type="dxa"/>
          </w:tcPr>
          <w:p w14:paraId="0F9B1E2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Human-AI interaction risks (overreliance, complacency) are unmonitored and unaddressed</w:t>
            </w:r>
          </w:p>
        </w:tc>
      </w:tr>
    </w:tbl>
    <w:p w14:paraId="03454E0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4CE718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4EE70B5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0ABB0C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Implement robust mechanisms to monitor and assess the effectiveness of human-AI interaction and oversight. This should include regular audits of AI systems to ensure human oversight is being applied consistently and effectively, as well as performance evaluations of human operators to assess their ability to interact with and oversee AI systems. Integration with wider monitoring processes should involve evaluating the effectiveness of human participation within these processes — such as how well human operators detect issues, respond to alerts, and understand AI limitations.</w:t>
      </w:r>
    </w:p>
    <w:p w14:paraId="25AA5CED"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13BBA94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feedback loops that enable human operators to report on system performance, highlight issues, and suggest improvements. Collect and analyze data on AI performance metrics—such as error rates, false positives, and false negatives—and use this information to guide decision-making and allocate resources effectively. Address identified performance gaps through targeted actions, like additional training for operators or adjustments to AI algorithms.</w:t>
      </w:r>
    </w:p>
    <w:p w14:paraId="2159863F"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27FF1F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To mitigate behavioral risks, such as automation complacency and emotional entanglement, ensure policies promote understanding of AI limitations, encourage appropriate scrutiny, and discourage overreliance or anthropomorphization. Regularly communicate monitoring results, including assessments of how effectively human oversight is functioning, to senior leadership and stakeholders to maintain transparency, accountability, and continuous improvement in human-AI oversight.</w:t>
      </w:r>
    </w:p>
    <w:p w14:paraId="017314E3"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6F4EEC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6D784BF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B07BC2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Human-AI Interaction Audit Process</w:t>
      </w:r>
    </w:p>
    <w:p w14:paraId="32CA8B5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a structured audit process to monitor human-AI interactions, identifying behavioral risks such as automation complacency and inappropriate overreliance on AI systems.</w:t>
      </w:r>
    </w:p>
    <w:p w14:paraId="1F4FB07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F32943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checklists that outline criteria for evaluating human-AI interactions and associated risks.</w:t>
      </w:r>
    </w:p>
    <w:p w14:paraId="626DA00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audit schedules and completed audits, including findings and recommendations.</w:t>
      </w:r>
    </w:p>
    <w:p w14:paraId="22A2264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summarizing trends observed during audits related to human behavior and AI usage.</w:t>
      </w:r>
    </w:p>
    <w:p w14:paraId="41A27E6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follow-up actions taken to address identified risks from audit findings.</w:t>
      </w:r>
    </w:p>
    <w:p w14:paraId="11D819C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A60968B"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Performance Evaluation of Human Operators</w:t>
      </w:r>
    </w:p>
    <w:p w14:paraId="567C2A6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regular performance evaluations of human operators overseeing AI systems, assessing their effectiveness in managing AI outputs and interactions.</w:t>
      </w:r>
    </w:p>
    <w:p w14:paraId="7472F44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912193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Evaluation criteria and metrics used to assess human operator performance in managing AI systems.</w:t>
      </w:r>
    </w:p>
    <w:p w14:paraId="465F241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Performance review documentation including individual evaluations and feedback from supervisors.</w:t>
      </w:r>
    </w:p>
    <w:p w14:paraId="4AF81B4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assessment results that highlight the strengths and weaknesses of human-AI oversight.</w:t>
      </w:r>
    </w:p>
    <w:p w14:paraId="2B3AA6D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plans developed in response to performance evaluations aimed at improving human interaction with AI systems.</w:t>
      </w:r>
    </w:p>
    <w:p w14:paraId="041E72B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F23F20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Feedback Loop Mechanisms</w:t>
      </w:r>
    </w:p>
    <w:p w14:paraId="4108FA0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feedback loop mechanisms that allow human operators and stakeholders to provide input regarding human-AI collaboration, promoting continuous improvement and learning.</w:t>
      </w:r>
    </w:p>
    <w:p w14:paraId="106D495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BA47F0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feedback collection methods, such as surveys, interviews, or discussion forums specifically tailored for human operators.</w:t>
      </w:r>
    </w:p>
    <w:p w14:paraId="00AA0E4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Summaries of feedback received on human-AI interactions, outlining key themes and actionable insights.</w:t>
      </w:r>
    </w:p>
    <w:p w14:paraId="16F19DD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how feedback has been addressed or incorporated into operational practices or policies.</w:t>
      </w:r>
    </w:p>
    <w:p w14:paraId="4E4227B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detailing any changes made to systems or processes as a result of stakeholder feedback.</w:t>
      </w:r>
    </w:p>
    <w:p w14:paraId="5AFA6332"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2BC50E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Training on AI Limitations and Risks</w:t>
      </w:r>
    </w:p>
    <w:p w14:paraId="1D7787C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Provide training for personnel on the limitations of AI systems and potential risks related to overreliance, ensuring that human operators understand how to effectively collaborate with AI.</w:t>
      </w:r>
    </w:p>
    <w:p w14:paraId="0DA1A8E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DDA63B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materials that emphasize AI limitations and best practices for human oversight.</w:t>
      </w:r>
    </w:p>
    <w:p w14:paraId="0E2F3DB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Attendance records for training sessions attended by personnel responsible for interacting with AI systems.</w:t>
      </w:r>
    </w:p>
    <w:p w14:paraId="45605D9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Assessment results measuring the understanding of AI limitations and the risks of overreliance before and after training.</w:t>
      </w:r>
    </w:p>
    <w:p w14:paraId="1CF3533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surveys from training participants evaluating the relevance and effectiveness of the content provided.</w:t>
      </w:r>
    </w:p>
    <w:p w14:paraId="3DCBDA9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08CBD0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Ongoing Monitoring and Improvement of Oversight Processes</w:t>
      </w:r>
    </w:p>
    <w:p w14:paraId="423B780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Integrate assessments of human-AI interactions into ongoing monitoring processes, ensuring that the effectiveness of oversight practices is evaluated and refined based on data collected.</w:t>
      </w:r>
    </w:p>
    <w:p w14:paraId="7E79566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FF4726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monitoring processes that specifically evaluate the quality and outcomes of human-AI collaboration.</w:t>
      </w:r>
    </w:p>
    <w:p w14:paraId="2FD6A4A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Regularly produced reports summarizing findings from ongoing assessments and their implications for oversight practices.</w:t>
      </w:r>
    </w:p>
    <w:p w14:paraId="58785BF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iterative improvements made to oversight processes based on monitoring results and identified trends.</w:t>
      </w:r>
    </w:p>
    <w:p w14:paraId="1C6CC16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from review sessions discussing the effectiveness of current monitoring mechanisms and any proposed changes.</w:t>
      </w:r>
    </w:p>
    <w:p w14:paraId="1344B935"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21" w:name="_Toc214874766"/>
      <w:r w:rsidRPr="00963E47">
        <w:rPr>
          <w:rFonts w:ascii="Aptos" w:eastAsia="Aptos" w:hAnsi="Aptos" w:cs="Times New Roman"/>
          <w:b/>
          <w:bCs/>
          <w:noProof/>
          <w:color w:val="35256B"/>
          <w:kern w:val="2"/>
          <w:sz w:val="24"/>
          <w14:ligatures w14:val="standardContextual"/>
        </w:rPr>
        <w:t>GOVERN / Bolstering a Risk-Aware Culture / Establishing a Risk-Aware Culture</w:t>
      </w:r>
      <w:bookmarkEnd w:id="21"/>
      <w:r w:rsidRPr="00963E47">
        <w:rPr>
          <w:rFonts w:ascii="Aptos" w:eastAsia="Aptos" w:hAnsi="Aptos" w:cs="Times New Roman"/>
          <w:b/>
          <w:bCs/>
          <w:noProof/>
          <w:color w:val="35256B"/>
          <w:kern w:val="2"/>
          <w:sz w:val="24"/>
          <w14:ligatures w14:val="standardContextual"/>
        </w:rPr>
        <w:t xml:space="preserve"> </w:t>
      </w:r>
    </w:p>
    <w:p w14:paraId="4E81D47C"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65C175A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49CB9B5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51E3B0B2" w14:textId="77777777" w:rsidTr="005C00A5">
        <w:tc>
          <w:tcPr>
            <w:tcW w:w="1170" w:type="dxa"/>
          </w:tcPr>
          <w:p w14:paraId="2313A61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43D6698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139B8FA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38A517E6" w14:textId="77777777" w:rsidTr="005C00A5">
        <w:tc>
          <w:tcPr>
            <w:tcW w:w="1170" w:type="dxa"/>
          </w:tcPr>
          <w:p w14:paraId="26FE762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GV-4.1.1</w:t>
            </w:r>
          </w:p>
        </w:tc>
        <w:tc>
          <w:tcPr>
            <w:tcW w:w="2160" w:type="dxa"/>
          </w:tcPr>
          <w:p w14:paraId="0B06A52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Trustworthy Principles and Communication</w:t>
            </w:r>
          </w:p>
        </w:tc>
        <w:tc>
          <w:tcPr>
            <w:tcW w:w="6740" w:type="dxa"/>
          </w:tcPr>
          <w:p w14:paraId="18FBC3B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regularly reviews AI Trustworthy Principles prioritizing safety, critical thinking, and the minimization of potential negative impacts in AI system design, development, deployment, and use. These principles are clearly communicated to stakeholders and integrated into relevant training programs.</w:t>
            </w:r>
          </w:p>
          <w:p w14:paraId="0D8FC31C" w14:textId="77777777" w:rsidR="00963E47" w:rsidRPr="00963E47" w:rsidRDefault="00963E47" w:rsidP="004C3837">
            <w:pPr>
              <w:keepNext/>
              <w:rPr>
                <w:rFonts w:ascii="Aptos" w:hAnsi="Aptos" w:cs="Times New Roman"/>
                <w:b/>
                <w:bCs/>
                <w:color w:val="000000"/>
                <w:sz w:val="20"/>
                <w:szCs w:val="20"/>
              </w:rPr>
            </w:pPr>
          </w:p>
          <w:p w14:paraId="5F3CC02B" w14:textId="77777777" w:rsidR="00963E47" w:rsidRPr="00963E47" w:rsidRDefault="00963E47" w:rsidP="004C3837">
            <w:pPr>
              <w:keepNext/>
              <w:rPr>
                <w:rFonts w:ascii="Aptos" w:hAnsi="Aptos" w:cs="Times New Roman"/>
                <w:b/>
                <w:bCs/>
                <w:color w:val="000000"/>
                <w:sz w:val="20"/>
                <w:szCs w:val="20"/>
              </w:rPr>
            </w:pPr>
            <w:hyperlink r:id="rId59" w:anchor="govern-4-1" w:history="1">
              <w:r w:rsidRPr="00963E47">
                <w:rPr>
                  <w:rFonts w:ascii="Aptos" w:hAnsi="Aptos" w:cs="Times New Roman"/>
                  <w:color w:val="000000"/>
                  <w:sz w:val="20"/>
                  <w:szCs w:val="20"/>
                  <w:u w:val="single"/>
                </w:rPr>
                <w:t>Link to NIST AI RMF Playbook</w:t>
              </w:r>
            </w:hyperlink>
          </w:p>
        </w:tc>
      </w:tr>
    </w:tbl>
    <w:p w14:paraId="3092AA12"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5935460"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0018A691"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3D38D1C9" w14:textId="77777777" w:rsidTr="005C00A5">
        <w:trPr>
          <w:tblHeader/>
        </w:trPr>
        <w:tc>
          <w:tcPr>
            <w:tcW w:w="2160" w:type="dxa"/>
            <w:shd w:val="clear" w:color="auto" w:fill="CCDCDC"/>
            <w:vAlign w:val="center"/>
          </w:tcPr>
          <w:p w14:paraId="4CBACB49"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35159BB8"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1903AE0C"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4AE3A90B" w14:textId="77777777" w:rsidTr="005C00A5">
        <w:tc>
          <w:tcPr>
            <w:tcW w:w="2160" w:type="dxa"/>
            <w:shd w:val="clear" w:color="auto" w:fill="CCDCDC"/>
          </w:tcPr>
          <w:p w14:paraId="47D4D42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4ADC991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0BEAD46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68E28299" w14:textId="77777777" w:rsidTr="005C00A5">
        <w:tc>
          <w:tcPr>
            <w:tcW w:w="2160" w:type="dxa"/>
            <w:shd w:val="clear" w:color="auto" w:fill="CCDCDC"/>
          </w:tcPr>
          <w:p w14:paraId="1AD8F03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0F84A3C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E8B164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minimal stage, organizations have started to establish AI Trustworthy Principles that prioritize safety, critical thinking, and the </w:t>
            </w:r>
            <w:r w:rsidRPr="00963E47">
              <w:rPr>
                <w:rFonts w:ascii="Aptos" w:hAnsi="Aptos" w:cs="Times New Roman"/>
                <w:noProof/>
                <w:color w:val="auto"/>
                <w:sz w:val="20"/>
                <w:szCs w:val="20"/>
              </w:rPr>
              <w:lastRenderedPageBreak/>
              <w:t>minimization of potential negative impacts. However, these principles may not be fully developed, regularly reviewed, or consistently communicated and integrated into training programs.</w:t>
            </w:r>
          </w:p>
        </w:tc>
      </w:tr>
      <w:tr w:rsidR="00963E47" w:rsidRPr="00963E47" w14:paraId="3EA7A946" w14:textId="77777777" w:rsidTr="005C00A5">
        <w:tc>
          <w:tcPr>
            <w:tcW w:w="2160" w:type="dxa"/>
            <w:shd w:val="clear" w:color="auto" w:fill="CCDCDC"/>
          </w:tcPr>
          <w:p w14:paraId="54B91B7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3: Evolving</w:t>
            </w:r>
          </w:p>
        </w:tc>
        <w:tc>
          <w:tcPr>
            <w:tcW w:w="1350" w:type="dxa"/>
          </w:tcPr>
          <w:p w14:paraId="5C60B0E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46F58A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have established comprehensive AI Trustworthy Principles that prioritize safety, critical thinking, and the minimization of potential negative impacts. These principles are regularly reviewed, clearly communicated to stakeholders, and integrated into relevant training programs, although their application may not yet be fully consistent across all AI initiatives.</w:t>
            </w:r>
          </w:p>
        </w:tc>
      </w:tr>
      <w:tr w:rsidR="00963E47" w:rsidRPr="00963E47" w14:paraId="6FDCB094" w14:textId="77777777" w:rsidTr="005C00A5">
        <w:tc>
          <w:tcPr>
            <w:tcW w:w="2160" w:type="dxa"/>
            <w:shd w:val="clear" w:color="auto" w:fill="CCDCDC"/>
          </w:tcPr>
          <w:p w14:paraId="4115B04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7818896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05D218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AI Trustworthy Principles prioritizing safety, critical thinking, and the minimization of potential negative impacts are fully integrated into the organization's culture and processes. These principles are consistently applied, regularly reviewed and updated based on feedback and best practices, and are deeply embedded into all aspects of AI system design, development, deployment, and use.</w:t>
            </w:r>
          </w:p>
        </w:tc>
      </w:tr>
    </w:tbl>
    <w:p w14:paraId="006F0ADE"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129BD34A" w14:textId="77777777" w:rsidTr="005C00A5">
        <w:tc>
          <w:tcPr>
            <w:tcW w:w="2250" w:type="dxa"/>
          </w:tcPr>
          <w:p w14:paraId="3F0085B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1217B27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3226B93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6905D380" w14:textId="77777777" w:rsidTr="005C00A5">
        <w:tc>
          <w:tcPr>
            <w:tcW w:w="2250" w:type="dxa"/>
          </w:tcPr>
          <w:p w14:paraId="7F0577B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0FCEFD1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Unprioritized Trustworthy AI</w:t>
            </w:r>
          </w:p>
        </w:tc>
        <w:tc>
          <w:tcPr>
            <w:tcW w:w="5300" w:type="dxa"/>
          </w:tcPr>
          <w:p w14:paraId="12D0A2E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Trustworthy Principles are not prioritized in AI system design and operation</w:t>
            </w:r>
          </w:p>
        </w:tc>
      </w:tr>
    </w:tbl>
    <w:p w14:paraId="1F8FCB1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A6DFE6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18C67EB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1F88B5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Regularly review the set of AI Trustworthy Principles (established in GOVERN 1.2) that prioritize safety, critical thinking, and the minimization of potential negative impacts to foster a safety-first mindset in the design, development, deployment, and use of AI systems. These principles should be based on industry best practices, regulatory requirements, and the organization's values and risk appetite.</w:t>
      </w:r>
    </w:p>
    <w:p w14:paraId="0705BC42"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213DFE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Engage with a multidisciplinary group of stakeholders, including AI developers, business leaders, and end-users, to ensure the principles are comprehensive and reflect a range of perspectives. Once established, communicate these principles clearly and consistently to all relevant stakeholders, including employees, partners, and customers.</w:t>
      </w:r>
    </w:p>
    <w:p w14:paraId="4F8290E4"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EFD561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Integrate the principles into relevant training programs, such as onboarding for new hires and ongoing professional development for existing staff. Regularly review and update the principles to ensure they remain relevant and effective, taking into account changes in the AI landscape, emerging risks, and stakeholder feedback.</w:t>
      </w:r>
    </w:p>
    <w:p w14:paraId="37DCAA57"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77F9A5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65516B3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F8B658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AI Trustworthy Principles Documentation</w:t>
      </w:r>
    </w:p>
    <w:p w14:paraId="21C428D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and maintain documentation of the organization's AI Trustworthy Principles, emphasizing safety, critical thinking, and the minimization of potential negative impacts throughout the AI lifecycle.</w:t>
      </w:r>
    </w:p>
    <w:p w14:paraId="7D5EBC2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665296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 written document outlining the organization’s AI Trustworthy Principles, including definitions and guiding philosophies.</w:t>
      </w:r>
    </w:p>
    <w:p w14:paraId="61F1B9A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updates made to the principles reflecting changes based on new insights or stakeholder feedback.</w:t>
      </w:r>
    </w:p>
    <w:p w14:paraId="116CB4E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from sessions discussing the formulation or revision of AI   Trustworthy Principles.</w:t>
      </w:r>
    </w:p>
    <w:p w14:paraId="1263FAD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Communication materials disseminating the principles to all stakeholders within and outside the organization.</w:t>
      </w:r>
    </w:p>
    <w:p w14:paraId="209A3763"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74B966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Stakeholder Communication Strategy</w:t>
      </w:r>
    </w:p>
    <w:p w14:paraId="09D695B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 communication strategy to regularly share the organization’s AI Trustworthy Principles with stakeholders, ensuring transparency and understanding of safety considerations in AI practices.</w:t>
      </w:r>
    </w:p>
    <w:p w14:paraId="08393C5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6CD4A7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Communication plans detailing how and when stakeholders will be informed about AI Trustworthy Principles.</w:t>
      </w:r>
    </w:p>
    <w:p w14:paraId="5CAECE8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summarizing engagement activities, including presentations or workshops held to discuss AI principles with stakeholders.</w:t>
      </w:r>
    </w:p>
    <w:p w14:paraId="3935472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collected from stakeholders on their understanding and perception of the communicated principles.</w:t>
      </w:r>
    </w:p>
    <w:p w14:paraId="4BF7EC5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outreach initiatives aiming to raise awareness and foster dialogue about trustworthy AI practices.</w:t>
      </w:r>
    </w:p>
    <w:p w14:paraId="0133073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DA8D6F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into Training Programs</w:t>
      </w:r>
    </w:p>
    <w:p w14:paraId="714BC9F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Integrate AI Trustworthy Principles into relevant training programs for personnel involved in the design, development, deployment, and use of AI systems.</w:t>
      </w:r>
    </w:p>
    <w:p w14:paraId="038F5D2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DF5C31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materials that include sections or modules dedicated to AI Trustworthy Principles and their application.</w:t>
      </w:r>
    </w:p>
    <w:p w14:paraId="484A10F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Attendance records of personnel participating in training sessions that cover AI Trustworthy Principles.</w:t>
      </w:r>
    </w:p>
    <w:p w14:paraId="5C7A864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Evaluation results demonstrating participant understanding of how to apply AI Trustworthy Principles in their work.</w:t>
      </w:r>
    </w:p>
    <w:p w14:paraId="637D95B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training sessions that specifically emphasize the importance of safety considerations in AI practices.</w:t>
      </w:r>
    </w:p>
    <w:p w14:paraId="63E4DA4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D97B9D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 Review of AI Trustworthy Principles</w:t>
      </w:r>
    </w:p>
    <w:p w14:paraId="20C1C00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Schedule periodic reviews of the organization’s AI Trustworthy Principles to ensure they remain relevant and aligned with evolving industry standards and organizational objectives.</w:t>
      </w:r>
    </w:p>
    <w:p w14:paraId="43F0B29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4005A3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and records indicating when the principles were last evaluated and by whom.</w:t>
      </w:r>
    </w:p>
    <w:p w14:paraId="1C90F60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findings from reviews, including recommendations for updates or modifications to the principles.</w:t>
      </w:r>
    </w:p>
    <w:p w14:paraId="003A1C9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forms assessing the effectiveness and applicability of current principles from participants involved in the review process.</w:t>
      </w:r>
    </w:p>
    <w:p w14:paraId="5066B3D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detailing actions taken to revise and communicate any updates to the AI Trustworthy Principles.</w:t>
      </w:r>
    </w:p>
    <w:p w14:paraId="0F0E8F7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CA34F6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Monitoring Implementation of AI Trustworthy Principles</w:t>
      </w:r>
    </w:p>
    <w:p w14:paraId="6029131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mechanisms to monitor the application of AI Trustworthy Principles within AI systems, tracking how they influence design, development, and deployment practices.</w:t>
      </w:r>
    </w:p>
    <w:p w14:paraId="22CDD41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D4F1AF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monitoring processes that track adherence to AI Trustworthy Principles during project lifecycles.</w:t>
      </w:r>
    </w:p>
    <w:p w14:paraId="6EC9C1E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summarizing instances where principles were successfully integrated into AI system development.</w:t>
      </w:r>
    </w:p>
    <w:p w14:paraId="4D1FBA4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observations or audits evaluating the application of AI Trustworthy Principles in projects.</w:t>
      </w:r>
    </w:p>
    <w:p w14:paraId="5539A15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stakeholders on the perceived effectiveness of the principles in guiding AI practices and reducing risks.</w:t>
      </w:r>
    </w:p>
    <w:p w14:paraId="1EEF49E5"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5CF28E03"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603EEF4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696EE0C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7BE7F2E6" w14:textId="77777777" w:rsidTr="005C00A5">
        <w:tc>
          <w:tcPr>
            <w:tcW w:w="1170" w:type="dxa"/>
          </w:tcPr>
          <w:p w14:paraId="5DB2AFB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2B0B4BB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6B6424E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6C8C2D60" w14:textId="77777777" w:rsidTr="005C00A5">
        <w:tc>
          <w:tcPr>
            <w:tcW w:w="1170" w:type="dxa"/>
          </w:tcPr>
          <w:p w14:paraId="0C5E6B0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GV-4.1.2</w:t>
            </w:r>
          </w:p>
        </w:tc>
        <w:tc>
          <w:tcPr>
            <w:tcW w:w="2160" w:type="dxa"/>
          </w:tcPr>
          <w:p w14:paraId="1D3D913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Open Risk Communication Policies</w:t>
            </w:r>
          </w:p>
        </w:tc>
        <w:tc>
          <w:tcPr>
            <w:tcW w:w="6740" w:type="dxa"/>
          </w:tcPr>
          <w:p w14:paraId="5DF7B28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develops and implements policies fostering open communication, proactive risk reporting, and a risk-aware culture across the AI lifecycle, integrating these practices into existing management systems and workflows. These policies include whistleblower protections, independent oversight, critical practices like pair programming, dogfooding, and external audits, ensuring employees and stakeholders can raise concerns and practice effective challenge without retribution.</w:t>
            </w:r>
          </w:p>
          <w:p w14:paraId="0287F76D" w14:textId="77777777" w:rsidR="00963E47" w:rsidRPr="00963E47" w:rsidRDefault="00963E47" w:rsidP="004C3837">
            <w:pPr>
              <w:keepNext/>
              <w:rPr>
                <w:rFonts w:ascii="Aptos" w:hAnsi="Aptos" w:cs="Times New Roman"/>
                <w:b/>
                <w:bCs/>
                <w:color w:val="000000"/>
                <w:sz w:val="20"/>
                <w:szCs w:val="20"/>
              </w:rPr>
            </w:pPr>
          </w:p>
          <w:p w14:paraId="352BCE0A" w14:textId="77777777" w:rsidR="00963E47" w:rsidRPr="00963E47" w:rsidRDefault="00963E47" w:rsidP="004C3837">
            <w:pPr>
              <w:keepNext/>
              <w:rPr>
                <w:rFonts w:ascii="Aptos" w:hAnsi="Aptos" w:cs="Times New Roman"/>
                <w:b/>
                <w:bCs/>
                <w:color w:val="000000"/>
                <w:sz w:val="20"/>
                <w:szCs w:val="20"/>
              </w:rPr>
            </w:pPr>
            <w:hyperlink r:id="rId60" w:anchor="govern-4-1" w:history="1">
              <w:r w:rsidRPr="00963E47">
                <w:rPr>
                  <w:rFonts w:ascii="Aptos" w:hAnsi="Aptos" w:cs="Times New Roman"/>
                  <w:color w:val="000000"/>
                  <w:sz w:val="20"/>
                  <w:szCs w:val="20"/>
                  <w:u w:val="single"/>
                </w:rPr>
                <w:t>Link to NIST AI RMF Playbook</w:t>
              </w:r>
            </w:hyperlink>
          </w:p>
        </w:tc>
      </w:tr>
    </w:tbl>
    <w:p w14:paraId="58B5A140"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AF80B50"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28D6C798"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4E2831CF" w14:textId="77777777" w:rsidTr="005C00A5">
        <w:trPr>
          <w:tblHeader/>
        </w:trPr>
        <w:tc>
          <w:tcPr>
            <w:tcW w:w="2160" w:type="dxa"/>
            <w:shd w:val="clear" w:color="auto" w:fill="CCDCDC"/>
            <w:vAlign w:val="center"/>
          </w:tcPr>
          <w:p w14:paraId="52B3C94A"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563E0921"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24F10A63"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0AA77F10" w14:textId="77777777" w:rsidTr="005C00A5">
        <w:tc>
          <w:tcPr>
            <w:tcW w:w="2160" w:type="dxa"/>
            <w:shd w:val="clear" w:color="auto" w:fill="CCDCDC"/>
          </w:tcPr>
          <w:p w14:paraId="770BB4B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17213E4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15FFE3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17BE199" w14:textId="77777777" w:rsidTr="005C00A5">
        <w:tc>
          <w:tcPr>
            <w:tcW w:w="2160" w:type="dxa"/>
            <w:shd w:val="clear" w:color="auto" w:fill="CCDCDC"/>
          </w:tcPr>
          <w:p w14:paraId="56C2339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7342438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502689A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6B0071C3" w14:textId="77777777" w:rsidTr="005C00A5">
        <w:tc>
          <w:tcPr>
            <w:tcW w:w="2160" w:type="dxa"/>
            <w:shd w:val="clear" w:color="auto" w:fill="CCDCDC"/>
          </w:tcPr>
          <w:p w14:paraId="388A962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37B0364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E1E49C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have developed and implemented policies and practices that encourage open communication and proactive identification and reporting of potential risks throughout the AI lifecycle. These policies create an environment where individuals feel empowered to raise concerns, challenge assumptions, and engage in constructive dialogue, although their application may not yet be fully consistent across all AI initiatives.</w:t>
            </w:r>
          </w:p>
        </w:tc>
      </w:tr>
      <w:tr w:rsidR="00963E47" w:rsidRPr="00963E47" w14:paraId="2D402F23" w14:textId="77777777" w:rsidTr="005C00A5">
        <w:tc>
          <w:tcPr>
            <w:tcW w:w="2160" w:type="dxa"/>
            <w:shd w:val="clear" w:color="auto" w:fill="CCDCDC"/>
          </w:tcPr>
          <w:p w14:paraId="0B19416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62EEADC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98CE52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policies and practices that encourage open communication and proactive identification and reporting of potential risks are fully integrated into the organization's culture and processes. These policies are consistently applied, regularly reviewed and updated based on feedback and best practices, and are supported by robust training, recognition, and reward systems that reinforce the importance of raising concerns and engaging in constructive dialogue.</w:t>
            </w:r>
          </w:p>
        </w:tc>
      </w:tr>
    </w:tbl>
    <w:p w14:paraId="125D1215"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560CF62B" w14:textId="77777777" w:rsidTr="005C00A5">
        <w:tc>
          <w:tcPr>
            <w:tcW w:w="2250" w:type="dxa"/>
          </w:tcPr>
          <w:p w14:paraId="178B643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5990F28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28B5806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125FC578" w14:textId="77777777" w:rsidTr="005C00A5">
        <w:tc>
          <w:tcPr>
            <w:tcW w:w="2250" w:type="dxa"/>
          </w:tcPr>
          <w:p w14:paraId="4A4CB34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7B86749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Ineffective Risk Communication Policies</w:t>
            </w:r>
          </w:p>
        </w:tc>
        <w:tc>
          <w:tcPr>
            <w:tcW w:w="5300" w:type="dxa"/>
          </w:tcPr>
          <w:p w14:paraId="7033E83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Policies don't foster open communication and risk awareness in AI lifecycle</w:t>
            </w:r>
          </w:p>
        </w:tc>
      </w:tr>
    </w:tbl>
    <w:p w14:paraId="7F27577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3529BD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3332330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7DD0AF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and implement policies and practices that encourage open communication and proactive identification and reporting of potential risks throughout the AI lifecycle, integrating these into existing operational and governance frameworks. These policies should create an environment where individuals feel empowered to raise concerns, challenge assumptions, and engage in constructive dialogue without fear of retribution.</w:t>
      </w:r>
    </w:p>
    <w:p w14:paraId="65FA2A4D"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4935A8E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Establish clear channels for reporting potential risks, such as a dedicated email address or online portal, and ensure these channels are widely communicated and easily accessible within existing communication and management systems. Provide training to all relevant stakeholders on how to identify and report potential risks, including examples </w:t>
      </w:r>
      <w:r w:rsidRPr="00963E47">
        <w:rPr>
          <w:rFonts w:ascii="Aptos" w:eastAsia="Aptos" w:hAnsi="Aptos" w:cs="Times New Roman"/>
          <w:noProof/>
          <w:color w:val="auto"/>
          <w:kern w:val="2"/>
          <w:sz w:val="20"/>
          <w:szCs w:val="20"/>
          <w14:ligatures w14:val="standardContextual"/>
        </w:rPr>
        <w:lastRenderedPageBreak/>
        <w:t>of the types of risks that should be reported and the process for doing so. Encourage and support the practice of effective challenge to promote critical thinking and oversight.</w:t>
      </w:r>
    </w:p>
    <w:p w14:paraId="2A9CC8EF"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BD542B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a process for reviewing and investigating reported risks, ensuring this process is transparent and objective, and seamlessly integrate it into current risk management and escalation procedures. Communicate the outcomes of risk investigations to relevant stakeholders, and take appropriate action to mitigate any identified risks. Recognize and reward individuals who proactively identify and report potential risks to reinforce a culture of transparency and accountability.</w:t>
      </w:r>
    </w:p>
    <w:p w14:paraId="1F6CD0FA"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C99DBA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258BEDB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42BFFE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Open Communication Policies</w:t>
      </w:r>
    </w:p>
    <w:p w14:paraId="2704A95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and implement clear open communication policies that encourage stakeholder dialogue, proactive risk reporting, and a culture of transparency across the AI lifecycle.</w:t>
      </w:r>
    </w:p>
    <w:p w14:paraId="78E059F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1E78AB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Documented open communication policy outlining expectations and channels for risk reporting and feedback.</w:t>
      </w:r>
    </w:p>
    <w:p w14:paraId="3AC1FE7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Internal communications (e.g., emails, intranet posts) promoting the importance of open communication in risk management.</w:t>
      </w:r>
    </w:p>
    <w:p w14:paraId="3F4C604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workshops or training sessions conducted to raise awareness of open communication practices among employees.</w:t>
      </w:r>
    </w:p>
    <w:p w14:paraId="7016EC2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employees assessing their understanding and comfort level with current communication policies.</w:t>
      </w:r>
    </w:p>
    <w:p w14:paraId="3A6E2B8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F89671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Escalation Protection Framework</w:t>
      </w:r>
    </w:p>
    <w:p w14:paraId="4545816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an escalation protection framework that safeguards employees who report concerns related to AI risks, ensuring they can do so without fear of retribution.</w:t>
      </w:r>
    </w:p>
    <w:p w14:paraId="16830DC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CB4B40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escalation protection policies that outline reporting procedures and protections afforded to employees or third parties raising concerns.</w:t>
      </w:r>
    </w:p>
    <w:p w14:paraId="7B6B72D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any escalations reported, including how they were handled and outcomes.</w:t>
      </w:r>
    </w:p>
    <w:p w14:paraId="64219D7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Communication materials distributed to staff explaining the escalation protection mechanisms in place.</w:t>
      </w:r>
    </w:p>
    <w:p w14:paraId="78A1AAE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employees and third parties regarding their awareness and trust in the escalation process.</w:t>
      </w:r>
    </w:p>
    <w:p w14:paraId="6D272CBF"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2EC95E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Independent Oversight Mechanisms</w:t>
      </w:r>
    </w:p>
    <w:p w14:paraId="193F4B6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Integrate independent oversight mechanisms into AI risk management practices to enhance accountability and ensure impartial evaluations of risk reporting and handling.</w:t>
      </w:r>
    </w:p>
    <w:p w14:paraId="2C3DA19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36DD80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oversight processes and independent review committee structures related to AI risks.</w:t>
      </w:r>
    </w:p>
    <w:p w14:paraId="3805762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Minutes from independent oversight committee meetings discussing risk evaluations and stakeholder concerns.</w:t>
      </w:r>
    </w:p>
    <w:p w14:paraId="4491DE4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from independent audits assessing the organization’s handling of AI risks and adherence to policies.</w:t>
      </w:r>
    </w:p>
    <w:p w14:paraId="2B09212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indicating recommendations made by oversight committees and actions taken in response.</w:t>
      </w:r>
    </w:p>
    <w:p w14:paraId="1849F3C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81A7AA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Implementation of Critical Practices</w:t>
      </w:r>
    </w:p>
    <w:p w14:paraId="5AE1271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critical practices such as pair programming, dogfooding, and regular external audits to bolster a risk-aware culture and minimize potential risks within AI systems.</w:t>
      </w:r>
    </w:p>
    <w:p w14:paraId="0AA4D0C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FEA4A1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pair programming sessions, including participant logs and observed outcomes.</w:t>
      </w:r>
    </w:p>
    <w:p w14:paraId="0A285DF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dogfooding practices indicating how AI systems are tested internally before external deployment.</w:t>
      </w:r>
    </w:p>
    <w:p w14:paraId="49A9CD3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reports detailing findings from external evaluations of AI systems and resulting recommendations for improvement.</w:t>
      </w:r>
    </w:p>
    <w:p w14:paraId="12333DF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materials promoting the importance and implementation of these critical practices within teams.</w:t>
      </w:r>
    </w:p>
    <w:p w14:paraId="52DD8F1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8C7351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Improvement of Risk Communication Practices</w:t>
      </w:r>
    </w:p>
    <w:p w14:paraId="2D4C244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processes for the continuous improvement of risk communication practices, regularly gathering feedback from stakeholders to refine reporting mechanisms and ensure effectiveness.</w:t>
      </w:r>
    </w:p>
    <w:p w14:paraId="5D193DE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C683C3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surveys distributed to stakeholders to assess the effectiveness of risk communication practices and reporting processes.</w:t>
      </w:r>
    </w:p>
    <w:p w14:paraId="35DA71B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Summary reports documenting the results of feedback gathered and assessments of current practices.</w:t>
      </w:r>
    </w:p>
    <w:p w14:paraId="1848E5E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adjustments made to communication policies or practices based on stakeholder feedback and evaluation outcomes.</w:t>
      </w:r>
    </w:p>
    <w:p w14:paraId="3FA97F4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plans developed in response to feedback or audits aimed at improving risk communication practices.</w:t>
      </w:r>
    </w:p>
    <w:p w14:paraId="648499E3"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4E10842A"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6AAB0BE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3EF4BC8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65E08D9D" w14:textId="77777777" w:rsidTr="005C00A5">
        <w:tc>
          <w:tcPr>
            <w:tcW w:w="1170" w:type="dxa"/>
          </w:tcPr>
          <w:p w14:paraId="4DF0E9B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2E441D6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0628CA2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7C8ED71F" w14:textId="77777777" w:rsidTr="005C00A5">
        <w:tc>
          <w:tcPr>
            <w:tcW w:w="1170" w:type="dxa"/>
          </w:tcPr>
          <w:p w14:paraId="72A5B08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GV-4.1.3</w:t>
            </w:r>
          </w:p>
        </w:tc>
        <w:tc>
          <w:tcPr>
            <w:tcW w:w="2160" w:type="dxa"/>
          </w:tcPr>
          <w:p w14:paraId="597110F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Safety Lessons and Best Practices</w:t>
            </w:r>
          </w:p>
        </w:tc>
        <w:tc>
          <w:tcPr>
            <w:tcW w:w="6740" w:type="dxa"/>
          </w:tcPr>
          <w:p w14:paraId="61A5A8B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implements an improvement process that captures, shares, and applies lessons learned and best practices related to AI safety and risk management. This process promotes effective challenge through regular debriefs, case studies, cross-functional collaboration, and the integration of insights into policies, practices, and training programs to drive ongoing enhancement of the organization's critical thinking and safety-first mindset in AI development and deployment.</w:t>
            </w:r>
          </w:p>
          <w:p w14:paraId="2B46DA36" w14:textId="77777777" w:rsidR="00963E47" w:rsidRPr="00963E47" w:rsidRDefault="00963E47" w:rsidP="004C3837">
            <w:pPr>
              <w:keepNext/>
              <w:rPr>
                <w:rFonts w:ascii="Aptos" w:hAnsi="Aptos" w:cs="Times New Roman"/>
                <w:b/>
                <w:bCs/>
                <w:color w:val="000000"/>
                <w:sz w:val="20"/>
                <w:szCs w:val="20"/>
              </w:rPr>
            </w:pPr>
          </w:p>
          <w:p w14:paraId="582E2002" w14:textId="77777777" w:rsidR="00963E47" w:rsidRPr="00963E47" w:rsidRDefault="00963E47" w:rsidP="004C3837">
            <w:pPr>
              <w:keepNext/>
              <w:rPr>
                <w:rFonts w:ascii="Aptos" w:hAnsi="Aptos" w:cs="Times New Roman"/>
                <w:b/>
                <w:bCs/>
                <w:color w:val="000000"/>
                <w:sz w:val="20"/>
                <w:szCs w:val="20"/>
              </w:rPr>
            </w:pPr>
            <w:hyperlink r:id="rId61" w:anchor="govern-4-1" w:history="1">
              <w:r w:rsidRPr="00963E47">
                <w:rPr>
                  <w:rFonts w:ascii="Aptos" w:hAnsi="Aptos" w:cs="Times New Roman"/>
                  <w:color w:val="000000"/>
                  <w:sz w:val="20"/>
                  <w:szCs w:val="20"/>
                  <w:u w:val="single"/>
                </w:rPr>
                <w:t>Link to NIST AI RMF Playbook</w:t>
              </w:r>
            </w:hyperlink>
          </w:p>
        </w:tc>
      </w:tr>
    </w:tbl>
    <w:p w14:paraId="0EDFBDC5"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87FEBA2"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1E7F811E"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375BC137" w14:textId="77777777" w:rsidTr="005C00A5">
        <w:trPr>
          <w:tblHeader/>
        </w:trPr>
        <w:tc>
          <w:tcPr>
            <w:tcW w:w="2160" w:type="dxa"/>
            <w:shd w:val="clear" w:color="auto" w:fill="CCDCDC"/>
            <w:vAlign w:val="center"/>
          </w:tcPr>
          <w:p w14:paraId="1C891885"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527E57C5"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53F9F5E9"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526578E6" w14:textId="77777777" w:rsidTr="005C00A5">
        <w:tc>
          <w:tcPr>
            <w:tcW w:w="2160" w:type="dxa"/>
            <w:shd w:val="clear" w:color="auto" w:fill="CCDCDC"/>
          </w:tcPr>
          <w:p w14:paraId="56101F1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4385937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6771B7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3680D56" w14:textId="77777777" w:rsidTr="005C00A5">
        <w:tc>
          <w:tcPr>
            <w:tcW w:w="2160" w:type="dxa"/>
            <w:shd w:val="clear" w:color="auto" w:fill="CCDCDC"/>
          </w:tcPr>
          <w:p w14:paraId="19DBF34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2611084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677F7B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7DEF14D" w14:textId="77777777" w:rsidTr="005C00A5">
        <w:tc>
          <w:tcPr>
            <w:tcW w:w="2160" w:type="dxa"/>
            <w:shd w:val="clear" w:color="auto" w:fill="CCDCDC"/>
          </w:tcPr>
          <w:p w14:paraId="79D489D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69B9B33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41DD77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have implemented an improvement process that captures, shares, and applies lessons learned and best practices related to AI safety and risk management. This process includes regular debriefs, case studies, cross-functional collaboration, and the integration of insights into policies, practices, and training programs, although its application may not yet be fully consistent across all AI initiatives.</w:t>
            </w:r>
          </w:p>
        </w:tc>
      </w:tr>
      <w:tr w:rsidR="00963E47" w:rsidRPr="00963E47" w14:paraId="7BF3AEF6" w14:textId="77777777" w:rsidTr="005C00A5">
        <w:tc>
          <w:tcPr>
            <w:tcW w:w="2160" w:type="dxa"/>
            <w:shd w:val="clear" w:color="auto" w:fill="CCDCDC"/>
          </w:tcPr>
          <w:p w14:paraId="1EDBFC5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786CD95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2D9E35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improvement process for capturing, sharing, and applying lessons learned and best practices related to AI safety and risk management is fully integrated into the organization's culture and processes. This process is consistently applied, regularly reviewed and updated based on feedback and best practices, and is supported by robust knowledge management systems and metrics that track the impact of lessons learned on the organization's safety-first mindset in AI development and deployment.</w:t>
            </w:r>
          </w:p>
        </w:tc>
      </w:tr>
    </w:tbl>
    <w:p w14:paraId="4E8C0735"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39F5B576" w14:textId="77777777" w:rsidTr="005C00A5">
        <w:tc>
          <w:tcPr>
            <w:tcW w:w="2250" w:type="dxa"/>
          </w:tcPr>
          <w:p w14:paraId="6CFD662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lastRenderedPageBreak/>
              <w:t>AI Principle</w:t>
            </w:r>
          </w:p>
        </w:tc>
        <w:tc>
          <w:tcPr>
            <w:tcW w:w="2520" w:type="dxa"/>
          </w:tcPr>
          <w:p w14:paraId="5043CCB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5411625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1B6432FF" w14:textId="77777777" w:rsidTr="005C00A5">
        <w:tc>
          <w:tcPr>
            <w:tcW w:w="2250" w:type="dxa"/>
          </w:tcPr>
          <w:p w14:paraId="223F494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70EA373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Lack of Lessons Learned Integration</w:t>
            </w:r>
          </w:p>
        </w:tc>
        <w:tc>
          <w:tcPr>
            <w:tcW w:w="5300" w:type="dxa"/>
          </w:tcPr>
          <w:p w14:paraId="645491A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Improvement process lacks integration of lessons learned in AI safety</w:t>
            </w:r>
          </w:p>
        </w:tc>
      </w:tr>
    </w:tbl>
    <w:p w14:paraId="6E05221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5FAF60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17BD1A4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CA5BDF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Implement an improvement process that captures, shares, and applies lessons learned and best practices related to AI safety and risk management. Foster an environment that encourages effective challenge to continuously evaluate and improve these practices. This process should include regular debriefs and case studies to identify what worked well and what could be improved in the organization's approach to AI safety and risk management.</w:t>
      </w:r>
    </w:p>
    <w:p w14:paraId="0D752145"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618A0F8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Encourage cross-functional collaboration and knowledge sharing to ensure that insights and best practices are disseminated widely across the organization. Establish a centralized repository for capturing and storing lessons learned and best practices, and ensure this repository is easily accessible to all relevant stakeholders.</w:t>
      </w:r>
    </w:p>
    <w:p w14:paraId="0883C355"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41E95A5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Integrate insights and best practices into the organization's policies, practices, and training programs to drive ongoing enhancement of the organization's critical thinking and safety-first mindset in AI development and deployment. Regularly review and update the improvement process to ensure it remains effective and relevant, taking into account changes in the AI landscape, emerging risks, and stakeholder feedback.</w:t>
      </w:r>
    </w:p>
    <w:p w14:paraId="303A7F03"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F2768A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35E6FBA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952055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Lessons Learned and Best Practices Repository</w:t>
      </w:r>
    </w:p>
    <w:p w14:paraId="5AA3F79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centralized repository for capturing and documenting lessons learned and best practices related to AI safety and risk management, ensuring easy access for all stakeholders.</w:t>
      </w:r>
    </w:p>
    <w:p w14:paraId="5F5DD74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E18E24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the repository structure, including categories for different types of lessons and best practices.</w:t>
      </w:r>
    </w:p>
    <w:p w14:paraId="0BADF16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lessons learned and best practices entries, including case studies and their outcomes.</w:t>
      </w:r>
    </w:p>
    <w:p w14:paraId="2B12989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User access logs indicating how frequently the repository is utilized by team members.</w:t>
      </w:r>
    </w:p>
    <w:p w14:paraId="0374BE1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users regarding the usefulness and clarity of documented lessons and practices.</w:t>
      </w:r>
    </w:p>
    <w:p w14:paraId="30AD14A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AFF240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 Debriefing Sessions</w:t>
      </w:r>
    </w:p>
    <w:p w14:paraId="291567E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regular debriefing sessions following significant AI incidents or project milestones to discuss lessons learned and encourage open dialogue among team members.</w:t>
      </w:r>
    </w:p>
    <w:p w14:paraId="353FB01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753D59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Agendas and minutes from debriefing sessions that outline key discussion points and lessons identified.</w:t>
      </w:r>
    </w:p>
    <w:p w14:paraId="1635331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attendance for team members involved in debriefing sessions, ensuring wide participation.</w:t>
      </w:r>
    </w:p>
    <w:p w14:paraId="11F6705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items generated from debrief discussions, documenting plans for improvement.</w:t>
      </w:r>
    </w:p>
    <w:p w14:paraId="363FC7A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collected from participants on the efficacy of debriefing sessions and their perceived impact on future practices.</w:t>
      </w:r>
    </w:p>
    <w:p w14:paraId="47DAADD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B4C64C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Cross-Functional Collaboration Initiatives</w:t>
      </w:r>
    </w:p>
    <w:p w14:paraId="2CC3054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Promote cross-functional collaboration by involving multidisciplinary teams in discussions about AI safety lessons and best practices to enrich perspectives and knowledge sharing.</w:t>
      </w:r>
    </w:p>
    <w:p w14:paraId="50AF411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E614C0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cross-functional meetings that include participants from different departments working on AI projects.</w:t>
      </w:r>
    </w:p>
    <w:p w14:paraId="25AE6A4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collaborative projects or initiatives that arise from cross-functional discussions on AI safety.</w:t>
      </w:r>
    </w:p>
    <w:p w14:paraId="2F2F24F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forms assessing the value of cross-functional engagement in enhancing understanding of AI safety issues.</w:t>
      </w:r>
    </w:p>
    <w:p w14:paraId="3EAAF4E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Summaries of insights gained from collaborative sessions that inform organizational safety practices.</w:t>
      </w:r>
    </w:p>
    <w:p w14:paraId="3F81E01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47F9A1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into Policies and Practices</w:t>
      </w:r>
    </w:p>
    <w:p w14:paraId="5E47513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Integrate insights and best practices from safety lessons learned into organizational policies, practices, and training programs to enhance the overall safety culture.</w:t>
      </w:r>
    </w:p>
    <w:p w14:paraId="7103F50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FDD3C3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updates made to policies reflecting lessons learned from past incidents or best practices.</w:t>
      </w:r>
    </w:p>
    <w:p w14:paraId="255C7FF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materials updated to include new safety insights and practices derived from collected lessons.</w:t>
      </w:r>
    </w:p>
    <w:p w14:paraId="68A6337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employee access to updated policies and training reflecting integrated practices.</w:t>
      </w:r>
    </w:p>
    <w:p w14:paraId="4B107AE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reports evaluating the effectiveness of implemented changes in policies and practices.</w:t>
      </w:r>
    </w:p>
    <w:p w14:paraId="5247A54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19C082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Safety Improvement Framework</w:t>
      </w:r>
    </w:p>
    <w:p w14:paraId="79F0BF7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continuous improvement framework that encourages ongoing enhancements based on safety lessons and best practices, fostering a safety-first mindset in AI development and deployment.</w:t>
      </w:r>
    </w:p>
    <w:p w14:paraId="23ED29A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C635F7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outlining the continuous improvement framework, including processes for incorporating lessons learned into ongoing practices.</w:t>
      </w:r>
    </w:p>
    <w:p w14:paraId="6B51CE0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Metrics demonstrating improvements in safety-related performance indicators over time.</w:t>
      </w:r>
    </w:p>
    <w:p w14:paraId="3C5A3AD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periodic reviews assessing the effectiveness of the continuous improvement efforts and their alignment with organizational goals.</w:t>
      </w:r>
    </w:p>
    <w:p w14:paraId="6C90F30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stakeholders regarding the impact of the improvement process on fostering a culture of safety within AI initiatives.</w:t>
      </w:r>
    </w:p>
    <w:p w14:paraId="0FC8E722"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22" w:name="_Toc214874767"/>
      <w:r w:rsidRPr="00963E47">
        <w:rPr>
          <w:rFonts w:ascii="Aptos" w:eastAsia="Aptos" w:hAnsi="Aptos" w:cs="Times New Roman"/>
          <w:b/>
          <w:bCs/>
          <w:noProof/>
          <w:color w:val="35256B"/>
          <w:kern w:val="2"/>
          <w:sz w:val="24"/>
          <w14:ligatures w14:val="standardContextual"/>
        </w:rPr>
        <w:t>GOVERN / Bolstering a Risk-Aware Culture / Documenting the AI System's Impact</w:t>
      </w:r>
      <w:bookmarkEnd w:id="22"/>
      <w:r w:rsidRPr="00963E47">
        <w:rPr>
          <w:rFonts w:ascii="Aptos" w:eastAsia="Aptos" w:hAnsi="Aptos" w:cs="Times New Roman"/>
          <w:b/>
          <w:bCs/>
          <w:noProof/>
          <w:color w:val="35256B"/>
          <w:kern w:val="2"/>
          <w:sz w:val="24"/>
          <w14:ligatures w14:val="standardContextual"/>
        </w:rPr>
        <w:t xml:space="preserve"> </w:t>
      </w:r>
    </w:p>
    <w:p w14:paraId="2957B9D3"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2580AF8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54DA28F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21522921" w14:textId="77777777" w:rsidTr="005C00A5">
        <w:tc>
          <w:tcPr>
            <w:tcW w:w="1170" w:type="dxa"/>
          </w:tcPr>
          <w:p w14:paraId="5061F5D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5921848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75E65B8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44C360ED" w14:textId="77777777" w:rsidTr="005C00A5">
        <w:tc>
          <w:tcPr>
            <w:tcW w:w="1170" w:type="dxa"/>
          </w:tcPr>
          <w:p w14:paraId="68009DC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GV-4.2.1</w:t>
            </w:r>
          </w:p>
        </w:tc>
        <w:tc>
          <w:tcPr>
            <w:tcW w:w="2160" w:type="dxa"/>
          </w:tcPr>
          <w:p w14:paraId="7AB2678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Risk and Impact Documentation Templates</w:t>
            </w:r>
          </w:p>
        </w:tc>
        <w:tc>
          <w:tcPr>
            <w:tcW w:w="6740" w:type="dxa"/>
          </w:tcPr>
          <w:p w14:paraId="293AD71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establishes standardized templates and guidelines for documenting AI system risks and potential impacts throughout the AI lifecycle. These templates support informed risk assessment and estimation processes, facilitating consistent documentation across teams and projects.</w:t>
            </w:r>
          </w:p>
          <w:p w14:paraId="515ABC50" w14:textId="77777777" w:rsidR="00963E47" w:rsidRPr="00963E47" w:rsidRDefault="00963E47" w:rsidP="004C3837">
            <w:pPr>
              <w:keepNext/>
              <w:rPr>
                <w:rFonts w:ascii="Aptos" w:hAnsi="Aptos" w:cs="Times New Roman"/>
                <w:b/>
                <w:bCs/>
                <w:color w:val="000000"/>
                <w:sz w:val="20"/>
                <w:szCs w:val="20"/>
              </w:rPr>
            </w:pPr>
          </w:p>
          <w:p w14:paraId="20F727ED" w14:textId="77777777" w:rsidR="00963E47" w:rsidRPr="00963E47" w:rsidRDefault="00963E47" w:rsidP="004C3837">
            <w:pPr>
              <w:keepNext/>
              <w:rPr>
                <w:rFonts w:ascii="Aptos" w:hAnsi="Aptos" w:cs="Times New Roman"/>
                <w:b/>
                <w:bCs/>
                <w:color w:val="000000"/>
                <w:sz w:val="20"/>
                <w:szCs w:val="20"/>
              </w:rPr>
            </w:pPr>
            <w:hyperlink r:id="rId62" w:anchor="govern-4-2" w:history="1">
              <w:r w:rsidRPr="00963E47">
                <w:rPr>
                  <w:rFonts w:ascii="Aptos" w:hAnsi="Aptos" w:cs="Times New Roman"/>
                  <w:color w:val="000000"/>
                  <w:sz w:val="20"/>
                  <w:szCs w:val="20"/>
                  <w:u w:val="single"/>
                </w:rPr>
                <w:t>Link to NIST AI RMF Playbook</w:t>
              </w:r>
            </w:hyperlink>
          </w:p>
        </w:tc>
      </w:tr>
    </w:tbl>
    <w:p w14:paraId="166A35EC"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3A35FB4"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2D9B1C03"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2A89C428" w14:textId="77777777" w:rsidTr="005C00A5">
        <w:trPr>
          <w:tblHeader/>
        </w:trPr>
        <w:tc>
          <w:tcPr>
            <w:tcW w:w="2160" w:type="dxa"/>
            <w:shd w:val="clear" w:color="auto" w:fill="CCDCDC"/>
            <w:vAlign w:val="center"/>
          </w:tcPr>
          <w:p w14:paraId="328E6B98"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1CC26B28"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69959533"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5B0B659E" w14:textId="77777777" w:rsidTr="005C00A5">
        <w:tc>
          <w:tcPr>
            <w:tcW w:w="2160" w:type="dxa"/>
            <w:shd w:val="clear" w:color="auto" w:fill="CCDCDC"/>
          </w:tcPr>
          <w:p w14:paraId="02370B5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14BA2BF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5369BF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43CC538F" w14:textId="77777777" w:rsidTr="005C00A5">
        <w:tc>
          <w:tcPr>
            <w:tcW w:w="2160" w:type="dxa"/>
            <w:shd w:val="clear" w:color="auto" w:fill="CCDCDC"/>
          </w:tcPr>
          <w:p w14:paraId="5F46526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27D380B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7FD199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have started to establish templates and guidelines for documenting AI system risks and potential impacts. However, these templates and guidelines may be limited in scope, not fully standardized, or not consistently applied throughout the AI lifecycle.</w:t>
            </w:r>
          </w:p>
        </w:tc>
      </w:tr>
      <w:tr w:rsidR="00963E47" w:rsidRPr="00963E47" w14:paraId="1138ABC7" w14:textId="77777777" w:rsidTr="005C00A5">
        <w:tc>
          <w:tcPr>
            <w:tcW w:w="2160" w:type="dxa"/>
            <w:shd w:val="clear" w:color="auto" w:fill="CCDCDC"/>
          </w:tcPr>
          <w:p w14:paraId="10AE5F5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0C8CE7B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4A1760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have established comprehensive, standardized templates and guidelines for documenting AI system risks and potential impacts throughout the AI lifecycle. These templates provide consistent documentation across teams and projects, facilitating effective risk management and communication, although their application may not yet be fully consistent across all AI initiatives.</w:t>
            </w:r>
          </w:p>
        </w:tc>
      </w:tr>
      <w:tr w:rsidR="00963E47" w:rsidRPr="00963E47" w14:paraId="64D273D1" w14:textId="77777777" w:rsidTr="005C00A5">
        <w:tc>
          <w:tcPr>
            <w:tcW w:w="2160" w:type="dxa"/>
            <w:shd w:val="clear" w:color="auto" w:fill="CCDCDC"/>
          </w:tcPr>
          <w:p w14:paraId="4622B99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4: Embedded</w:t>
            </w:r>
          </w:p>
        </w:tc>
        <w:tc>
          <w:tcPr>
            <w:tcW w:w="1350" w:type="dxa"/>
          </w:tcPr>
          <w:p w14:paraId="3D37074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31F5A2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standardized templates and guidelines for documenting AI system risks and potential impacts are fully integrated into the organization's AI development and deployment processes. These templates are consistently applied, regularly reviewed and updated based on feedback and best practices, and are supported by robust training and quality assurance mechanisms to ensure comprehensive and accurate documentation.</w:t>
            </w:r>
          </w:p>
        </w:tc>
      </w:tr>
    </w:tbl>
    <w:p w14:paraId="78B1F71C"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4003C068" w14:textId="77777777" w:rsidTr="005C00A5">
        <w:tc>
          <w:tcPr>
            <w:tcW w:w="2250" w:type="dxa"/>
          </w:tcPr>
          <w:p w14:paraId="5E61EA6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6D6952C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7C9A217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316EC045" w14:textId="77777777" w:rsidTr="005C00A5">
        <w:tc>
          <w:tcPr>
            <w:tcW w:w="2250" w:type="dxa"/>
          </w:tcPr>
          <w:p w14:paraId="6AF9235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72CD4DA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Inadequate Standardized AI Templates</w:t>
            </w:r>
          </w:p>
        </w:tc>
        <w:tc>
          <w:tcPr>
            <w:tcW w:w="5300" w:type="dxa"/>
          </w:tcPr>
          <w:p w14:paraId="49287DC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Standardized templates and guidelines are inadequate for AI system risk documentation</w:t>
            </w:r>
          </w:p>
        </w:tc>
      </w:tr>
    </w:tbl>
    <w:p w14:paraId="00D2E3A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573FCD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3DB7C46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DF5C7B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standardized templates and guidelines for use throughout the AI lifecycle to ensure consistent and effective documentation of AI system risks and potential impacts. These templates should be designed to support informed risk assessment and estimate processes (e.g., in MAP 5.1), capturing key information such as the nature and severity of identified risks, potential impacts on stakeholders, and proposed mitigation strategies.</w:t>
      </w:r>
    </w:p>
    <w:p w14:paraId="68FB3801"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8A0629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Engage with a multidisciplinary group of stakeholders, including AI developers, risk managers, and subject matter experts, to ensure the templates are comprehensive and user-friendly. Provide training and guidance to teams on how to use the templates effectively, including examples of best practices and common pitfalls to avoid. Regularly review and update the templates based on feedback from users and changes in the AI risk landscape to ensure they remain relevant and effective.</w:t>
      </w:r>
    </w:p>
    <w:p w14:paraId="0BF42297"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FDFB08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338320C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88E2D7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Standardized Documentation Templates</w:t>
      </w:r>
    </w:p>
    <w:p w14:paraId="1172212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Create standardized templates and guidelines for documenting AI system risks and potential impacts, ensuring consistency and clarity throughout the AI lifecycle.</w:t>
      </w:r>
    </w:p>
    <w:p w14:paraId="626E3AC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9D259F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Copies of standardized templates for risk and impact documentation outlining required fields and instructions.</w:t>
      </w:r>
    </w:p>
    <w:p w14:paraId="55D2E30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indicating the guidelines developed for using the templates effectively across various AI projects.</w:t>
      </w:r>
    </w:p>
    <w:p w14:paraId="165C4C2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training sessions conducted to familiarize teams with the new documentation templates.</w:t>
      </w:r>
    </w:p>
    <w:p w14:paraId="6DE2280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Examples of completed templates showcasing consistent use across different AI systems and projects.</w:t>
      </w:r>
    </w:p>
    <w:p w14:paraId="182615F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8258FF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Training on Documentation Standards</w:t>
      </w:r>
    </w:p>
    <w:p w14:paraId="24105AB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Provide training for personnel on the use of standardized documentation templates to enhance understanding and compliance with documentation standards.</w:t>
      </w:r>
    </w:p>
    <w:p w14:paraId="2274AE2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149737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materials and presentations used to educate staff on the documentation process and template usage.</w:t>
      </w:r>
    </w:p>
    <w:p w14:paraId="29E08F8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Attendance records of personnel participating in training sessions on documentation standards.</w:t>
      </w:r>
    </w:p>
    <w:p w14:paraId="26EDFC8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surveys assessing the clarity and effectiveness of the training provided.</w:t>
      </w:r>
    </w:p>
    <w:p w14:paraId="12FE083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follow-up sessions or resources offered to reinforce training on proper use of templates.</w:t>
      </w:r>
    </w:p>
    <w:p w14:paraId="368DBD6F"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6A91F8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Quality Assurance Checks</w:t>
      </w:r>
    </w:p>
    <w:p w14:paraId="512BF7A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quality assurance checks to review and validate completed risk and impact documentation, ensuring adherence to established templates and guidelines.</w:t>
      </w:r>
    </w:p>
    <w:p w14:paraId="1EC7B72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EC9261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logs of risk documentation reviewed including findings and any necessary corrective actions taken.</w:t>
      </w:r>
    </w:p>
    <w:p w14:paraId="35C6DD3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Quality review checklists used to assess compliance with documentation standards across teams.</w:t>
      </w:r>
    </w:p>
    <w:p w14:paraId="2920EB2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issues identified during quality checks and subsequent resolutions or adjustments made.</w:t>
      </w:r>
    </w:p>
    <w:p w14:paraId="6EEB350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summarizing the results of quality assurance evaluations, including trends in compliance over time.</w:t>
      </w:r>
    </w:p>
    <w:p w14:paraId="505D336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28A516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Feedback and Continuous Improvement</w:t>
      </w:r>
    </w:p>
    <w:p w14:paraId="2F62E6B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feedback mechanism for personnel to provide input on the effectiveness of documentation templates, allowing for continuous improvement based on user experiences.</w:t>
      </w:r>
    </w:p>
    <w:p w14:paraId="0038E63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1E3FA7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forms or surveys distributed to personnel after they use the documentation templates.</w:t>
      </w:r>
    </w:p>
    <w:p w14:paraId="420C42B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Summaries of stakeholder feedback sessions discussing improvements or challenges experienced with the templates.</w:t>
      </w:r>
    </w:p>
    <w:p w14:paraId="6B68DB3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adjustments made to templates based on feedback received, with justifications for changes.</w:t>
      </w:r>
    </w:p>
    <w:p w14:paraId="30ADF02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Reporting on how feedback has informed the evolution of documentation practices within the organization.</w:t>
      </w:r>
    </w:p>
    <w:p w14:paraId="1BE2935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E3B003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of Templates into Risk Assessment Processes</w:t>
      </w:r>
    </w:p>
    <w:p w14:paraId="1883294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Ensure that the standardized documentation templates are integrated into risk assessment and estimation processes to improve the consistency and reliability of risk evaluation.</w:t>
      </w:r>
    </w:p>
    <w:p w14:paraId="7AD240B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F0A46E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showing how the templates are incorporated into the risk assessment workflow.</w:t>
      </w:r>
    </w:p>
    <w:p w14:paraId="784E3D2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risk assessments that utilized the standardized templates, showcasing alignment with organizational protocols.</w:t>
      </w:r>
    </w:p>
    <w:p w14:paraId="6C8D783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evaluating the effectiveness of the templates in enhancing the accuracy and consistency of risk evaluations.</w:t>
      </w:r>
    </w:p>
    <w:p w14:paraId="0A495E2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notes discussing the integration of templates into risk management processes and how they support risk mitigation efforts.</w:t>
      </w:r>
    </w:p>
    <w:p w14:paraId="3BADAA00"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105FA5CF"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4068A79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09F1A72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3042C4DC" w14:textId="77777777" w:rsidTr="005C00A5">
        <w:tc>
          <w:tcPr>
            <w:tcW w:w="1170" w:type="dxa"/>
          </w:tcPr>
          <w:p w14:paraId="16A5E9C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7605EE4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5C93E19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43BB3BC7" w14:textId="77777777" w:rsidTr="005C00A5">
        <w:tc>
          <w:tcPr>
            <w:tcW w:w="1170" w:type="dxa"/>
          </w:tcPr>
          <w:p w14:paraId="0C8705B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GV-4.2.2</w:t>
            </w:r>
          </w:p>
        </w:tc>
        <w:tc>
          <w:tcPr>
            <w:tcW w:w="2160" w:type="dxa"/>
          </w:tcPr>
          <w:p w14:paraId="32F1FBA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Risk Documentation Review and Updates</w:t>
            </w:r>
          </w:p>
        </w:tc>
        <w:tc>
          <w:tcPr>
            <w:tcW w:w="6740" w:type="dxa"/>
          </w:tcPr>
          <w:p w14:paraId="084FA01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regularly reviews and updates AI risk and impact documentation based on stakeholder feedback (e.g., end-users, subject matter experts, external advisors), ensuring that the information remains accurate, relevant, and actionable. This feedback is used to refine AI risk management practices and inform targeted risk mitigation strategies.</w:t>
            </w:r>
          </w:p>
          <w:p w14:paraId="71BD6034" w14:textId="77777777" w:rsidR="00963E47" w:rsidRPr="00963E47" w:rsidRDefault="00963E47" w:rsidP="004C3837">
            <w:pPr>
              <w:keepNext/>
              <w:rPr>
                <w:rFonts w:ascii="Aptos" w:hAnsi="Aptos" w:cs="Times New Roman"/>
                <w:b/>
                <w:bCs/>
                <w:color w:val="000000"/>
                <w:sz w:val="20"/>
                <w:szCs w:val="20"/>
              </w:rPr>
            </w:pPr>
          </w:p>
          <w:p w14:paraId="0920A088" w14:textId="77777777" w:rsidR="00963E47" w:rsidRPr="00963E47" w:rsidRDefault="00963E47" w:rsidP="004C3837">
            <w:pPr>
              <w:keepNext/>
              <w:rPr>
                <w:rFonts w:ascii="Aptos" w:hAnsi="Aptos" w:cs="Times New Roman"/>
                <w:b/>
                <w:bCs/>
                <w:color w:val="000000"/>
                <w:sz w:val="20"/>
                <w:szCs w:val="20"/>
              </w:rPr>
            </w:pPr>
            <w:hyperlink r:id="rId63" w:anchor="govern-4-2" w:history="1">
              <w:r w:rsidRPr="00963E47">
                <w:rPr>
                  <w:rFonts w:ascii="Aptos" w:hAnsi="Aptos" w:cs="Times New Roman"/>
                  <w:color w:val="000000"/>
                  <w:sz w:val="20"/>
                  <w:szCs w:val="20"/>
                  <w:u w:val="single"/>
                </w:rPr>
                <w:t>Link to NIST AI RMF Playbook</w:t>
              </w:r>
            </w:hyperlink>
          </w:p>
        </w:tc>
      </w:tr>
    </w:tbl>
    <w:p w14:paraId="00F107E1"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9C7FA43"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47D8A6AB"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42DB55E5" w14:textId="77777777" w:rsidTr="005C00A5">
        <w:trPr>
          <w:tblHeader/>
        </w:trPr>
        <w:tc>
          <w:tcPr>
            <w:tcW w:w="2160" w:type="dxa"/>
            <w:shd w:val="clear" w:color="auto" w:fill="CCDCDC"/>
            <w:vAlign w:val="center"/>
          </w:tcPr>
          <w:p w14:paraId="5D7EDA9E"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6695B9D6"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190729CD"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084D9050" w14:textId="77777777" w:rsidTr="005C00A5">
        <w:tc>
          <w:tcPr>
            <w:tcW w:w="2160" w:type="dxa"/>
            <w:shd w:val="clear" w:color="auto" w:fill="CCDCDC"/>
          </w:tcPr>
          <w:p w14:paraId="737B036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513ECF7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1A955C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2EB2D738" w14:textId="77777777" w:rsidTr="005C00A5">
        <w:tc>
          <w:tcPr>
            <w:tcW w:w="2160" w:type="dxa"/>
            <w:shd w:val="clear" w:color="auto" w:fill="CCDCDC"/>
          </w:tcPr>
          <w:p w14:paraId="22A603D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55EDFA1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5A10E6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316A8758" w14:textId="77777777" w:rsidTr="005C00A5">
        <w:tc>
          <w:tcPr>
            <w:tcW w:w="2160" w:type="dxa"/>
            <w:shd w:val="clear" w:color="auto" w:fill="CCDCDC"/>
          </w:tcPr>
          <w:p w14:paraId="1DF7499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32CF4CA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55BC3C8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regularly review and update AI risk and impact documentation based on stakeholder feedback. This process ensures that the information remains accurate, relevant, and actionable, and is used to refine AI risk management practices and inform targeted risk mitigation strategies, although its application may not yet be fully consistent across all AI initiatives.</w:t>
            </w:r>
          </w:p>
        </w:tc>
      </w:tr>
      <w:tr w:rsidR="00963E47" w:rsidRPr="00963E47" w14:paraId="45837F55" w14:textId="77777777" w:rsidTr="005C00A5">
        <w:tc>
          <w:tcPr>
            <w:tcW w:w="2160" w:type="dxa"/>
            <w:shd w:val="clear" w:color="auto" w:fill="CCDCDC"/>
          </w:tcPr>
          <w:p w14:paraId="5ED70A5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4: Embedded</w:t>
            </w:r>
          </w:p>
        </w:tc>
        <w:tc>
          <w:tcPr>
            <w:tcW w:w="1350" w:type="dxa"/>
          </w:tcPr>
          <w:p w14:paraId="7AB3ACF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9FFCDB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the process for regularly reviewing and updating AI risk and impact documentation based on stakeholder feedback is fully integrated into the organization's AI governance and risk management processes. This process is consistently applied, supported by robust stakeholder engagement mechanisms, and is used to continuously refine AI risk management practices and inform targeted risk mitigation strategies.</w:t>
            </w:r>
          </w:p>
        </w:tc>
      </w:tr>
    </w:tbl>
    <w:p w14:paraId="60B8ACE7"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4F6D19D1" w14:textId="77777777" w:rsidTr="005C00A5">
        <w:tc>
          <w:tcPr>
            <w:tcW w:w="2250" w:type="dxa"/>
          </w:tcPr>
          <w:p w14:paraId="27CE0FA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273A7B0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098F098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31D551B7" w14:textId="77777777" w:rsidTr="005C00A5">
        <w:tc>
          <w:tcPr>
            <w:tcW w:w="2250" w:type="dxa"/>
          </w:tcPr>
          <w:p w14:paraId="2784535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1A7E50C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Outdated Risk Documentation</w:t>
            </w:r>
          </w:p>
        </w:tc>
        <w:tc>
          <w:tcPr>
            <w:tcW w:w="5300" w:type="dxa"/>
          </w:tcPr>
          <w:p w14:paraId="7AEEAFA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risk and impact documentation is not regularly reviewed or updated</w:t>
            </w:r>
          </w:p>
        </w:tc>
      </w:tr>
    </w:tbl>
    <w:p w14:paraId="5FACAE3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EA4AB4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0E4AC1B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4F57E7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Regularly review and update AI risk and impact documentation based on stakeholder feedback. Establish a process for soliciting feedback from a multidisciplinary range of stakeholders, including end-users, subject matter experts, and external advisors. This process should include various feedback mechanisms, such as surveys, focus groups, and one-on-one interviews, to ensure all perspectives are captured.</w:t>
      </w:r>
    </w:p>
    <w:p w14:paraId="39025D6C"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2AC6D42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Analyze feedback to identify common themes and areas for improvement, and use this information to refine AI risk management practices and inform targeted risk mitigation strategies. Communicate the results of the feedback process to stakeholders and demonstrate how their input has been used to drive improvements in AI risk management.</w:t>
      </w:r>
    </w:p>
    <w:p w14:paraId="28C670F4"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FE819B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662FF3A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8A3038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Scheduled Risk Documentation Reviews</w:t>
      </w:r>
    </w:p>
    <w:p w14:paraId="00CBB5F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regular schedule for reviewing AI risk and impact documentation, ensuring that it remains current and reflective of stakeholder insights and evolving conditions.</w:t>
      </w:r>
    </w:p>
    <w:p w14:paraId="2211006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14A2FD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the review schedule, including dates and participants involved in each review session.</w:t>
      </w:r>
    </w:p>
    <w:p w14:paraId="1619183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summarizing discussions and decisions regarding updates to risk documentation.</w:t>
      </w:r>
    </w:p>
    <w:p w14:paraId="5BC2C96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Notification logs indicating when reviews of specific documentation took place and the stakeholders involved.</w:t>
      </w:r>
    </w:p>
    <w:p w14:paraId="5AB5C38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detailing any changes made to documentation as a result of the review process.</w:t>
      </w:r>
    </w:p>
    <w:p w14:paraId="0A1AA142"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AA90F9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Stakeholder Feedback Integration</w:t>
      </w:r>
    </w:p>
    <w:p w14:paraId="02C7A03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processes for systematically gathering and integrating stakeholder feedback concerning AI risk and impact documentation to enhance its relevance and usability.</w:t>
      </w:r>
    </w:p>
    <w:p w14:paraId="3F5A5D0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8B0E4B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feedback collection methods used (e.g., surveys, interviews, focus groups) to engage stakeholders.</w:t>
      </w:r>
    </w:p>
    <w:p w14:paraId="0542156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Summaries of stakeholder feedback, including thematic analysis and unique insights shared during consultations.</w:t>
      </w:r>
    </w:p>
    <w:p w14:paraId="533C8FC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how feedback influenced specific updates or revisions in risk documentation.</w:t>
      </w:r>
    </w:p>
    <w:p w14:paraId="556479F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Lists of stakeholder groups consulted for feedback and a summary of the responses received.</w:t>
      </w:r>
    </w:p>
    <w:p w14:paraId="0AA7ED2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7426EC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Improvement of Risk Management Practices</w:t>
      </w:r>
    </w:p>
    <w:p w14:paraId="7AA182B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insights from stakeholder feedback and documentation reviews to refine AI risk management practices and inform targeted risk mitigation strategies.</w:t>
      </w:r>
    </w:p>
    <w:p w14:paraId="211FA07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55A9DF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plans outlining informed adjustments to risk management practices based on the most recent feedback.</w:t>
      </w:r>
    </w:p>
    <w:p w14:paraId="106AC5D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Documentation of updates to risk mitigation strategies that highlight specific changes made for improved effectiveness.</w:t>
      </w:r>
    </w:p>
    <w:p w14:paraId="6B34193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workshops or training sessions that take place to incorporate lessons learned from stakeholder feedback into risk management practices.</w:t>
      </w:r>
    </w:p>
    <w:p w14:paraId="48B89D4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Evaluation reports tracking the success of implemented changes in risk management as a result of stakeholder input.</w:t>
      </w:r>
    </w:p>
    <w:p w14:paraId="6D76E3D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50FA5A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Updates and Changes</w:t>
      </w:r>
    </w:p>
    <w:p w14:paraId="44526C3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comprehensive records of all updates made to AI risk and impact documentation, including the rationale behind changes and stakeholder contributions.</w:t>
      </w:r>
    </w:p>
    <w:p w14:paraId="290DE8C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5A6C9C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that detail each modification made to documentation and the reasoning for those changes.</w:t>
      </w:r>
    </w:p>
    <w:p w14:paraId="3A97510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Revision history showing past iterations of the risk documentation and what updates were made.</w:t>
      </w:r>
    </w:p>
    <w:p w14:paraId="5A0B3CF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stakeholder involvement in discussions related to documentation updates, including their recommendations.</w:t>
      </w:r>
    </w:p>
    <w:p w14:paraId="7C2E08D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Summary reports that capture the decision-making process related to modifications and highlight key contributions from stakeholders.</w:t>
      </w:r>
    </w:p>
    <w:p w14:paraId="0D164D1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B993B1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 Training on Updated Practices</w:t>
      </w:r>
    </w:p>
    <w:p w14:paraId="307D786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Provide training sessions for personnel on updated AI risk and impact documentation to ensure that all relevant staff are aware of and understand new procedures and practices.</w:t>
      </w:r>
    </w:p>
    <w:p w14:paraId="5880584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EC7DF0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materials that include updated content from the revised risk documentation.</w:t>
      </w:r>
    </w:p>
    <w:p w14:paraId="64C5038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Attendance records for training sessions conducted to familiarize staff with the updated documentation and practices.</w:t>
      </w:r>
    </w:p>
    <w:p w14:paraId="75267F3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surveys from participants regarding the clarity and applicability of the training content.</w:t>
      </w:r>
    </w:p>
    <w:p w14:paraId="60EBE50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Competency assessments evaluating staff understanding of new practices reflected in the updated risk documentation.</w:t>
      </w:r>
    </w:p>
    <w:p w14:paraId="54BF3635"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468F6D37"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075DA84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2F0D88B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40251416" w14:textId="77777777" w:rsidTr="005C00A5">
        <w:tc>
          <w:tcPr>
            <w:tcW w:w="1170" w:type="dxa"/>
          </w:tcPr>
          <w:p w14:paraId="3542443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4A40089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1596401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5AB78B6C" w14:textId="77777777" w:rsidTr="005C00A5">
        <w:tc>
          <w:tcPr>
            <w:tcW w:w="1170" w:type="dxa"/>
          </w:tcPr>
          <w:p w14:paraId="69805B2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GV-4.2.3</w:t>
            </w:r>
          </w:p>
        </w:tc>
        <w:tc>
          <w:tcPr>
            <w:tcW w:w="2160" w:type="dxa"/>
          </w:tcPr>
          <w:p w14:paraId="7C357B6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Benefits Monitoring and Updates Plan</w:t>
            </w:r>
          </w:p>
        </w:tc>
        <w:tc>
          <w:tcPr>
            <w:tcW w:w="6740" w:type="dxa"/>
          </w:tcPr>
          <w:p w14:paraId="2ACBD38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creates a plan to regularly review and update documentation of the AI system’s actual and potential benefits as its functionality, performance, and context of use evolve.</w:t>
            </w:r>
          </w:p>
          <w:p w14:paraId="687F4D17" w14:textId="77777777" w:rsidR="00963E47" w:rsidRPr="00963E47" w:rsidRDefault="00963E47" w:rsidP="004C3837">
            <w:pPr>
              <w:keepNext/>
              <w:rPr>
                <w:rFonts w:ascii="Aptos" w:hAnsi="Aptos" w:cs="Times New Roman"/>
                <w:b/>
                <w:bCs/>
                <w:color w:val="000000"/>
                <w:sz w:val="20"/>
                <w:szCs w:val="20"/>
              </w:rPr>
            </w:pPr>
          </w:p>
          <w:p w14:paraId="76BD6423" w14:textId="77777777" w:rsidR="00963E47" w:rsidRPr="00963E47" w:rsidRDefault="00963E47" w:rsidP="004C3837">
            <w:pPr>
              <w:keepNext/>
              <w:rPr>
                <w:rFonts w:ascii="Aptos" w:hAnsi="Aptos" w:cs="Times New Roman"/>
                <w:b/>
                <w:bCs/>
                <w:color w:val="000000"/>
                <w:sz w:val="20"/>
                <w:szCs w:val="20"/>
              </w:rPr>
            </w:pPr>
            <w:hyperlink r:id="rId64" w:anchor="govern-4-2" w:history="1">
              <w:r w:rsidRPr="00963E47">
                <w:rPr>
                  <w:rFonts w:ascii="Aptos" w:hAnsi="Aptos" w:cs="Times New Roman"/>
                  <w:color w:val="000000"/>
                  <w:sz w:val="20"/>
                  <w:szCs w:val="20"/>
                  <w:u w:val="single"/>
                </w:rPr>
                <w:t>Link to NIST AI RMF Playbook</w:t>
              </w:r>
            </w:hyperlink>
          </w:p>
        </w:tc>
      </w:tr>
    </w:tbl>
    <w:p w14:paraId="4E6CA00D"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844E931"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46B2C7CE"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32CAF3AE" w14:textId="77777777" w:rsidTr="005C00A5">
        <w:trPr>
          <w:tblHeader/>
        </w:trPr>
        <w:tc>
          <w:tcPr>
            <w:tcW w:w="2160" w:type="dxa"/>
            <w:shd w:val="clear" w:color="auto" w:fill="CCDCDC"/>
            <w:vAlign w:val="center"/>
          </w:tcPr>
          <w:p w14:paraId="53A7FCDB"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6E9C4149"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7B8184A7"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7D566488" w14:textId="77777777" w:rsidTr="005C00A5">
        <w:tc>
          <w:tcPr>
            <w:tcW w:w="2160" w:type="dxa"/>
            <w:shd w:val="clear" w:color="auto" w:fill="CCDCDC"/>
          </w:tcPr>
          <w:p w14:paraId="2EF31B2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3F66535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5397B06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2687CC3" w14:textId="77777777" w:rsidTr="005C00A5">
        <w:tc>
          <w:tcPr>
            <w:tcW w:w="2160" w:type="dxa"/>
            <w:shd w:val="clear" w:color="auto" w:fill="CCDCDC"/>
          </w:tcPr>
          <w:p w14:paraId="765BB9C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37F3EC2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3B85A2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43B077D9" w14:textId="77777777" w:rsidTr="005C00A5">
        <w:tc>
          <w:tcPr>
            <w:tcW w:w="2160" w:type="dxa"/>
            <w:shd w:val="clear" w:color="auto" w:fill="CCDCDC"/>
          </w:tcPr>
          <w:p w14:paraId="2D872DD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35F570D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3F6874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evolving stage develop plans to periodically review and update documentation of AI system benefits as the system evolves.</w:t>
            </w:r>
          </w:p>
        </w:tc>
      </w:tr>
      <w:tr w:rsidR="00963E47" w:rsidRPr="00963E47" w14:paraId="32F0964D" w14:textId="77777777" w:rsidTr="005C00A5">
        <w:tc>
          <w:tcPr>
            <w:tcW w:w="2160" w:type="dxa"/>
            <w:shd w:val="clear" w:color="auto" w:fill="CCDCDC"/>
          </w:tcPr>
          <w:p w14:paraId="63F29D7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6D90C68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61E495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embedded stage, organizations begin establishing communication channels and feedback mechanisms to gather input </w:t>
            </w:r>
            <w:r w:rsidRPr="00963E47">
              <w:rPr>
                <w:rFonts w:ascii="Aptos" w:hAnsi="Aptos" w:cs="Times New Roman"/>
                <w:noProof/>
                <w:color w:val="auto"/>
                <w:sz w:val="20"/>
                <w:szCs w:val="20"/>
              </w:rPr>
              <w:lastRenderedPageBreak/>
              <w:t>from end users, domain experts, and impacted communities about the perceived benefits and value of AI systems.</w:t>
            </w:r>
          </w:p>
        </w:tc>
      </w:tr>
    </w:tbl>
    <w:p w14:paraId="52C2DFF0"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1694515D" w14:textId="77777777" w:rsidTr="005C00A5">
        <w:tc>
          <w:tcPr>
            <w:tcW w:w="2250" w:type="dxa"/>
          </w:tcPr>
          <w:p w14:paraId="1915DD7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76DE11E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40624F9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4000AEA9" w14:textId="77777777" w:rsidTr="005C00A5">
        <w:tc>
          <w:tcPr>
            <w:tcW w:w="2250" w:type="dxa"/>
          </w:tcPr>
          <w:p w14:paraId="530219C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12A3BB9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Outdated Benefit Documentation</w:t>
            </w:r>
          </w:p>
        </w:tc>
        <w:tc>
          <w:tcPr>
            <w:tcW w:w="5300" w:type="dxa"/>
          </w:tcPr>
          <w:p w14:paraId="2E60509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system benefit documentation is not regularly reviewed and updated</w:t>
            </w:r>
          </w:p>
        </w:tc>
      </w:tr>
    </w:tbl>
    <w:p w14:paraId="7539624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57B682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5A57627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569D90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Create a plan to regularly review and update documentation of the AI system's potential benefits as its functionality, performance, and context of use evolve. Engage relevant stakeholders, such as data scientists, domain experts, and end-users, to establish an appropriate frequency and process for these reviews and updates. Develop a standardized framework for conducting the reviews, including the specific criteria, methods, and participants involved. </w:t>
      </w:r>
    </w:p>
    <w:p w14:paraId="28B6F0C7"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D3FCDF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Ensure the review process is thorough and holistic, considering factors such as changes in the AI system's functionality, performance improvements, shifts in the intended context of use, and evolving stakeholder needs and expectations. Document the results of each review, noting identified areas for improvement or updates to the documented potential benefits and ensuring this documentation is easily accessible to relevant parties.</w:t>
      </w:r>
    </w:p>
    <w:p w14:paraId="63CD8E77"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FDF503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Communicate changes or updates to the documentation to relevant stakeholders, and provide training and support as needed to ensure they are understood and effectively implemented. Regularly evaluate and refine the review plan to maintain its relevance and effectiveness.</w:t>
      </w:r>
    </w:p>
    <w:p w14:paraId="1515E1F2"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389B3B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54C0532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1434A5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Benefits Documentation Framework</w:t>
      </w:r>
    </w:p>
    <w:p w14:paraId="3D890FB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comprehensive framework for documenting the actual and potential benefits of AI systems, ensuring consistent updates reflective of evolving functionalities and performance.</w:t>
      </w:r>
    </w:p>
    <w:p w14:paraId="4E2D3E1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8B3EB4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outlining the framework for benefits assessment, including metrics and evaluation criteria.</w:t>
      </w:r>
    </w:p>
    <w:p w14:paraId="69568E8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benefits documentation detailing current functionalities, expected outcomes, and performance indicators.</w:t>
      </w:r>
    </w:p>
    <w:p w14:paraId="38A6118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Assessment reports that provide insights into how benefits have evolved over time due to system updates or changes in context.</w:t>
      </w:r>
    </w:p>
    <w:p w14:paraId="55FA5A8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Checklists used during updates to ensure all relevant benefits are captured and evaluated.</w:t>
      </w:r>
    </w:p>
    <w:p w14:paraId="006EDC23"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7FFD2F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Scheduled Benefit Reviews</w:t>
      </w:r>
    </w:p>
    <w:p w14:paraId="6C4CA2D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a routine schedule for reviewing the documented benefits of AI systems, aligning reviews with system updates, performance evaluations, and changing contexts of use.</w:t>
      </w:r>
    </w:p>
    <w:p w14:paraId="53112E3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526A85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calendars detailing the frequency and scope of benefit assessments conducted for each AI system.</w:t>
      </w:r>
    </w:p>
    <w:p w14:paraId="471583A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from benefit review sessions summarizing discussions on actual and potential benefits.</w:t>
      </w:r>
    </w:p>
    <w:p w14:paraId="1F675F6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findings from benefit reviews, including recommendations for adjustments or enhancements.</w:t>
      </w:r>
    </w:p>
    <w:p w14:paraId="5BC4AB5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highlighting trends and changes in benefits as a result of continuous evaluation.</w:t>
      </w:r>
    </w:p>
    <w:p w14:paraId="22ED30A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0700B3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Stakeholder Engagement in Benefit Assessment</w:t>
      </w:r>
    </w:p>
    <w:p w14:paraId="656A748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Engage relevant stakeholders in the review of benefits to gather multidisciplinary insights and ensure that the documented benefits align with user needs and expectations.</w:t>
      </w:r>
    </w:p>
    <w:p w14:paraId="4005201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FAC9E0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consultations or workshops held with stakeholders to discuss the benefits of AI systems.</w:t>
      </w:r>
    </w:p>
    <w:p w14:paraId="3C37F2B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Summaries of stakeholder feedback highlighting their insights on perceived benefits and areas for improvement.</w:t>
      </w:r>
    </w:p>
    <w:p w14:paraId="49677E2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stakeholder contributions influencing the refinement of benefits assessments.</w:t>
      </w:r>
    </w:p>
    <w:p w14:paraId="2260251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forms capturing stakeholders' perceptions of the relevance and clarity of documented benefits.</w:t>
      </w:r>
    </w:p>
    <w:p w14:paraId="5D7BCBA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140BFE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Monitoring of Performance Metrics</w:t>
      </w:r>
    </w:p>
    <w:p w14:paraId="5C0DD80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monitoring mechanisms to continuously assess performance metrics related to the benefits of AI systems, allowing for timely updates and enhancements based on real-world data.</w:t>
      </w:r>
    </w:p>
    <w:p w14:paraId="1A2574D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A01007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dashboards displaying key performance metrics associated with the benefits of AI systems over time.</w:t>
      </w:r>
    </w:p>
    <w:p w14:paraId="037C190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Regularly generated reports analyzing performance data and its implications on expected outcomes.</w:t>
      </w:r>
    </w:p>
    <w:p w14:paraId="4AD8A05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Logs of alerts or notifications triggered by deviations from expected performance benefiting users.</w:t>
      </w:r>
    </w:p>
    <w:p w14:paraId="738C2D6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follow-up actions taken in response to performance data that directly influence benefits documentation.</w:t>
      </w:r>
    </w:p>
    <w:p w14:paraId="63B6B5A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3640E4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Revisions and Updates</w:t>
      </w:r>
    </w:p>
    <w:p w14:paraId="60858E1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comprehensive documentation of revisions made to the benefits documentation, including rationale for changes and the effects of stakeholder feedback and performance evaluations.</w:t>
      </w:r>
    </w:p>
    <w:p w14:paraId="7EA9EF5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84F994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Revision history logs tracking changes made to benefits documentation over time.</w:t>
      </w:r>
    </w:p>
    <w:p w14:paraId="00B8D78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decisions made regarding updates based on stakeholder feedback and performance reviews.</w:t>
      </w:r>
    </w:p>
    <w:p w14:paraId="4E31CEA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Summaries of lessons learned during the assessment process that informed adjustments to benefits documentation.</w:t>
      </w:r>
    </w:p>
    <w:p w14:paraId="67D1D0B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meetings discussing changes to benefit documentation and the decisions reached during such discussions.</w:t>
      </w:r>
    </w:p>
    <w:p w14:paraId="77418918"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283564E4"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236C4C6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0CBAFF0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077EC2A9" w14:textId="77777777" w:rsidTr="005C00A5">
        <w:tc>
          <w:tcPr>
            <w:tcW w:w="1170" w:type="dxa"/>
          </w:tcPr>
          <w:p w14:paraId="7CD5941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289E2DB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574B86C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2E228D09" w14:textId="77777777" w:rsidTr="005C00A5">
        <w:tc>
          <w:tcPr>
            <w:tcW w:w="1170" w:type="dxa"/>
          </w:tcPr>
          <w:p w14:paraId="24FE879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GV-4.2.4</w:t>
            </w:r>
          </w:p>
        </w:tc>
        <w:tc>
          <w:tcPr>
            <w:tcW w:w="2160" w:type="dxa"/>
          </w:tcPr>
          <w:p w14:paraId="53A5710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Risk Communication and Stakeholder Transparency</w:t>
            </w:r>
          </w:p>
        </w:tc>
        <w:tc>
          <w:tcPr>
            <w:tcW w:w="6740" w:type="dxa"/>
          </w:tcPr>
          <w:p w14:paraId="0CEE992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develops and implements a comprehensive communication strategy to proactively share information about AI risks, potential impacts, and risk mitigation actions with relevant internal and external stakeholders. This plan includes tailored messaging, engagement mechanisms, and channels for stakeholder feedback, fostering transparency, accountability, and building trust in the organization’s AI risk management practices and responsible AI development and deployment.</w:t>
            </w:r>
          </w:p>
          <w:p w14:paraId="38752A35" w14:textId="77777777" w:rsidR="00963E47" w:rsidRPr="00963E47" w:rsidRDefault="00963E47" w:rsidP="004C3837">
            <w:pPr>
              <w:keepNext/>
              <w:rPr>
                <w:rFonts w:ascii="Aptos" w:hAnsi="Aptos" w:cs="Times New Roman"/>
                <w:b/>
                <w:bCs/>
                <w:color w:val="000000"/>
                <w:sz w:val="20"/>
                <w:szCs w:val="20"/>
              </w:rPr>
            </w:pPr>
          </w:p>
          <w:p w14:paraId="01E0F4F8" w14:textId="77777777" w:rsidR="00963E47" w:rsidRPr="00963E47" w:rsidRDefault="00963E47" w:rsidP="004C3837">
            <w:pPr>
              <w:keepNext/>
              <w:rPr>
                <w:rFonts w:ascii="Aptos" w:hAnsi="Aptos" w:cs="Times New Roman"/>
                <w:b/>
                <w:bCs/>
                <w:color w:val="000000"/>
                <w:sz w:val="20"/>
                <w:szCs w:val="20"/>
              </w:rPr>
            </w:pPr>
            <w:hyperlink r:id="rId65" w:anchor="govern-4-2" w:history="1">
              <w:r w:rsidRPr="00963E47">
                <w:rPr>
                  <w:rFonts w:ascii="Aptos" w:hAnsi="Aptos" w:cs="Times New Roman"/>
                  <w:color w:val="000000"/>
                  <w:sz w:val="20"/>
                  <w:szCs w:val="20"/>
                  <w:u w:val="single"/>
                </w:rPr>
                <w:t>Link to NIST AI RMF Playbook</w:t>
              </w:r>
            </w:hyperlink>
          </w:p>
        </w:tc>
      </w:tr>
    </w:tbl>
    <w:p w14:paraId="7E895BEC"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69872C7"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51783AD9"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2CAE9978" w14:textId="77777777" w:rsidTr="005C00A5">
        <w:trPr>
          <w:tblHeader/>
        </w:trPr>
        <w:tc>
          <w:tcPr>
            <w:tcW w:w="2160" w:type="dxa"/>
            <w:shd w:val="clear" w:color="auto" w:fill="CCDCDC"/>
            <w:vAlign w:val="center"/>
          </w:tcPr>
          <w:p w14:paraId="0C7668BB"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359C95DE"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532E2782"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39EEE5AB" w14:textId="77777777" w:rsidTr="005C00A5">
        <w:tc>
          <w:tcPr>
            <w:tcW w:w="2160" w:type="dxa"/>
            <w:shd w:val="clear" w:color="auto" w:fill="CCDCDC"/>
          </w:tcPr>
          <w:p w14:paraId="4142520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2850E02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1B438A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1BC4F495" w14:textId="77777777" w:rsidTr="005C00A5">
        <w:tc>
          <w:tcPr>
            <w:tcW w:w="2160" w:type="dxa"/>
            <w:shd w:val="clear" w:color="auto" w:fill="CCDCDC"/>
          </w:tcPr>
          <w:p w14:paraId="1CED9A0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623ACE4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0507EAB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2E5A750A" w14:textId="77777777" w:rsidTr="005C00A5">
        <w:tc>
          <w:tcPr>
            <w:tcW w:w="2160" w:type="dxa"/>
            <w:shd w:val="clear" w:color="auto" w:fill="CCDCDC"/>
          </w:tcPr>
          <w:p w14:paraId="6DE7BA2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6DDCD1E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B6CF75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have developed a targeted communication plan to share information about AI risks and potential impacts with internal and external stakeholders. This plan includes tailored messaging and feedback mechanisms, promoting transparency and accountability in AI management, although its implementation may not yet be fully consistent across all AI initiatives.</w:t>
            </w:r>
          </w:p>
        </w:tc>
      </w:tr>
      <w:tr w:rsidR="00963E47" w:rsidRPr="00963E47" w14:paraId="64E7F892" w14:textId="77777777" w:rsidTr="005C00A5">
        <w:tc>
          <w:tcPr>
            <w:tcW w:w="2160" w:type="dxa"/>
            <w:shd w:val="clear" w:color="auto" w:fill="CCDCDC"/>
          </w:tcPr>
          <w:p w14:paraId="5F48DAB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4: Embedded</w:t>
            </w:r>
          </w:p>
        </w:tc>
        <w:tc>
          <w:tcPr>
            <w:tcW w:w="1350" w:type="dxa"/>
          </w:tcPr>
          <w:p w14:paraId="08FAC53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76DA88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targeted communication plan for sharing information about AI risks and potential impacts with internal and external stakeholders is fully integrated into the organization's overall communication strategy. This plan is consistently implemented, regularly reviewed and updated based on feedback and best practices, and is supported by robust metrics that track its effectiveness in promoting transparency and accountability in AI management.</w:t>
            </w:r>
          </w:p>
        </w:tc>
      </w:tr>
    </w:tbl>
    <w:p w14:paraId="3237E097"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3759F3EB" w14:textId="77777777" w:rsidTr="005C00A5">
        <w:tc>
          <w:tcPr>
            <w:tcW w:w="2250" w:type="dxa"/>
          </w:tcPr>
          <w:p w14:paraId="24AFDBB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098DEE8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2504771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16B580EF" w14:textId="77777777" w:rsidTr="005C00A5">
        <w:tc>
          <w:tcPr>
            <w:tcW w:w="2250" w:type="dxa"/>
          </w:tcPr>
          <w:p w14:paraId="10EF3F3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4557CC7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Lack of AI Risk Communication</w:t>
            </w:r>
          </w:p>
        </w:tc>
        <w:tc>
          <w:tcPr>
            <w:tcW w:w="5300" w:type="dxa"/>
          </w:tcPr>
          <w:p w14:paraId="544C85C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Communication strategy lacks sharing of AI risks with key stakeholders</w:t>
            </w:r>
          </w:p>
        </w:tc>
      </w:tr>
    </w:tbl>
    <w:p w14:paraId="4C200F8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500FC4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11D9D1E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C57778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and implement a comprehensive communication strategy to proactively share information about AI risks, potential impacts, and mitigation efforts with key internal and external stakeholders. Begin by identifying relevant stakeholder groups—such as employees, customers, regulators, and the public—and tailor messaging and engagement strategies to their specific needs, technical understanding, and concerns.</w:t>
      </w:r>
    </w:p>
    <w:p w14:paraId="7290FDE8"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F69B05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clear communication channels and feedback mechanisms to ensure stakeholders can easily access information, raise questions, and provide input. Use a variety of communication platforms—such as websites, social media, press releases, and stakeholder meetings—and develop processes for responding to inquiries promptly and transparently.</w:t>
      </w:r>
    </w:p>
    <w:p w14:paraId="549E7AE1"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EDCE6F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Regularly review and update communication materials, incorporating stakeholder feedback, new developments in AI risk management, and lessons learned from incidents or ongoing monitoring. Highlight the organization’s commitment to responsible AI development and deployment by sharing specific actions taken to address risks and impacts. Consider engagement with external experts or industry groups to validate messaging and enhance credibility, fostering transparency and trust in the organization’s AI risk management practices.</w:t>
      </w:r>
    </w:p>
    <w:p w14:paraId="5B94D09E"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7141D2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59AF669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900823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Comprehensive Communication Strategy Development</w:t>
      </w:r>
    </w:p>
    <w:p w14:paraId="638FF7A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 comprehensive communication strategy outlining how AI risks and mitigation actions are shared with internal and external stakeholders, ensuring that information is conveyed effectively and transparently</w:t>
      </w:r>
    </w:p>
    <w:p w14:paraId="251DB28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F573A4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the communication strategy, detailing objectives, target audiences, and key messages related to AI risks.</w:t>
      </w:r>
    </w:p>
    <w:p w14:paraId="506400C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Communication plan that includes specific channels and methods to reach different stakeholder groups (e.g., newsletters, meetings, webinars).</w:t>
      </w:r>
    </w:p>
    <w:p w14:paraId="277E885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stakeholder engagement sessions assessing their understanding of the communication strategy and its effectiveness.</w:t>
      </w:r>
    </w:p>
    <w:p w14:paraId="3C4063D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approvals from leadership or relevant departments confirming the strategy's alignment with organizational goals.</w:t>
      </w:r>
    </w:p>
    <w:p w14:paraId="0D4315D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1A9675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Tailored Messaging for Stakeholders</w:t>
      </w:r>
    </w:p>
    <w:p w14:paraId="3AEE621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Create tailored messaging for different stakeholder groups to ensure that information regarding AI risks and mitigation actions is relevant, clear, and accessible.</w:t>
      </w:r>
    </w:p>
    <w:p w14:paraId="66355B3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27F8ADB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Samples of communication materials tailored for various stakeholder groups (e.g., technical staff, management, impacted communities) that highlight different aspects of AI risks.</w:t>
      </w:r>
    </w:p>
    <w:p w14:paraId="0A2DE8F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stakeholder feedback indicating the effectiveness and clarity of tailored messaging.</w:t>
      </w:r>
    </w:p>
    <w:p w14:paraId="1E4EA27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any adjustments made to messaging based on stakeholder responses and comprehension levels.</w:t>
      </w:r>
    </w:p>
    <w:p w14:paraId="49BAC60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Engagement metrics tracking the reach and interaction rates of communication materials sent to different audiences.</w:t>
      </w:r>
    </w:p>
    <w:p w14:paraId="1D4BF9D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6BCC49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Stakeholder Engagement Mechanisms</w:t>
      </w:r>
    </w:p>
    <w:p w14:paraId="12CF792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mechanisms for engaging stakeholders to gather their input on AI risks and encourage open dialogue regarding mitigation strategies.</w:t>
      </w:r>
    </w:p>
    <w:p w14:paraId="3C6796E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D14C53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stakeholder engagement forums, such as town halls or focus groups, including participant lists and agendas.</w:t>
      </w:r>
    </w:p>
    <w:p w14:paraId="50DE38F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Summaries of stakeholder feedback collected during engagement activities, highlighting insights and concerns shared by participants.</w:t>
      </w:r>
    </w:p>
    <w:p w14:paraId="783BB33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comments and suggestions made by stakeholders that informed updates to risk management practices.</w:t>
      </w:r>
    </w:p>
    <w:p w14:paraId="255654B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detailing how stakeholder input was integrated into AI risk communication and management strategies.</w:t>
      </w:r>
    </w:p>
    <w:p w14:paraId="7BFDACE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DDEF66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Feedback Channels for Continuous Improvement</w:t>
      </w:r>
    </w:p>
    <w:p w14:paraId="7D9EC6C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channels for stakeholders to provide ongoing feedback regarding AI risks and the effectiveness of communication, fostering an environment of transparency and responsiveness.</w:t>
      </w:r>
    </w:p>
    <w:p w14:paraId="4F3C641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AD9596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feedback mechanisms in place (e.g., online forms, suggestion boxes, email contacts) for collecting stakeholder input.</w:t>
      </w:r>
    </w:p>
    <w:p w14:paraId="5F48302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feedback received through these channels, including qualitative and quantitative analyses of stakeholder sentiments.</w:t>
      </w:r>
    </w:p>
    <w:p w14:paraId="6F6BBFD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Changes made to risk communication practices as a result of stakeholder feedback, documented in action plans.</w:t>
      </w:r>
    </w:p>
    <w:p w14:paraId="13ABE1D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Evidence of stakeholder follow-up indicating satisfaction with responses to their feedback and concerns.</w:t>
      </w:r>
    </w:p>
    <w:p w14:paraId="4402DDA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CFF0C0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 Review and Update of Communication Practices</w:t>
      </w:r>
    </w:p>
    <w:p w14:paraId="1F7CCAF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regular reviews of communication practices regarding AI risks and mitigation actions to ensure they remain effective, relevant, and aligned with evolving expectations and best practices.</w:t>
      </w:r>
    </w:p>
    <w:p w14:paraId="1182896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7DEB01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Schedule of regular review meetings dedicated to assessing communication practices and their effectiveness.</w:t>
      </w:r>
    </w:p>
    <w:p w14:paraId="1516B44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summarizing findings from communication practice reviews, including recommendations for enhancements.</w:t>
      </w:r>
    </w:p>
    <w:p w14:paraId="230FEC8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training provided to staff on updated communication strategies and practices.</w:t>
      </w:r>
    </w:p>
    <w:p w14:paraId="34F1C8D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logs of past communications, reflecting the frequency and adjustments made based on periodic evaluations.</w:t>
      </w:r>
    </w:p>
    <w:p w14:paraId="3AB3AD9D"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23" w:name="_Toc214874768"/>
      <w:r w:rsidRPr="00963E47">
        <w:rPr>
          <w:rFonts w:ascii="Aptos" w:eastAsia="Aptos" w:hAnsi="Aptos" w:cs="Times New Roman"/>
          <w:b/>
          <w:bCs/>
          <w:noProof/>
          <w:color w:val="35256B"/>
          <w:kern w:val="2"/>
          <w:sz w:val="24"/>
          <w14:ligatures w14:val="standardContextual"/>
        </w:rPr>
        <w:lastRenderedPageBreak/>
        <w:t>GOVERN / Bolstering a Risk-Aware Culture / Establishing AI Incident Response and Information Sharing Processes</w:t>
      </w:r>
      <w:bookmarkEnd w:id="23"/>
      <w:r w:rsidRPr="00963E47">
        <w:rPr>
          <w:rFonts w:ascii="Aptos" w:eastAsia="Aptos" w:hAnsi="Aptos" w:cs="Times New Roman"/>
          <w:b/>
          <w:bCs/>
          <w:noProof/>
          <w:color w:val="35256B"/>
          <w:kern w:val="2"/>
          <w:sz w:val="24"/>
          <w14:ligatures w14:val="standardContextual"/>
        </w:rPr>
        <w:t xml:space="preserve"> </w:t>
      </w:r>
    </w:p>
    <w:p w14:paraId="1A182605"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2B775A5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1CD0C0B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101BC645" w14:textId="77777777" w:rsidTr="005C00A5">
        <w:tc>
          <w:tcPr>
            <w:tcW w:w="1170" w:type="dxa"/>
          </w:tcPr>
          <w:p w14:paraId="0F7E573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7CE5BDC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14AEC72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19CC5C43" w14:textId="77777777" w:rsidTr="005C00A5">
        <w:tc>
          <w:tcPr>
            <w:tcW w:w="1170" w:type="dxa"/>
          </w:tcPr>
          <w:p w14:paraId="1491EC0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GV-4.3.1</w:t>
            </w:r>
          </w:p>
        </w:tc>
        <w:tc>
          <w:tcPr>
            <w:tcW w:w="2160" w:type="dxa"/>
          </w:tcPr>
          <w:p w14:paraId="3D18B3C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Testing and Validation Strategy</w:t>
            </w:r>
          </w:p>
        </w:tc>
        <w:tc>
          <w:tcPr>
            <w:tcW w:w="6740" w:type="dxa"/>
          </w:tcPr>
          <w:p w14:paraId="77B53D4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establishes an AI system testing strategy encompassing unit, integration, performance, and user acceptance testing, tailored to the system characteristics and requirements. This strategy should also include testing for real-world risks through methods such as red-teaming and field testing. The strategy will be regularly reviewed and updated.</w:t>
            </w:r>
          </w:p>
          <w:p w14:paraId="7EFC5C73" w14:textId="77777777" w:rsidR="00963E47" w:rsidRPr="00963E47" w:rsidRDefault="00963E47" w:rsidP="004C3837">
            <w:pPr>
              <w:keepNext/>
              <w:rPr>
                <w:rFonts w:ascii="Aptos" w:hAnsi="Aptos" w:cs="Times New Roman"/>
                <w:b/>
                <w:bCs/>
                <w:color w:val="000000"/>
                <w:sz w:val="20"/>
                <w:szCs w:val="20"/>
              </w:rPr>
            </w:pPr>
          </w:p>
          <w:p w14:paraId="3273A6A2" w14:textId="77777777" w:rsidR="00963E47" w:rsidRPr="00963E47" w:rsidRDefault="00963E47" w:rsidP="004C3837">
            <w:pPr>
              <w:keepNext/>
              <w:rPr>
                <w:rFonts w:ascii="Aptos" w:hAnsi="Aptos" w:cs="Times New Roman"/>
                <w:b/>
                <w:bCs/>
                <w:color w:val="000000"/>
                <w:sz w:val="20"/>
                <w:szCs w:val="20"/>
              </w:rPr>
            </w:pPr>
            <w:hyperlink r:id="rId66" w:anchor="govern-4-3" w:history="1">
              <w:r w:rsidRPr="00963E47">
                <w:rPr>
                  <w:rFonts w:ascii="Aptos" w:hAnsi="Aptos" w:cs="Times New Roman"/>
                  <w:color w:val="000000"/>
                  <w:sz w:val="20"/>
                  <w:szCs w:val="20"/>
                  <w:u w:val="single"/>
                </w:rPr>
                <w:t>Link to NIST AI RMF Playbook</w:t>
              </w:r>
            </w:hyperlink>
          </w:p>
        </w:tc>
      </w:tr>
    </w:tbl>
    <w:p w14:paraId="4FFC2DC9"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87561BF"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6A339B2D"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1E4DB5EB" w14:textId="77777777" w:rsidTr="005C00A5">
        <w:trPr>
          <w:tblHeader/>
        </w:trPr>
        <w:tc>
          <w:tcPr>
            <w:tcW w:w="2160" w:type="dxa"/>
            <w:shd w:val="clear" w:color="auto" w:fill="CCDCDC"/>
            <w:vAlign w:val="center"/>
          </w:tcPr>
          <w:p w14:paraId="58D4EF6D"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7BF21FE1"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12BE018A"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661C1940" w14:textId="77777777" w:rsidTr="005C00A5">
        <w:tc>
          <w:tcPr>
            <w:tcW w:w="2160" w:type="dxa"/>
            <w:shd w:val="clear" w:color="auto" w:fill="CCDCDC"/>
          </w:tcPr>
          <w:p w14:paraId="2648C75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5114660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69B7D2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33E723FD" w14:textId="77777777" w:rsidTr="005C00A5">
        <w:tc>
          <w:tcPr>
            <w:tcW w:w="2160" w:type="dxa"/>
            <w:shd w:val="clear" w:color="auto" w:fill="CCDCDC"/>
          </w:tcPr>
          <w:p w14:paraId="5F01AA4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5DEE539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B08992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have started to establish an AI system testing strategy. However, this strategy may be limited in scope, not fully encompass all relevant testing types (e.g., unit, integration, performance, user acceptance), or not be tailored to specific system characteristics and requirements.</w:t>
            </w:r>
          </w:p>
        </w:tc>
      </w:tr>
      <w:tr w:rsidR="00963E47" w:rsidRPr="00963E47" w14:paraId="76848826" w14:textId="77777777" w:rsidTr="005C00A5">
        <w:tc>
          <w:tcPr>
            <w:tcW w:w="2160" w:type="dxa"/>
            <w:shd w:val="clear" w:color="auto" w:fill="CCDCDC"/>
          </w:tcPr>
          <w:p w14:paraId="455C5FB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03D0381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6055B1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have established a comprehensive AI system testing strategy that encompasses unit, integration, performance, and user acceptance testing, tailored to system characteristics and requirements. This strategy is regularly reviewed and updated, although its implementation may not yet be fully consistent across all AI initiatives.</w:t>
            </w:r>
          </w:p>
        </w:tc>
      </w:tr>
      <w:tr w:rsidR="00963E47" w:rsidRPr="00963E47" w14:paraId="37D979B3" w14:textId="77777777" w:rsidTr="005C00A5">
        <w:tc>
          <w:tcPr>
            <w:tcW w:w="2160" w:type="dxa"/>
            <w:shd w:val="clear" w:color="auto" w:fill="CCDCDC"/>
          </w:tcPr>
          <w:p w14:paraId="5568113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146A3FA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B19CCF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AI system testing strategy is fully integrated into the organization's overall software development and quality assurance processes. This strategy is consistently implemented, regularly reviewed and updated based on feedback and best practices, and is supported by robust metrics that track its effectiveness in identifying and mitigating AI system risks and issues.</w:t>
            </w:r>
          </w:p>
        </w:tc>
      </w:tr>
    </w:tbl>
    <w:p w14:paraId="2D1E8A91"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36D1232F" w14:textId="77777777" w:rsidTr="005C00A5">
        <w:tc>
          <w:tcPr>
            <w:tcW w:w="2250" w:type="dxa"/>
          </w:tcPr>
          <w:p w14:paraId="07B69B8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0379E63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768065D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3634B5FE" w14:textId="77777777" w:rsidTr="005C00A5">
        <w:tc>
          <w:tcPr>
            <w:tcW w:w="2250" w:type="dxa"/>
          </w:tcPr>
          <w:p w14:paraId="103F8FA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7175C6E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Insufficient AI Testing Strategy</w:t>
            </w:r>
          </w:p>
        </w:tc>
        <w:tc>
          <w:tcPr>
            <w:tcW w:w="5300" w:type="dxa"/>
          </w:tcPr>
          <w:p w14:paraId="4E5BE38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system testing strategy is insufficient, not tailored, or not updated</w:t>
            </w:r>
          </w:p>
        </w:tc>
      </w:tr>
    </w:tbl>
    <w:p w14:paraId="1F36A61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E8EB1E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134A98F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FDB3D9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a comprehensive AI system testing strategy that includes unit, integration, performance, and user acceptance testing. This strategy should also include testing for real-world risks through methods such as red-teaming and field testing. Tailor the testing approach to the specific characteristics and requirements of each AI system, considering factors such as the system's complexity, intended use, and potential risks.</w:t>
      </w:r>
    </w:p>
    <w:p w14:paraId="08D64EA8"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2094281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Develop detailed test plans and test cases that cover a wide range of scenarios, edge cases, and real-world usage scenarios to ensure thorough testing coverage. Engage with a multidisciplinary group of stakeholders, including AI developers, end-users, and subject matter experts, to ensure testing is comprehensive and reflects real-world </w:t>
      </w:r>
      <w:r w:rsidRPr="00963E47">
        <w:rPr>
          <w:rFonts w:ascii="Aptos" w:eastAsia="Aptos" w:hAnsi="Aptos" w:cs="Times New Roman"/>
          <w:noProof/>
          <w:color w:val="auto"/>
          <w:kern w:val="2"/>
          <w:sz w:val="20"/>
          <w:szCs w:val="20"/>
          <w14:ligatures w14:val="standardContextual"/>
        </w:rPr>
        <w:lastRenderedPageBreak/>
        <w:t>conditions. Regularly review and update the testing strategy based on feedback from stakeholders, changes in the AI system, and emerging best practices in AI testing.</w:t>
      </w:r>
    </w:p>
    <w:p w14:paraId="6ED403BA"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69FE7F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4F91B54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3E475D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Comprehensive Testing Strategy Development</w:t>
      </w:r>
    </w:p>
    <w:p w14:paraId="0E8A1F3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 comprehensive AI system testing strategy that includes unit, integration, performance, and user acceptance testing, tailored to the specific characteristics and requirements of each AI system.</w:t>
      </w:r>
    </w:p>
    <w:p w14:paraId="63DC2D7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0C9EA3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Documented testing strategy outlining testing types, purposes, and methodologies specific to different AI system components.</w:t>
      </w:r>
    </w:p>
    <w:p w14:paraId="2D2AA5E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stakeholder inputs during the development of the testing strategy to ensure it meets all necessary requirements.</w:t>
      </w:r>
    </w:p>
    <w:p w14:paraId="582B870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 plans detailing schedules, resources needed, and responsibilities for conducting each type of testing.</w:t>
      </w:r>
    </w:p>
    <w:p w14:paraId="18E7F7E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Approval records confirming that the testing strategy has been reviewed and endorsed by relevant stakeholders or teams.</w:t>
      </w:r>
    </w:p>
    <w:p w14:paraId="161E230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D32694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Implementation of Real-World Risk Testing</w:t>
      </w:r>
    </w:p>
    <w:p w14:paraId="31FEC42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Integrate real-world risk testing methods—such as red teaming and field testing—into the AI system testing strategy to evaluate vulnerabilities and performance under operational conditions.</w:t>
      </w:r>
    </w:p>
    <w:p w14:paraId="15B7FED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EB7219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describing the approach and criteria for conducting red-teaming exercises and field tests.</w:t>
      </w:r>
    </w:p>
    <w:p w14:paraId="6290884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summarizing findings from red teaming activities, including identified vulnerabilities and recommendations for remediation.</w:t>
      </w:r>
    </w:p>
    <w:p w14:paraId="5DC7FCC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field testing scenarios, including objectives, outcomes, and any issues encountered during testing.</w:t>
      </w:r>
    </w:p>
    <w:p w14:paraId="5C385B7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Logs indicating the frequency and scope of real-world risk testing conducted for different AI systems.</w:t>
      </w:r>
    </w:p>
    <w:p w14:paraId="7919DEE3"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088919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Established Testing Procedures</w:t>
      </w:r>
    </w:p>
    <w:p w14:paraId="42453F1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Create standardized procedures for each type of testing included in the AI testing strategy to ensure consistency and reliability in the testing process.</w:t>
      </w:r>
    </w:p>
    <w:p w14:paraId="75933AD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C4514E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Testing procedure documents that outline step-by-step instructions for unit, integration, performance, and user acceptance testing.</w:t>
      </w:r>
    </w:p>
    <w:p w14:paraId="713F06B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Checklists for test execution that ensure all necessary conditions and preparations are met before testing begins.</w:t>
      </w:r>
    </w:p>
    <w:p w14:paraId="19F20B9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 case documentation that provides details on specific scenarios to be evaluated during the testing processes.</w:t>
      </w:r>
    </w:p>
    <w:p w14:paraId="75B3DA8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materials designed for teams to ensure familiarity with established testing procedures.</w:t>
      </w:r>
    </w:p>
    <w:p w14:paraId="0FD24C4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1C3EE8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 Review and Update of Testing Strategy</w:t>
      </w:r>
    </w:p>
    <w:p w14:paraId="24A231C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Schedule regular reviews of the AI testing and validation strategy to ensure it remains effective, relevant, and aligned with system characteristics and evolving best practices.</w:t>
      </w:r>
    </w:p>
    <w:p w14:paraId="7D5D0B8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590A25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indicating the frequency of strategy assessments and responsible parties involved.</w:t>
      </w:r>
    </w:p>
    <w:p w14:paraId="48B000E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findings from reviews, including recommendations for updates or changes to the testing strategy.</w:t>
      </w:r>
    </w:p>
    <w:p w14:paraId="2320558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stakeholder feedback concerning the adequacy and effectiveness of the current testing strategy.</w:t>
      </w:r>
    </w:p>
    <w:p w14:paraId="2A7EA05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from discussions addressing needed updates and strategies for improvement based on review outcomes.</w:t>
      </w:r>
    </w:p>
    <w:p w14:paraId="56DA2A8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A9F7A9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Stakeholder Involvement in Testing Activities</w:t>
      </w:r>
    </w:p>
    <w:p w14:paraId="232E564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Engage relevant stakeholders in AI testing activities, ensuring their insights and expertise are incorporated into the testing and validation processes.</w:t>
      </w:r>
    </w:p>
    <w:p w14:paraId="43B1E6A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1AEB236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stakeholder participation in testing sessions, including their contributions and observations.</w:t>
      </w:r>
    </w:p>
    <w:p w14:paraId="49B94AB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forms from stakeholders assessing the testing processes and outcomes related to AI systems.</w:t>
      </w:r>
    </w:p>
    <w:p w14:paraId="6473CF0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detailing how stakeholder insights influenced modifications to the testing strategy or specific test cases.</w:t>
      </w:r>
    </w:p>
    <w:p w14:paraId="49D93D9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training offered to stakeholders to actively participate in testing activities, enhancing collaboration and knowledge sharing.</w:t>
      </w:r>
    </w:p>
    <w:p w14:paraId="2E1DB196"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4432A381"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65B767C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4815F87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765C9E06" w14:textId="77777777" w:rsidTr="005C00A5">
        <w:tc>
          <w:tcPr>
            <w:tcW w:w="1170" w:type="dxa"/>
          </w:tcPr>
          <w:p w14:paraId="0DE8E02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39EB9DC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1F1150F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77353E7D" w14:textId="77777777" w:rsidTr="005C00A5">
        <w:tc>
          <w:tcPr>
            <w:tcW w:w="1170" w:type="dxa"/>
          </w:tcPr>
          <w:p w14:paraId="5A273B2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GV-4.3.2</w:t>
            </w:r>
          </w:p>
        </w:tc>
        <w:tc>
          <w:tcPr>
            <w:tcW w:w="2160" w:type="dxa"/>
          </w:tcPr>
          <w:p w14:paraId="2E14FB1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Incident Identification and Resolution</w:t>
            </w:r>
          </w:p>
        </w:tc>
        <w:tc>
          <w:tcPr>
            <w:tcW w:w="6740" w:type="dxa"/>
          </w:tcPr>
          <w:p w14:paraId="75F19CD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integrates AI incident identification, reporting, and documentation into its existing incident management framework, ensuring clear definitions, roles, and responsibilities that enable prompt identification, thorough investigation, and effective resolution. This integration helps to minimize harm, facilitate timely response, and prevent recurrence, while leveraging established procedures and workflows.</w:t>
            </w:r>
          </w:p>
          <w:p w14:paraId="511AA4C5" w14:textId="77777777" w:rsidR="00963E47" w:rsidRPr="00963E47" w:rsidRDefault="00963E47" w:rsidP="004C3837">
            <w:pPr>
              <w:keepNext/>
              <w:rPr>
                <w:rFonts w:ascii="Aptos" w:hAnsi="Aptos" w:cs="Times New Roman"/>
                <w:b/>
                <w:bCs/>
                <w:color w:val="000000"/>
                <w:sz w:val="20"/>
                <w:szCs w:val="20"/>
              </w:rPr>
            </w:pPr>
          </w:p>
          <w:p w14:paraId="062FEA1E" w14:textId="77777777" w:rsidR="00963E47" w:rsidRPr="00963E47" w:rsidRDefault="00963E47" w:rsidP="004C3837">
            <w:pPr>
              <w:keepNext/>
              <w:rPr>
                <w:rFonts w:ascii="Aptos" w:hAnsi="Aptos" w:cs="Times New Roman"/>
                <w:b/>
                <w:bCs/>
                <w:color w:val="000000"/>
                <w:sz w:val="20"/>
                <w:szCs w:val="20"/>
              </w:rPr>
            </w:pPr>
            <w:hyperlink r:id="rId67" w:anchor="govern-4-3" w:history="1">
              <w:r w:rsidRPr="00963E47">
                <w:rPr>
                  <w:rFonts w:ascii="Aptos" w:hAnsi="Aptos" w:cs="Times New Roman"/>
                  <w:color w:val="000000"/>
                  <w:sz w:val="20"/>
                  <w:szCs w:val="20"/>
                  <w:u w:val="single"/>
                </w:rPr>
                <w:t>Link to NIST AI RMF Playbook</w:t>
              </w:r>
            </w:hyperlink>
          </w:p>
        </w:tc>
      </w:tr>
    </w:tbl>
    <w:p w14:paraId="50AB2716"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1076390"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23836CB9"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7A218CE1" w14:textId="77777777" w:rsidTr="005C00A5">
        <w:trPr>
          <w:tblHeader/>
        </w:trPr>
        <w:tc>
          <w:tcPr>
            <w:tcW w:w="2160" w:type="dxa"/>
            <w:shd w:val="clear" w:color="auto" w:fill="CCDCDC"/>
            <w:vAlign w:val="center"/>
          </w:tcPr>
          <w:p w14:paraId="03EEADC8"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768D8A73"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2F0551D8"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27DFAAC6" w14:textId="77777777" w:rsidTr="005C00A5">
        <w:tc>
          <w:tcPr>
            <w:tcW w:w="2160" w:type="dxa"/>
            <w:shd w:val="clear" w:color="auto" w:fill="CCDCDC"/>
          </w:tcPr>
          <w:p w14:paraId="7426838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0490D28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2EA0C1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6C3F03EB" w14:textId="77777777" w:rsidTr="005C00A5">
        <w:tc>
          <w:tcPr>
            <w:tcW w:w="2160" w:type="dxa"/>
            <w:shd w:val="clear" w:color="auto" w:fill="CCDCDC"/>
          </w:tcPr>
          <w:p w14:paraId="4AA7398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0C56FAD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FE0C05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478B8E79" w14:textId="77777777" w:rsidTr="005C00A5">
        <w:tc>
          <w:tcPr>
            <w:tcW w:w="2160" w:type="dxa"/>
            <w:shd w:val="clear" w:color="auto" w:fill="CCDCDC"/>
          </w:tcPr>
          <w:p w14:paraId="4886519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63F429F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8FB30C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have developed and implemented a standardized process for identifying, reporting, and documenting AI incidents. This process includes clear definitions, roles, and responsibilities, and is designed to drive prompt identification, thorough investigation, and effective resolution, although its implementation may not yet be fully consistent across all AI initiatives.</w:t>
            </w:r>
          </w:p>
        </w:tc>
      </w:tr>
      <w:tr w:rsidR="00963E47" w:rsidRPr="00963E47" w14:paraId="493BC18B" w14:textId="77777777" w:rsidTr="005C00A5">
        <w:tc>
          <w:tcPr>
            <w:tcW w:w="2160" w:type="dxa"/>
            <w:shd w:val="clear" w:color="auto" w:fill="CCDCDC"/>
          </w:tcPr>
          <w:p w14:paraId="4FE590A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34EBF2B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ACB6DA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standardized process for identifying, reporting, and documenting AI incidents is fully integrated into the organization's overall incident management and response processes. This process is consistently implemented, regularly reviewed and updated based on feedback and best practices, and is supported by robust training, communication, and metrics that track its effectiveness in minimizing harm and preventing recurrence.</w:t>
            </w:r>
          </w:p>
        </w:tc>
      </w:tr>
    </w:tbl>
    <w:p w14:paraId="147CCBB6"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56EA1EC1" w14:textId="77777777" w:rsidTr="005C00A5">
        <w:tc>
          <w:tcPr>
            <w:tcW w:w="2250" w:type="dxa"/>
          </w:tcPr>
          <w:p w14:paraId="129FD34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1878C2D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6BD7F54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30D3723E" w14:textId="77777777" w:rsidTr="005C00A5">
        <w:tc>
          <w:tcPr>
            <w:tcW w:w="2250" w:type="dxa"/>
          </w:tcPr>
          <w:p w14:paraId="6EAAAA2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244E846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Unintegrated AI Incident Processes</w:t>
            </w:r>
          </w:p>
        </w:tc>
        <w:tc>
          <w:tcPr>
            <w:tcW w:w="5300" w:type="dxa"/>
          </w:tcPr>
          <w:p w14:paraId="733AC63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incident processes are not integrated into enterprise incident management</w:t>
            </w:r>
          </w:p>
        </w:tc>
      </w:tr>
    </w:tbl>
    <w:p w14:paraId="3AD27FF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884704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4BD491E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4ED847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Build upon existing incident management processes by incorporating specific procedures for identifying, reporting, and documenting AI-related incidents. Clarify and align AI incident definitions with organizational standards, including relevant examples. Define roles and responsibilities within the existing incident management framework to ensure personnel understand their duties related to AI incidents.</w:t>
      </w:r>
    </w:p>
    <w:p w14:paraId="17006CC7"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659DF1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Utilize established reporting channels, such as existing incident reporting systems, and ensure these channels are accessible and well communicated. Use standardized templates and documentation practices for AI incidents, capturing critical information like incident nature, potential impact, and immediate actions. Follow existing investigation protocols, including escalation procedures, timelines, and decision points.</w:t>
      </w:r>
    </w:p>
    <w:p w14:paraId="40CF61AC"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6EE2DCC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Regularly review and refine the integrated incident response process based on lessons learned, incident reviews, and emerging best practices, to continuously enhance AI-specific incident handling within the broader incident management system.</w:t>
      </w:r>
    </w:p>
    <w:p w14:paraId="103D6BBC"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F5AB4E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75DA14A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A57EAC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of AI Incident Identification Procedures</w:t>
      </w:r>
    </w:p>
    <w:p w14:paraId="29D64AC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and integrate clear procedures for the identification of AI incidents within the existing incident management framework, ensuring that roles and responsibilities are well-defined.</w:t>
      </w:r>
    </w:p>
    <w:p w14:paraId="1CFF8B8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297E48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detailing the integrated AI incident identification procedures, including definitions and examples of incidents.</w:t>
      </w:r>
    </w:p>
    <w:p w14:paraId="6827C56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Flowcharts illustrating the process for incident identification and escalation within the incident management framework.</w:t>
      </w:r>
    </w:p>
    <w:p w14:paraId="58CC9B2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trainings conducted to familiarize staff with new procedures related to AI incident identification.</w:t>
      </w:r>
    </w:p>
    <w:p w14:paraId="3C69948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Logs of incidents identified using the new procedures, tracking response actions taken and outcomes.</w:t>
      </w:r>
    </w:p>
    <w:p w14:paraId="39745CC2"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017442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Clear Roles and Responsibilities Allocation</w:t>
      </w:r>
    </w:p>
    <w:p w14:paraId="579EAFE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Clearly define and assign roles and responsibilities for stakeholders involved in AI incident identification, reporting, and documentation to ensure effective incident management.</w:t>
      </w:r>
    </w:p>
    <w:p w14:paraId="7DCE6CE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333F6A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RACI matrices clarifying roles and responsibilities related to incident management processes for AI incidents.</w:t>
      </w:r>
    </w:p>
    <w:p w14:paraId="2B89B1A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Job descriptions that specify duties related to AI incident identification and management.</w:t>
      </w:r>
    </w:p>
    <w:p w14:paraId="5C70C61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team meetings discussing roles and responsibilities and any adjustments needed.</w:t>
      </w:r>
    </w:p>
    <w:p w14:paraId="6D6CD85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approval from stakeholders confirming acceptance of defined roles in the incident management framework.</w:t>
      </w:r>
    </w:p>
    <w:p w14:paraId="03B570D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2B6576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Incident Reporting Mechanisms</w:t>
      </w:r>
    </w:p>
    <w:p w14:paraId="0843AA7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user-friendly incident reporting mechanisms for AI incidents that facilitate prompt reporting by relevant personnel and stakeholders.</w:t>
      </w:r>
    </w:p>
    <w:p w14:paraId="26F04D5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BD494F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the incident reporting tools and systems in place, including instructions for use.</w:t>
      </w:r>
    </w:p>
    <w:p w14:paraId="5564B48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incident reports submitted, including timestamps and descriptions of the AI incidents reported.</w:t>
      </w:r>
    </w:p>
    <w:p w14:paraId="136F952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User feedback on the ease of use and effectiveness of the reporting mechanisms provided.</w:t>
      </w:r>
    </w:p>
    <w:p w14:paraId="3ABA1D1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Metrics tracking the average time taken from incident occurrence to reporting.</w:t>
      </w:r>
    </w:p>
    <w:p w14:paraId="10FBA58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108C95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Investigation and Resolution Processes</w:t>
      </w:r>
    </w:p>
    <w:p w14:paraId="691FC32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standardized procedures for investigating AI incidents and ensuring effective resolution, leveraging established incident management workflows.</w:t>
      </w:r>
    </w:p>
    <w:p w14:paraId="028F694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2C6405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Standard operating procedures outlining the steps for investigating and resolving AI incidents, including methods and documentation requirements.</w:t>
      </w:r>
    </w:p>
    <w:p w14:paraId="1A9E9C3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investigation reports detailing findings, actions taken, and resolutions achieved for specific incidents.</w:t>
      </w:r>
    </w:p>
    <w:p w14:paraId="51DB3E8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from incident review sessions discussing investigation outcomes and agreed-upon corrective actions.</w:t>
      </w:r>
    </w:p>
    <w:p w14:paraId="62FA670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plans created in response to investigation findings with timelines and responsible parties specified.</w:t>
      </w:r>
    </w:p>
    <w:p w14:paraId="3B4F7B4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338C5F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Improvement Cycle</w:t>
      </w:r>
    </w:p>
    <w:p w14:paraId="641005B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a continuous improvement cycle that reviews incidents and their management to refine processes and minimize future occurrences of AI incidents.</w:t>
      </w:r>
    </w:p>
    <w:p w14:paraId="55B783D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C4A74F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lessons learned sessions held post-incident to identify systemic issues and improvement opportunities.</w:t>
      </w:r>
    </w:p>
    <w:p w14:paraId="4F765D6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changes made to incident management processes based on recommendations from lessons learned assessments.</w:t>
      </w:r>
    </w:p>
    <w:p w14:paraId="0AEB313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Metrics indicating trends in incident frequency or severity over time, demonstrating the effectiveness of implemented changes.</w:t>
      </w:r>
    </w:p>
    <w:p w14:paraId="7BCC905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Regular evaluation reports summarizing the outcomes of incident management reviews and the implications for future practices.</w:t>
      </w:r>
    </w:p>
    <w:p w14:paraId="71C9D5EE"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67210F8F"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7A5EC3C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2089998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6E0F3730" w14:textId="77777777" w:rsidTr="005C00A5">
        <w:tc>
          <w:tcPr>
            <w:tcW w:w="1170" w:type="dxa"/>
          </w:tcPr>
          <w:p w14:paraId="59D3FA8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343E099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4B03DBA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7E04BEEF" w14:textId="77777777" w:rsidTr="005C00A5">
        <w:tc>
          <w:tcPr>
            <w:tcW w:w="1170" w:type="dxa"/>
          </w:tcPr>
          <w:p w14:paraId="58C5273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GV-4.3.3</w:t>
            </w:r>
          </w:p>
        </w:tc>
        <w:tc>
          <w:tcPr>
            <w:tcW w:w="2160" w:type="dxa"/>
          </w:tcPr>
          <w:p w14:paraId="1E7F6AA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Testing and Incident Response Training</w:t>
            </w:r>
          </w:p>
        </w:tc>
        <w:tc>
          <w:tcPr>
            <w:tcW w:w="6740" w:type="dxa"/>
          </w:tcPr>
          <w:p w14:paraId="192AC56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provides regular training and resources to support personnel in effectively testing AI systems, identifying incidents, and sharing information on risks and issues within its existing incident management framework. This includes ensuring training aligns with established procedures for incident response and communication, reinforcing practical skills and preparedness through simulations and scenario exercises.</w:t>
            </w:r>
          </w:p>
          <w:p w14:paraId="18E31619" w14:textId="77777777" w:rsidR="00963E47" w:rsidRPr="00963E47" w:rsidRDefault="00963E47" w:rsidP="004C3837">
            <w:pPr>
              <w:keepNext/>
              <w:rPr>
                <w:rFonts w:ascii="Aptos" w:hAnsi="Aptos" w:cs="Times New Roman"/>
                <w:b/>
                <w:bCs/>
                <w:color w:val="000000"/>
                <w:sz w:val="20"/>
                <w:szCs w:val="20"/>
              </w:rPr>
            </w:pPr>
          </w:p>
          <w:p w14:paraId="5AD37A39" w14:textId="77777777" w:rsidR="00963E47" w:rsidRPr="00963E47" w:rsidRDefault="00963E47" w:rsidP="004C3837">
            <w:pPr>
              <w:keepNext/>
              <w:rPr>
                <w:rFonts w:ascii="Aptos" w:hAnsi="Aptos" w:cs="Times New Roman"/>
                <w:b/>
                <w:bCs/>
                <w:color w:val="000000"/>
                <w:sz w:val="20"/>
                <w:szCs w:val="20"/>
              </w:rPr>
            </w:pPr>
            <w:hyperlink r:id="rId68" w:anchor="govern-4-3" w:history="1">
              <w:r w:rsidRPr="00963E47">
                <w:rPr>
                  <w:rFonts w:ascii="Aptos" w:hAnsi="Aptos" w:cs="Times New Roman"/>
                  <w:color w:val="000000"/>
                  <w:sz w:val="20"/>
                  <w:szCs w:val="20"/>
                  <w:u w:val="single"/>
                </w:rPr>
                <w:t>Link to NIST AI RMF Playbook</w:t>
              </w:r>
            </w:hyperlink>
          </w:p>
        </w:tc>
      </w:tr>
    </w:tbl>
    <w:p w14:paraId="171DDC0D"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F8F90B2"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71AF02C8"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332F9263" w14:textId="77777777" w:rsidTr="005C00A5">
        <w:trPr>
          <w:tblHeader/>
        </w:trPr>
        <w:tc>
          <w:tcPr>
            <w:tcW w:w="2160" w:type="dxa"/>
            <w:shd w:val="clear" w:color="auto" w:fill="CCDCDC"/>
            <w:vAlign w:val="center"/>
          </w:tcPr>
          <w:p w14:paraId="620AB840"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504B6A5B"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783C0F9B"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76CC7045" w14:textId="77777777" w:rsidTr="005C00A5">
        <w:tc>
          <w:tcPr>
            <w:tcW w:w="2160" w:type="dxa"/>
            <w:shd w:val="clear" w:color="auto" w:fill="CCDCDC"/>
          </w:tcPr>
          <w:p w14:paraId="430FBB2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4D8BA32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00FFF7A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254D42FA" w14:textId="77777777" w:rsidTr="005C00A5">
        <w:tc>
          <w:tcPr>
            <w:tcW w:w="2160" w:type="dxa"/>
            <w:shd w:val="clear" w:color="auto" w:fill="CCDCDC"/>
          </w:tcPr>
          <w:p w14:paraId="1BFC068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2E9300A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588C9C1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324EA7C7" w14:textId="77777777" w:rsidTr="005C00A5">
        <w:tc>
          <w:tcPr>
            <w:tcW w:w="2160" w:type="dxa"/>
            <w:shd w:val="clear" w:color="auto" w:fill="CCDCDC"/>
          </w:tcPr>
          <w:p w14:paraId="200F26C5"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004F250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74BCEE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provide regular training and resources to equip personnel with skills to test AI systems and manage incidents. This training covers testing methodologies, incident response procedures, and communication protocols, and is tailored to specific roles, although its implementation may not yet be fully consistent across all relevant personnel.</w:t>
            </w:r>
          </w:p>
        </w:tc>
      </w:tr>
      <w:tr w:rsidR="00963E47" w:rsidRPr="00963E47" w14:paraId="22EF5D50" w14:textId="77777777" w:rsidTr="005C00A5">
        <w:tc>
          <w:tcPr>
            <w:tcW w:w="2160" w:type="dxa"/>
            <w:shd w:val="clear" w:color="auto" w:fill="CCDCDC"/>
          </w:tcPr>
          <w:p w14:paraId="0E87566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7909C65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709EDA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provide training and resources to equip personnel with skills to test AI systems and manage incidents. This is fully integrated into the organization's overall learning and development strategy. This training is consistently implemented, regularly reviewed and updated based on feedback and best practices, and is supported by robust competency frameworks, certification programs, and metrics that track its impact on personnel's ability to effectively test AI systems and manage incidents.</w:t>
            </w:r>
          </w:p>
        </w:tc>
      </w:tr>
    </w:tbl>
    <w:p w14:paraId="53DB95A3"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004489BD" w14:textId="77777777" w:rsidTr="005C00A5">
        <w:tc>
          <w:tcPr>
            <w:tcW w:w="2250" w:type="dxa"/>
          </w:tcPr>
          <w:p w14:paraId="2A08644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lastRenderedPageBreak/>
              <w:t>AI Principle</w:t>
            </w:r>
          </w:p>
        </w:tc>
        <w:tc>
          <w:tcPr>
            <w:tcW w:w="2520" w:type="dxa"/>
          </w:tcPr>
          <w:p w14:paraId="1EFCF93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69F1E75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02D52993" w14:textId="77777777" w:rsidTr="005C00A5">
        <w:tc>
          <w:tcPr>
            <w:tcW w:w="2250" w:type="dxa"/>
          </w:tcPr>
          <w:p w14:paraId="6064D3A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171980A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Insufficient Support Personnel Training</w:t>
            </w:r>
          </w:p>
        </w:tc>
        <w:tc>
          <w:tcPr>
            <w:tcW w:w="5300" w:type="dxa"/>
          </w:tcPr>
          <w:p w14:paraId="4869184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Support personnel training is insufficient for AI incident identification</w:t>
            </w:r>
          </w:p>
        </w:tc>
      </w:tr>
    </w:tbl>
    <w:p w14:paraId="46A88E5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B69AAA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2FC57E2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6844BD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Leverage and enhance existing incident management processes by providing regular training and resources that enable personnel to effectively test AI systems, identify incidents, and communicate risks and issues. Develop a comprehensive training curriculum covering testing methodologies, incident response, and communication protocols consistent with current incident management standards. Incorporate simulations such as incident response exercises, tabletop scenarios, or hackathons to strengthen practical skills.</w:t>
      </w:r>
    </w:p>
    <w:p w14:paraId="5C5E7C7A"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2FDA3A7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Provide hands-on practice opportunities aligned with existing incident management practices, such as simulated incident response drills. Establish a centralized repository for AI-related testing templates, incident response checklists, and communication guidelines, accessible to all relevant personnel.</w:t>
      </w:r>
    </w:p>
    <w:p w14:paraId="6201175B"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EE9E62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Regularly review and update training content and resources based on feedback, changes in the AI landscape, and lessons learned from actual incidents to ensure continuous alignment and improvement within the established incident management framework.</w:t>
      </w:r>
    </w:p>
    <w:p w14:paraId="4E2E8BA7"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AB075A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0E9FA99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E3AF39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Comprehensive Training Program Development</w:t>
      </w:r>
    </w:p>
    <w:p w14:paraId="569F652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 comprehensive training program that focuses on testing AI systems, incident identification, and response protocols to ensure personnel are well-prepared to manage AI-related issues effectively.</w:t>
      </w:r>
    </w:p>
    <w:p w14:paraId="3BF89B0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B6134A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materials outlining the curriculum for AI testing and incident response, including objectives, topics covered, and learning outcomes.</w:t>
      </w:r>
    </w:p>
    <w:p w14:paraId="6B2E29A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training sessions conducted, including attendance logs and participant feedback.</w:t>
      </w:r>
    </w:p>
    <w:p w14:paraId="6501124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scenarios and exercises used during training to reinforce practical skills.</w:t>
      </w:r>
    </w:p>
    <w:p w14:paraId="7528395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Evaluation reports assessing participant knowledge and competence before and after training sessions.</w:t>
      </w:r>
    </w:p>
    <w:p w14:paraId="232C93E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031C72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Alignment with Incident Management Procedures</w:t>
      </w:r>
    </w:p>
    <w:p w14:paraId="10B0ECC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Ensure that training for personnel aligns with established incident management procedures, focusing on how to effectively use these processes during incidents involving AI systems.</w:t>
      </w:r>
    </w:p>
    <w:p w14:paraId="6E78FD3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297FF0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documents linking specific incident management procedures to related training objectives.</w:t>
      </w:r>
    </w:p>
    <w:p w14:paraId="0C1FBB4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assessment results demonstrating participant understanding of incident management protocols and their application.</w:t>
      </w:r>
    </w:p>
    <w:p w14:paraId="3860B02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participants on the clarity of the connections made between training content and existing procedures.</w:t>
      </w:r>
    </w:p>
    <w:p w14:paraId="7052400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any updates made to training materials to reflect changes in incident management procedures.</w:t>
      </w:r>
    </w:p>
    <w:p w14:paraId="1E6E218F"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20A319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Simulation and Scenario Exercises</w:t>
      </w:r>
    </w:p>
    <w:p w14:paraId="5C1DEC2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regular simulations and scenario exercises that allow personnel to practice their skills in testing AI systems and responding to incidents in a controlled environment.</w:t>
      </w:r>
    </w:p>
    <w:p w14:paraId="02F9CD7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44C46A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simulation schedules, including types of incidents simulated and objectives of each exercise.</w:t>
      </w:r>
    </w:p>
    <w:p w14:paraId="3D3ED77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participants' performance during simulations, including notes on areas requiring improvement.</w:t>
      </w:r>
    </w:p>
    <w:p w14:paraId="2EDC276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Post-exercise debriefs summarizing outcomes and lessons learned from scenario-based training activities.</w:t>
      </w:r>
    </w:p>
    <w:p w14:paraId="4EE05EF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Action plans generated from simulations outlining steps to address identified weaknesses or gaps in incident response.</w:t>
      </w:r>
    </w:p>
    <w:p w14:paraId="10A87E6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B0515B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Resource Availability for Incident Response</w:t>
      </w:r>
    </w:p>
    <w:p w14:paraId="7D20174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Provide personnel with access to resources and documentation related to AI testing and incident response, ensuring they are equipped to handle AI-related risks effectively.</w:t>
      </w:r>
    </w:p>
    <w:p w14:paraId="532AD9C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DF1D4C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Accessible online resource repositories containing training materials, documentation, and incident response guidelines for AI systems.</w:t>
      </w:r>
    </w:p>
    <w:p w14:paraId="317BB6B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surveys assessing the usefulness of resources and documentation provided to support incident response training.</w:t>
      </w:r>
    </w:p>
    <w:p w14:paraId="721CA88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showing how often training materials and resources are utilized by personnel in their roles.</w:t>
      </w:r>
    </w:p>
    <w:p w14:paraId="507AF38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Updates made to resource materials based on feedback and evolving best practices in AI risk management.</w:t>
      </w:r>
    </w:p>
    <w:p w14:paraId="17DE4942"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5AD251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Improvement of Training and Resources</w:t>
      </w:r>
    </w:p>
    <w:p w14:paraId="1E73F0F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process for continuously improving the training program and resources based on participant feedback, incident performance data, and emergent industry trends.</w:t>
      </w:r>
    </w:p>
    <w:p w14:paraId="60EF196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FAD712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regular reviews undertaken to assess training effectiveness and resource adequacy.</w:t>
      </w:r>
    </w:p>
    <w:p w14:paraId="4BDBF4D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stakeholder feedback solicited after training sessions to identify areas for enhancement.</w:t>
      </w:r>
    </w:p>
    <w:p w14:paraId="504C8AA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plans detailing updates made to training programs and resources based on insights gained from evaluations.</w:t>
      </w:r>
    </w:p>
    <w:p w14:paraId="236F615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Metrics or reports summarizing changes in incident response effectiveness after implementing training improvements.</w:t>
      </w:r>
    </w:p>
    <w:p w14:paraId="02F5FD15"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31FAC421"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7C42F3F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2F97252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186BC78A" w14:textId="77777777" w:rsidTr="005C00A5">
        <w:tc>
          <w:tcPr>
            <w:tcW w:w="1170" w:type="dxa"/>
          </w:tcPr>
          <w:p w14:paraId="54780BF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1C70370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17FB229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73D9C2A0" w14:textId="77777777" w:rsidTr="005C00A5">
        <w:tc>
          <w:tcPr>
            <w:tcW w:w="1170" w:type="dxa"/>
          </w:tcPr>
          <w:p w14:paraId="79D2BF3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GV-4.3.4</w:t>
            </w:r>
          </w:p>
        </w:tc>
        <w:tc>
          <w:tcPr>
            <w:tcW w:w="2160" w:type="dxa"/>
          </w:tcPr>
          <w:p w14:paraId="24FD8E4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Incident Tracking and Analysis</w:t>
            </w:r>
          </w:p>
        </w:tc>
        <w:tc>
          <w:tcPr>
            <w:tcW w:w="6740" w:type="dxa"/>
          </w:tcPr>
          <w:p w14:paraId="2E47D46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maintains a centralized AI inventory or enterprise knowledge management system that integrates with existing incident management frameworks to track, monitor, and analyze AI incidents. This system supports the identification of trends, patterns, and emerging risks and facilitates effective information sharing among relevant stakeholders within the broader incident response and risk management processes.</w:t>
            </w:r>
          </w:p>
          <w:p w14:paraId="14ABECAD" w14:textId="77777777" w:rsidR="00963E47" w:rsidRPr="00963E47" w:rsidRDefault="00963E47" w:rsidP="004C3837">
            <w:pPr>
              <w:keepNext/>
              <w:rPr>
                <w:rFonts w:ascii="Aptos" w:hAnsi="Aptos" w:cs="Times New Roman"/>
                <w:b/>
                <w:bCs/>
                <w:color w:val="000000"/>
                <w:sz w:val="20"/>
                <w:szCs w:val="20"/>
              </w:rPr>
            </w:pPr>
          </w:p>
          <w:p w14:paraId="22A3755A" w14:textId="77777777" w:rsidR="00963E47" w:rsidRPr="00963E47" w:rsidRDefault="00963E47" w:rsidP="004C3837">
            <w:pPr>
              <w:keepNext/>
              <w:rPr>
                <w:rFonts w:ascii="Aptos" w:hAnsi="Aptos" w:cs="Times New Roman"/>
                <w:b/>
                <w:bCs/>
                <w:color w:val="000000"/>
                <w:sz w:val="20"/>
                <w:szCs w:val="20"/>
              </w:rPr>
            </w:pPr>
            <w:hyperlink r:id="rId69" w:anchor="govern-4-3" w:history="1">
              <w:r w:rsidRPr="00963E47">
                <w:rPr>
                  <w:rFonts w:ascii="Aptos" w:hAnsi="Aptos" w:cs="Times New Roman"/>
                  <w:color w:val="000000"/>
                  <w:sz w:val="20"/>
                  <w:szCs w:val="20"/>
                  <w:u w:val="single"/>
                </w:rPr>
                <w:t>Link to NIST AI RMF Playbook</w:t>
              </w:r>
            </w:hyperlink>
          </w:p>
        </w:tc>
      </w:tr>
    </w:tbl>
    <w:p w14:paraId="040C7887"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D788505"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4393F093"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4ABB907C" w14:textId="77777777" w:rsidTr="005C00A5">
        <w:trPr>
          <w:tblHeader/>
        </w:trPr>
        <w:tc>
          <w:tcPr>
            <w:tcW w:w="2160" w:type="dxa"/>
            <w:shd w:val="clear" w:color="auto" w:fill="CCDCDC"/>
            <w:vAlign w:val="center"/>
          </w:tcPr>
          <w:p w14:paraId="1D8116A3"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7C4E3FE1"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60F5A4AE"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49E23353" w14:textId="77777777" w:rsidTr="005C00A5">
        <w:tc>
          <w:tcPr>
            <w:tcW w:w="2160" w:type="dxa"/>
            <w:shd w:val="clear" w:color="auto" w:fill="CCDCDC"/>
          </w:tcPr>
          <w:p w14:paraId="18A2C6C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37AFAE8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9C8729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2E1FCFF4" w14:textId="77777777" w:rsidTr="005C00A5">
        <w:tc>
          <w:tcPr>
            <w:tcW w:w="2160" w:type="dxa"/>
            <w:shd w:val="clear" w:color="auto" w:fill="CCDCDC"/>
          </w:tcPr>
          <w:p w14:paraId="05D7D0C5"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4370D25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5A41ECA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39F3AD9F" w14:textId="77777777" w:rsidTr="005C00A5">
        <w:tc>
          <w:tcPr>
            <w:tcW w:w="2160" w:type="dxa"/>
            <w:shd w:val="clear" w:color="auto" w:fill="CCDCDC"/>
          </w:tcPr>
          <w:p w14:paraId="157999F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75142F6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26C909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maintain a centralized system for tracking and monitoring AI incidents. This system includes mechanisms and tools for capturing, analyzing, visualizing, and communicating incident data to relevant stakeholders, although its use may not yet be fully consistent across all AI initiatives.</w:t>
            </w:r>
          </w:p>
        </w:tc>
      </w:tr>
      <w:tr w:rsidR="00963E47" w:rsidRPr="00963E47" w14:paraId="5A63FCD9" w14:textId="77777777" w:rsidTr="005C00A5">
        <w:tc>
          <w:tcPr>
            <w:tcW w:w="2160" w:type="dxa"/>
            <w:shd w:val="clear" w:color="auto" w:fill="CCDCDC"/>
          </w:tcPr>
          <w:p w14:paraId="5458928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64F99F0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757B26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embedded stage, organizations' centralized system for tracking and monitoring AI incidents is fully integrated into the organization's overall risk management and reporting processes. This system is </w:t>
            </w:r>
            <w:r w:rsidRPr="00963E47">
              <w:rPr>
                <w:rFonts w:ascii="Aptos" w:hAnsi="Aptos" w:cs="Times New Roman"/>
                <w:noProof/>
                <w:color w:val="auto"/>
                <w:sz w:val="20"/>
                <w:szCs w:val="20"/>
              </w:rPr>
              <w:lastRenderedPageBreak/>
              <w:t>consistently used, regularly maintained and updated, and is supported by robust data governance, analytics capabilities, and metrics that track its effectiveness in identifying trends, patterns, and emerging risks.</w:t>
            </w:r>
          </w:p>
        </w:tc>
      </w:tr>
    </w:tbl>
    <w:p w14:paraId="48E7EC18"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3E861535" w14:textId="77777777" w:rsidTr="005C00A5">
        <w:tc>
          <w:tcPr>
            <w:tcW w:w="2250" w:type="dxa"/>
          </w:tcPr>
          <w:p w14:paraId="045937B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6DBAA5D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2C7924D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35386020" w14:textId="77777777" w:rsidTr="005C00A5">
        <w:tc>
          <w:tcPr>
            <w:tcW w:w="2250" w:type="dxa"/>
          </w:tcPr>
          <w:p w14:paraId="38E85D5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45515FD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Insufficient AI Incident Tracking</w:t>
            </w:r>
          </w:p>
        </w:tc>
        <w:tc>
          <w:tcPr>
            <w:tcW w:w="5300" w:type="dxa"/>
          </w:tcPr>
          <w:p w14:paraId="5DD7A74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Centralized AI knowledge system for incident tracking is insufficient</w:t>
            </w:r>
          </w:p>
        </w:tc>
      </w:tr>
    </w:tbl>
    <w:p w14:paraId="4ECC7A9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5882AA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23D9382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F4C618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Leverage and enhance existing incident management systems by establishing an AI-focused inventory or knowledge repository that supports tracking and monitoring AI incidents. This system should include mechanisms for capturing incident data, analyzing trends, and visualizing patterns in coordination with existing incident response processes. Use standardized templates for incident reporting, including key details such as the nature of the incident, impact, and immediate actions, aligned with current documentation standards.</w:t>
      </w:r>
    </w:p>
    <w:p w14:paraId="10462959"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6EAD02B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Ensure protocols for investigation and escalation are integrated with current incident response procedures, including timelines and responsibilities. Utilize data analytics, visualization, and reporting tools to identify emerging risks and develop targeted mitigation strategies.</w:t>
      </w:r>
    </w:p>
    <w:p w14:paraId="7E4EEA78"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485E75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Regularly communicate incident data and insights to relevant stakeholders—such as senior leadership, AI teams, and operational staff—to support a unified approach to risk identification and response, fostering continuous improvement within the established incident management framework.</w:t>
      </w:r>
    </w:p>
    <w:p w14:paraId="1007F3A8"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C1B36B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5B0EFDA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92583B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Centralized Incident Tracking System</w:t>
      </w:r>
    </w:p>
    <w:p w14:paraId="5F3C2A4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centralized incident tracking system or AI inventory that integrates seamlessly with existing incident management frameworks to monitor and analyze AI incidents effectively.</w:t>
      </w:r>
    </w:p>
    <w:p w14:paraId="222FA5B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8F60E5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the centralized incident tracking system's structure, including types of incidents recorded and data fields used.</w:t>
      </w:r>
    </w:p>
    <w:p w14:paraId="3291E34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User access logs indicating the frequency and usage of the centralized system by team members.</w:t>
      </w:r>
    </w:p>
    <w:p w14:paraId="21C9A87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Integration workflow diagrams illustrating how the incident tracking system connects with other incident management tools.</w:t>
      </w:r>
    </w:p>
    <w:p w14:paraId="5050862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any system updates or changes that enhance the tracking capability of AI incidents.</w:t>
      </w:r>
    </w:p>
    <w:p w14:paraId="3C36F3A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32E796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Data Collection and Incident Monitoring</w:t>
      </w:r>
    </w:p>
    <w:p w14:paraId="48F44A8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robust data collection procedures to monitor AI incidents accurately, ensuring that relevant information is captured for future analysis and trend identification.</w:t>
      </w:r>
    </w:p>
    <w:p w14:paraId="5EDCA67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1E9FEC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collection protocols outlining the types of information that must be recorded for each incident.</w:t>
      </w:r>
    </w:p>
    <w:p w14:paraId="18DF642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Sample incident records demonstrating the completeness and accuracy of captured data.</w:t>
      </w:r>
    </w:p>
    <w:p w14:paraId="4D11A91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Metrics showing the timely submission of incident reports into the centralized system.</w:t>
      </w:r>
    </w:p>
    <w:p w14:paraId="3990ECC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regular monitoring activities analyzing data integrity and completeness in incident reporting.</w:t>
      </w:r>
    </w:p>
    <w:p w14:paraId="07D7D60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E3A6E3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Trend Analysis and Risk Identification</w:t>
      </w:r>
    </w:p>
    <w:p w14:paraId="22A2D2C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Utilize the centralized incident tracking system to conduct trend analysis and identify emerging risks associated with AI systems, facilitating proactive risk management.</w:t>
      </w:r>
    </w:p>
    <w:p w14:paraId="5B7CE8F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62015EC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Trend analysis reports that document patterns identified in AI incidents over specified periods.</w:t>
      </w:r>
    </w:p>
    <w:p w14:paraId="699E1AC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Charts and graphs visualizing incident frequency, types, and severity to highlight emerging risks.</w:t>
      </w:r>
    </w:p>
    <w:p w14:paraId="7177769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meetings where trend findings were discussed and decisions made regarding risk management strategies.</w:t>
      </w:r>
    </w:p>
    <w:p w14:paraId="0F0CDD8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how identified trends have informed updates to risk mitigation plans or practices.</w:t>
      </w:r>
    </w:p>
    <w:p w14:paraId="7B9ACB0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C6B764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Stakeholder Information Sharing Protocols</w:t>
      </w:r>
    </w:p>
    <w:p w14:paraId="41A463C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protocols for effective information sharing among relevant stakeholders regarding AI incidents tracked in the centralized system, ensuring timely communication and collaboration.</w:t>
      </w:r>
    </w:p>
    <w:p w14:paraId="5A94536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750AAA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information sharing protocols detailing how and when incident data is communicated to stakeholders.</w:t>
      </w:r>
    </w:p>
    <w:p w14:paraId="3CAEA0E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communications sent to stakeholders summarizing recent incidents, trends, and responses taken.</w:t>
      </w:r>
    </w:p>
    <w:p w14:paraId="125FA38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received from stakeholders on the effectiveness and clarity of shared incident information.</w:t>
      </w:r>
    </w:p>
    <w:p w14:paraId="7A110AD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notes from discussions on incident data where stakeholders collaborated on responses to reported incidents.</w:t>
      </w:r>
    </w:p>
    <w:p w14:paraId="7AD9DF0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34DF26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Review and Continuous Improvement of Incident Tracking</w:t>
      </w:r>
    </w:p>
    <w:p w14:paraId="305816D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processes for the regular review of incident tracking and analysis practices to enhance system effectiveness and adaptability to emerging risks and incidents.</w:t>
      </w:r>
    </w:p>
    <w:p w14:paraId="3E70A79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2D95CB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documenting when evaluations of incident tracking processes are conducted.</w:t>
      </w:r>
    </w:p>
    <w:p w14:paraId="67C78A3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summarizing findings from the reviews, including identified strengths and areas for improvement.</w:t>
      </w:r>
    </w:p>
    <w:p w14:paraId="6D0D30D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plans highlighting changes made to incident tracking practices based on review outcomes and stakeholder feedback.</w:t>
      </w:r>
    </w:p>
    <w:p w14:paraId="2E18DF4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training updates on incident tracking processes communicated to stakeholders following reviews.</w:t>
      </w:r>
    </w:p>
    <w:p w14:paraId="0B39D7BF"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45167C06"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0AA0D08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566C25B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326A3005" w14:textId="77777777" w:rsidTr="005C00A5">
        <w:tc>
          <w:tcPr>
            <w:tcW w:w="1170" w:type="dxa"/>
          </w:tcPr>
          <w:p w14:paraId="0DF03F3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54B6EBD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08835BE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08846E1D" w14:textId="77777777" w:rsidTr="005C00A5">
        <w:tc>
          <w:tcPr>
            <w:tcW w:w="1170" w:type="dxa"/>
          </w:tcPr>
          <w:p w14:paraId="2EC10E0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GV-4.3.5</w:t>
            </w:r>
          </w:p>
        </w:tc>
        <w:tc>
          <w:tcPr>
            <w:tcW w:w="2160" w:type="dxa"/>
          </w:tcPr>
          <w:p w14:paraId="3F42FC3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Secure External AI Incident Sharing</w:t>
            </w:r>
          </w:p>
        </w:tc>
        <w:tc>
          <w:tcPr>
            <w:tcW w:w="6740" w:type="dxa"/>
          </w:tcPr>
          <w:p w14:paraId="07D2277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establishes secure and compliant channels for sharing sensitive information related to AI risks and incidents with external stakeholders (e.g., industry peers, academic researchers, regulators, information sharing databases) to promote collective learning and improvement while protecting confidential and proprietary data.</w:t>
            </w:r>
          </w:p>
          <w:p w14:paraId="243FD7A5" w14:textId="77777777" w:rsidR="00963E47" w:rsidRPr="00963E47" w:rsidRDefault="00963E47" w:rsidP="004C3837">
            <w:pPr>
              <w:keepNext/>
              <w:rPr>
                <w:rFonts w:ascii="Aptos" w:hAnsi="Aptos" w:cs="Times New Roman"/>
                <w:b/>
                <w:bCs/>
                <w:color w:val="000000"/>
                <w:sz w:val="20"/>
                <w:szCs w:val="20"/>
              </w:rPr>
            </w:pPr>
          </w:p>
          <w:p w14:paraId="40409442" w14:textId="77777777" w:rsidR="00963E47" w:rsidRPr="00963E47" w:rsidRDefault="00963E47" w:rsidP="004C3837">
            <w:pPr>
              <w:keepNext/>
              <w:rPr>
                <w:rFonts w:ascii="Aptos" w:hAnsi="Aptos" w:cs="Times New Roman"/>
                <w:b/>
                <w:bCs/>
                <w:color w:val="000000"/>
                <w:sz w:val="20"/>
                <w:szCs w:val="20"/>
              </w:rPr>
            </w:pPr>
            <w:hyperlink r:id="rId70" w:anchor="govern-4-3" w:history="1">
              <w:r w:rsidRPr="00963E47">
                <w:rPr>
                  <w:rFonts w:ascii="Aptos" w:hAnsi="Aptos" w:cs="Times New Roman"/>
                  <w:color w:val="000000"/>
                  <w:sz w:val="20"/>
                  <w:szCs w:val="20"/>
                  <w:u w:val="single"/>
                </w:rPr>
                <w:t>Link to NIST AI RMF Playbook</w:t>
              </w:r>
            </w:hyperlink>
          </w:p>
        </w:tc>
      </w:tr>
    </w:tbl>
    <w:p w14:paraId="5B81029C"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F4DFDB9"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6E0BA75A"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26D665DF" w14:textId="77777777" w:rsidTr="005C00A5">
        <w:trPr>
          <w:tblHeader/>
        </w:trPr>
        <w:tc>
          <w:tcPr>
            <w:tcW w:w="2160" w:type="dxa"/>
            <w:shd w:val="clear" w:color="auto" w:fill="CCDCDC"/>
            <w:vAlign w:val="center"/>
          </w:tcPr>
          <w:p w14:paraId="50201F5B"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7B5FC30B"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23CA66CC"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2FFD2C32" w14:textId="77777777" w:rsidTr="005C00A5">
        <w:tc>
          <w:tcPr>
            <w:tcW w:w="2160" w:type="dxa"/>
            <w:shd w:val="clear" w:color="auto" w:fill="CCDCDC"/>
          </w:tcPr>
          <w:p w14:paraId="0A0ED39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75D8D8F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B087F0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230CEC6F" w14:textId="77777777" w:rsidTr="005C00A5">
        <w:tc>
          <w:tcPr>
            <w:tcW w:w="2160" w:type="dxa"/>
            <w:shd w:val="clear" w:color="auto" w:fill="CCDCDC"/>
          </w:tcPr>
          <w:p w14:paraId="1E95440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5F60379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094123F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26917FDE" w14:textId="77777777" w:rsidTr="005C00A5">
        <w:tc>
          <w:tcPr>
            <w:tcW w:w="2160" w:type="dxa"/>
            <w:shd w:val="clear" w:color="auto" w:fill="CCDCDC"/>
          </w:tcPr>
          <w:p w14:paraId="41D718E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73E3CAD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04EA2B7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356411EB" w14:textId="77777777" w:rsidTr="005C00A5">
        <w:tc>
          <w:tcPr>
            <w:tcW w:w="2160" w:type="dxa"/>
            <w:shd w:val="clear" w:color="auto" w:fill="CCDCDC"/>
          </w:tcPr>
          <w:p w14:paraId="36E33E1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46D2CFE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07EA3F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embedded stage, organizations establish secure channels for sharing sensitive information related to AI risks and incidents with external stakeholders that is fully integrated into the organization's </w:t>
            </w:r>
            <w:r w:rsidRPr="00963E47">
              <w:rPr>
                <w:rFonts w:ascii="Aptos" w:hAnsi="Aptos" w:cs="Times New Roman"/>
                <w:noProof/>
                <w:color w:val="auto"/>
                <w:sz w:val="20"/>
                <w:szCs w:val="20"/>
              </w:rPr>
              <w:lastRenderedPageBreak/>
              <w:t>overall external collaboration and communication strategy. These channels are consistently used, regularly reviewed and updated based on feedback and best practices, and are supported by robust data protection, access controls, and metrics that track their impact on collective learning and risk mitigation.</w:t>
            </w:r>
          </w:p>
        </w:tc>
      </w:tr>
    </w:tbl>
    <w:p w14:paraId="5B103524"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51590722" w14:textId="77777777" w:rsidTr="005C00A5">
        <w:tc>
          <w:tcPr>
            <w:tcW w:w="2250" w:type="dxa"/>
          </w:tcPr>
          <w:p w14:paraId="17D39EF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2C85368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0D88BA2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0E9CD6ED" w14:textId="77777777" w:rsidTr="005C00A5">
        <w:tc>
          <w:tcPr>
            <w:tcW w:w="2250" w:type="dxa"/>
          </w:tcPr>
          <w:p w14:paraId="5F73955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703428D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Unsecure Communication Channels</w:t>
            </w:r>
          </w:p>
        </w:tc>
        <w:tc>
          <w:tcPr>
            <w:tcW w:w="5300" w:type="dxa"/>
          </w:tcPr>
          <w:p w14:paraId="1C0F362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Channels for sharing AI risk information with external parties are not secure</w:t>
            </w:r>
          </w:p>
        </w:tc>
      </w:tr>
    </w:tbl>
    <w:p w14:paraId="31EDFF6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26B692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3DAD13F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3E3EA0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secure and compliant channels for sharing sensitive information related to AI risks and incidents with external stakeholders, such as industry peers, academic researchers, regulators, and information sharing databases). Develop clear guidelines for what types of information can be shared, with whom, and under what circumstances. Ensure all information sharing complies with relevant laws and regulations, such as data privacy and intellectual property protections.</w:t>
      </w:r>
    </w:p>
    <w:p w14:paraId="4996260C"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203E7ED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Use secure communication channels, such as encrypted email or secure file transfer protocols, to protect sensitive information from unauthorized access or disclosure. Establish clear protocols for responding to external requests for information, including procedures for verifying the identity and legitimacy of the requestor. Regularly review and update information sharing channels and protocols based on changes in the regulatory landscape, emerging best practices, and feedback from stakeholders.</w:t>
      </w:r>
    </w:p>
    <w:p w14:paraId="1894C7D6"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EC32C6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408AD56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92927B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Secure Communication Protocols</w:t>
      </w:r>
    </w:p>
    <w:p w14:paraId="2AE618F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Create formal, documented protocols outlining secure methods, channels, and practices for sharing sensitive AI information externally, aligned with legal, regulatory, and confidentiality requirements.</w:t>
      </w:r>
    </w:p>
    <w:p w14:paraId="5857672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C1D5DA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Approved communication protocols referencing encryption, access controls, and data masking standards.</w:t>
      </w:r>
    </w:p>
    <w:p w14:paraId="7D9F57C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Confidentiality agreements and non-disclosure agreements (NDAs) with external parties.</w:t>
      </w:r>
    </w:p>
    <w:p w14:paraId="64F7C51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Information classification policies guiding what data can be shared and in what format.</w:t>
      </w:r>
    </w:p>
    <w:p w14:paraId="1050BBA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Process manuals detailing secure sharing workflows.</w:t>
      </w:r>
    </w:p>
    <w:p w14:paraId="043AD2C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FB4D41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Implementation of Secure Sharing Platforms and Channels</w:t>
      </w:r>
    </w:p>
    <w:p w14:paraId="373A42B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trusted, compliant platforms and channels such as secure portals, encrypted email, or designated data repositories for external sharing.</w:t>
      </w:r>
    </w:p>
    <w:p w14:paraId="511F1D3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1B05E3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Logins, access controls, and audit logs for secure portals or data repositories.</w:t>
      </w:r>
    </w:p>
    <w:p w14:paraId="561AFCE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Encryption certificates and security audit reports for communication channels.</w:t>
      </w:r>
    </w:p>
    <w:p w14:paraId="646622F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Channel setup documentation and configurations.</w:t>
      </w:r>
    </w:p>
    <w:p w14:paraId="3D57EB7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User access and event logs showing authorized sharing activity.</w:t>
      </w:r>
    </w:p>
    <w:p w14:paraId="70F0311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998B79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Stakeholder Vetting and Data Minimization Criteria</w:t>
      </w:r>
    </w:p>
    <w:p w14:paraId="02C8138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vetting processes for external stakeholders, defining what information can be shared, ensuring minimal and non-proprietary data disclosure.</w:t>
      </w:r>
    </w:p>
    <w:p w14:paraId="50A18BD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07F801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onboarding and vetting procedures.</w:t>
      </w:r>
    </w:p>
    <w:p w14:paraId="1662DFC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sharing agreements specifying scope, limits, and confidentiality obligations.</w:t>
      </w:r>
    </w:p>
    <w:p w14:paraId="6A2FD02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Data anonymization, masking, or tokenization procedures.</w:t>
      </w:r>
    </w:p>
    <w:p w14:paraId="475223F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data minimization assessments and approvals.</w:t>
      </w:r>
    </w:p>
    <w:p w14:paraId="353B925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96A60A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Compliance and Monitoring of External Sharing Activities</w:t>
      </w:r>
    </w:p>
    <w:p w14:paraId="110BF93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audit and review sharing activities to confirm adherence to policies, monitor for unauthorized disclosures, and assess data protection effectiveness.</w:t>
      </w:r>
    </w:p>
    <w:p w14:paraId="1363513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42FC6A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logs and monitoring reports of sharing events.</w:t>
      </w:r>
    </w:p>
    <w:p w14:paraId="17E5EC4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reports of any breaches or non-compliance events.</w:t>
      </w:r>
    </w:p>
    <w:p w14:paraId="6AA675A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Reviews of data access permissions and activity logs.</w:t>
      </w:r>
    </w:p>
    <w:p w14:paraId="0EFC45F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Periodic compliance assessments aligned with applicable legal standards.</w:t>
      </w:r>
    </w:p>
    <w:p w14:paraId="7F13B97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2BFDE2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Training and Awareness on Secure Sharing Best Practices</w:t>
      </w:r>
    </w:p>
    <w:p w14:paraId="05BB689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Provide training for personnel involved in external sharing on secure communication practices, data classification, confidentiality obligations, and legal considerations.</w:t>
      </w:r>
    </w:p>
    <w:p w14:paraId="01A87FE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83FEEA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curricula, attendance records, and certification completion.</w:t>
      </w:r>
    </w:p>
    <w:p w14:paraId="07B4454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User guides and quick-reference materials on secure sharing protocols.</w:t>
      </w:r>
    </w:p>
    <w:p w14:paraId="29D39A3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awareness campaigns and refresher sessions.</w:t>
      </w:r>
    </w:p>
    <w:p w14:paraId="35CF80B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surveys evaluating understanding and adherence.</w:t>
      </w:r>
    </w:p>
    <w:p w14:paraId="74893BA0"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4FC158D8"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477A29B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349F23C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467FB260" w14:textId="77777777" w:rsidTr="005C00A5">
        <w:tc>
          <w:tcPr>
            <w:tcW w:w="1170" w:type="dxa"/>
          </w:tcPr>
          <w:p w14:paraId="582B678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142F534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769B7FB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668BB78D" w14:textId="77777777" w:rsidTr="005C00A5">
        <w:tc>
          <w:tcPr>
            <w:tcW w:w="1170" w:type="dxa"/>
          </w:tcPr>
          <w:p w14:paraId="2BEAE28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GV-4.3.6</w:t>
            </w:r>
          </w:p>
        </w:tc>
        <w:tc>
          <w:tcPr>
            <w:tcW w:w="2160" w:type="dxa"/>
          </w:tcPr>
          <w:p w14:paraId="6D00D36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Post-Incident Review and Improvements</w:t>
            </w:r>
          </w:p>
        </w:tc>
        <w:tc>
          <w:tcPr>
            <w:tcW w:w="6740" w:type="dxa"/>
          </w:tcPr>
          <w:p w14:paraId="53BAA3A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conducts regular post-incident reviews and root cause analyses to identify improvements in AI testing, incident identification, and information sharing. These reviews should be integrated into the organization's ongoing development cycle to inform continuous improvement of AI systems, practices, and safety measures.</w:t>
            </w:r>
          </w:p>
          <w:p w14:paraId="3A2629E5" w14:textId="77777777" w:rsidR="00963E47" w:rsidRPr="00963E47" w:rsidRDefault="00963E47" w:rsidP="004C3837">
            <w:pPr>
              <w:keepNext/>
              <w:rPr>
                <w:rFonts w:ascii="Aptos" w:hAnsi="Aptos" w:cs="Times New Roman"/>
                <w:b/>
                <w:bCs/>
                <w:color w:val="000000"/>
                <w:sz w:val="20"/>
                <w:szCs w:val="20"/>
              </w:rPr>
            </w:pPr>
          </w:p>
          <w:p w14:paraId="65220E4E" w14:textId="77777777" w:rsidR="00963E47" w:rsidRPr="00963E47" w:rsidRDefault="00963E47" w:rsidP="004C3837">
            <w:pPr>
              <w:keepNext/>
              <w:rPr>
                <w:rFonts w:ascii="Aptos" w:hAnsi="Aptos" w:cs="Times New Roman"/>
                <w:b/>
                <w:bCs/>
                <w:color w:val="000000"/>
                <w:sz w:val="20"/>
                <w:szCs w:val="20"/>
              </w:rPr>
            </w:pPr>
            <w:hyperlink r:id="rId71" w:anchor="govern-4-3" w:history="1">
              <w:r w:rsidRPr="00963E47">
                <w:rPr>
                  <w:rFonts w:ascii="Aptos" w:hAnsi="Aptos" w:cs="Times New Roman"/>
                  <w:color w:val="000000"/>
                  <w:sz w:val="20"/>
                  <w:szCs w:val="20"/>
                  <w:u w:val="single"/>
                </w:rPr>
                <w:t>Link to NIST AI RMF Playbook</w:t>
              </w:r>
            </w:hyperlink>
          </w:p>
        </w:tc>
      </w:tr>
    </w:tbl>
    <w:p w14:paraId="190D87AC"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71A9718"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122343BF"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2072B3D9" w14:textId="77777777" w:rsidTr="005C00A5">
        <w:trPr>
          <w:tblHeader/>
        </w:trPr>
        <w:tc>
          <w:tcPr>
            <w:tcW w:w="2160" w:type="dxa"/>
            <w:shd w:val="clear" w:color="auto" w:fill="CCDCDC"/>
            <w:vAlign w:val="center"/>
          </w:tcPr>
          <w:p w14:paraId="6DEAA98F"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5E77D579"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36456CFB"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00A921A9" w14:textId="77777777" w:rsidTr="005C00A5">
        <w:tc>
          <w:tcPr>
            <w:tcW w:w="2160" w:type="dxa"/>
            <w:shd w:val="clear" w:color="auto" w:fill="CCDCDC"/>
          </w:tcPr>
          <w:p w14:paraId="6B6A5D6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6A8F176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0E80DCF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2208F70F" w14:textId="77777777" w:rsidTr="005C00A5">
        <w:tc>
          <w:tcPr>
            <w:tcW w:w="2160" w:type="dxa"/>
            <w:shd w:val="clear" w:color="auto" w:fill="CCDCDC"/>
          </w:tcPr>
          <w:p w14:paraId="737CF98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1C7DA58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B44309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24F457E8" w14:textId="77777777" w:rsidTr="005C00A5">
        <w:tc>
          <w:tcPr>
            <w:tcW w:w="2160" w:type="dxa"/>
            <w:shd w:val="clear" w:color="auto" w:fill="CCDCDC"/>
          </w:tcPr>
          <w:p w14:paraId="4CFACAF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4C4A7C9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09A928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conduct regular post-incident reviews and root cause analyses to identify improvements in AI testing, incident identification, and information sharing. They also establish KPIs to measure the effectiveness of these processes, although the use of these practices may not yet be fully consistent across all AI initiatives.</w:t>
            </w:r>
          </w:p>
        </w:tc>
      </w:tr>
      <w:tr w:rsidR="00963E47" w:rsidRPr="00963E47" w14:paraId="356EAB03" w14:textId="77777777" w:rsidTr="005C00A5">
        <w:tc>
          <w:tcPr>
            <w:tcW w:w="2160" w:type="dxa"/>
            <w:shd w:val="clear" w:color="auto" w:fill="CCDCDC"/>
          </w:tcPr>
          <w:p w14:paraId="4CDD135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583C6D1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132D05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embedded stage, organizations conduct regular post-incident reviews, root cause analyses, and establishing KPIs to measure the effectiveness of AI testing, incident identification, and information sharing processes. This is fully integrated into the organization's overall continuous improvement and performance management frameworks. These practices are consistently implemented, regularly </w:t>
            </w:r>
            <w:r w:rsidRPr="00963E47">
              <w:rPr>
                <w:rFonts w:ascii="Aptos" w:hAnsi="Aptos" w:cs="Times New Roman"/>
                <w:noProof/>
                <w:color w:val="auto"/>
                <w:sz w:val="20"/>
                <w:szCs w:val="20"/>
              </w:rPr>
              <w:lastRenderedPageBreak/>
              <w:t>reviewed and updated based on feedback and best practices, and are supported by robust methodologies, tools, and metrics that track their impact on enhancing the organization's AI risk management capabilities.</w:t>
            </w:r>
          </w:p>
        </w:tc>
      </w:tr>
    </w:tbl>
    <w:p w14:paraId="71A36808"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6FCD42BE" w14:textId="77777777" w:rsidTr="005C00A5">
        <w:tc>
          <w:tcPr>
            <w:tcW w:w="2250" w:type="dxa"/>
          </w:tcPr>
          <w:p w14:paraId="24DAE1D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7C177E9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2C5FBC7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0DB9CA73" w14:textId="77777777" w:rsidTr="005C00A5">
        <w:tc>
          <w:tcPr>
            <w:tcW w:w="2250" w:type="dxa"/>
          </w:tcPr>
          <w:p w14:paraId="3086715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30B76D2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Insufficient Post-Incident Review</w:t>
            </w:r>
          </w:p>
        </w:tc>
        <w:tc>
          <w:tcPr>
            <w:tcW w:w="5300" w:type="dxa"/>
          </w:tcPr>
          <w:p w14:paraId="07E23FE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Reviews after AI incidents lack root cause analysis and improvement actions</w:t>
            </w:r>
          </w:p>
        </w:tc>
      </w:tr>
    </w:tbl>
    <w:p w14:paraId="2B984F3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D245FC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477B2AD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B28246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Conduct regular post-incident reviews and root cause analyses to identify improvements in AI testing, incident identification, and information sharing. Ensure that these reviews also inform continuous improvement in AI development and deployment practices. Establish a standardized process for conducting these reviews, including clear roles and responsibilities, timelines, and deliverables. Engage with a multidisciplinary group of stakeholders, including AI developers, end-users, and subject matter experts, to ensure reviews are comprehensive and reflect multiple perspectives.</w:t>
      </w:r>
    </w:p>
    <w:p w14:paraId="2E0914CE"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2D6FDBB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Use structured problem-solving techniques, such as fishbone diagrams or "5 Whys" analysis, to identify the root causes of incidents and develop targeted improvement strategies. Communicate the results of post-incident reviews to relevant stakeholders, and ensure improvement actions are tracked and implemented in a timely manner. Regularly review and update the post-incident review process based on feedback from stakeholders and emerging best practices.</w:t>
      </w:r>
    </w:p>
    <w:p w14:paraId="374C836C"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D5AA9D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6A3179C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719089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Scheduled Post-Incident Review and Root Cause Analysis</w:t>
      </w:r>
    </w:p>
    <w:p w14:paraId="666AEE5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routine process for conducting formal post-incident reviews and root cause analyses following AI-related incidents or near-misses, with defined timelines and responsibilities.</w:t>
      </w:r>
    </w:p>
    <w:p w14:paraId="2F46012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BA8146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review schedules and documented agendas.</w:t>
      </w:r>
    </w:p>
    <w:p w14:paraId="6A24AE2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Root cause analysis reports including causal factors, contributing conditions, and corrective actions.</w:t>
      </w:r>
    </w:p>
    <w:p w14:paraId="1C3AFBF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Assigned roles and accountabilities for investigation and follow-up.</w:t>
      </w:r>
    </w:p>
    <w:p w14:paraId="1DE12A1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documentation with action items and completion status.</w:t>
      </w:r>
    </w:p>
    <w:p w14:paraId="62189BC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51C2E6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of Findings into Development and Testing Practices</w:t>
      </w:r>
    </w:p>
    <w:p w14:paraId="052DFA5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insights from reviews and analyses to update AI testing strategies, refine incident detection procedures, and improve information sharing protocols.</w:t>
      </w:r>
    </w:p>
    <w:p w14:paraId="4FE9C74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68EC94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Revised testing plans incorporating identified weaknesses or attack vectors.</w:t>
      </w:r>
    </w:p>
    <w:p w14:paraId="3ECD9F5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incident detection algorithms or monitoring thresholds based on root cause insights.</w:t>
      </w:r>
    </w:p>
    <w:p w14:paraId="7167671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Enhanced communication or escalation procedures developed from lessons learned.</w:t>
      </w:r>
    </w:p>
    <w:p w14:paraId="26EA889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process updates and associated training.</w:t>
      </w:r>
    </w:p>
    <w:p w14:paraId="0E86DB5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699E50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Improvement Loop in Development Cycle</w:t>
      </w:r>
    </w:p>
    <w:p w14:paraId="38F36B5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Embed review findings into the AI development lifecycle, ensuring ongoing adjustments to models, data, and controls are systematically implemented.</w:t>
      </w:r>
    </w:p>
    <w:p w14:paraId="6D6A053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7568DD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Integrated feedback loops linking incident learnings to model retraining or data curation.</w:t>
      </w:r>
    </w:p>
    <w:p w14:paraId="6E8CEF0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Pipeline dashboards showing continuous improvement metrics.</w:t>
      </w:r>
    </w:p>
    <w:p w14:paraId="2FBB1C5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Reviews documented during design or deployment phases, referencing past incident insights.</w:t>
      </w:r>
    </w:p>
    <w:p w14:paraId="383BEB6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and release notes reflecting improvements driven by review outcomes.</w:t>
      </w:r>
    </w:p>
    <w:p w14:paraId="6DC3DE62"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E37465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and Tracking for Accountability</w:t>
      </w:r>
    </w:p>
    <w:p w14:paraId="79936C3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comprehensive records of incident reviews, root cause analyses, improvement actions undertaken, and their impact on system safety and performance.</w:t>
      </w:r>
    </w:p>
    <w:p w14:paraId="27ABAC0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FF2B8B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review reports and action plan records.</w:t>
      </w:r>
    </w:p>
    <w:p w14:paraId="1DA6401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Follow-up audits or validation reports verifying implemented improvements.</w:t>
      </w:r>
    </w:p>
    <w:p w14:paraId="0DF4AD8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 histories of processes and models indicating iterative refinements.</w:t>
      </w:r>
    </w:p>
    <w:p w14:paraId="7EB12C3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Management review minutes approving or evaluating improvement actions.</w:t>
      </w:r>
    </w:p>
    <w:p w14:paraId="6DF9371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CC2EE0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Learning Culture and Knowledge Sharing Mechanisms</w:t>
      </w:r>
    </w:p>
    <w:p w14:paraId="2D3274C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Foster a culture of learning by encouraging open sharing of incident insights, establishing knowledge repositories, and conducting periodic training on lessons learned.</w:t>
      </w:r>
    </w:p>
    <w:p w14:paraId="03B8031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55C482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repositories accessible to relevant teams.</w:t>
      </w:r>
    </w:p>
    <w:p w14:paraId="0049BB9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sessions or refreshers addressing common pitfalls and best practices.</w:t>
      </w:r>
    </w:p>
    <w:p w14:paraId="27AF6B0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Internal newsletters or case study publications highlighting improvements.</w:t>
      </w:r>
    </w:p>
    <w:p w14:paraId="0FA8A73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surveys confirming awareness and application of lessons learned.</w:t>
      </w:r>
    </w:p>
    <w:p w14:paraId="54246E8E"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24" w:name="_Toc214874769"/>
      <w:r w:rsidRPr="00963E47">
        <w:rPr>
          <w:rFonts w:ascii="Aptos" w:eastAsia="Aptos" w:hAnsi="Aptos" w:cs="Times New Roman"/>
          <w:b/>
          <w:bCs/>
          <w:noProof/>
          <w:color w:val="35256B"/>
          <w:kern w:val="2"/>
          <w:sz w:val="24"/>
          <w14:ligatures w14:val="standardContextual"/>
        </w:rPr>
        <w:t>GOVERN / Establishing Stakeholder Engagement Processes / Creating Stakeholder Engagement Processes</w:t>
      </w:r>
      <w:bookmarkEnd w:id="24"/>
      <w:r w:rsidRPr="00963E47">
        <w:rPr>
          <w:rFonts w:ascii="Aptos" w:eastAsia="Aptos" w:hAnsi="Aptos" w:cs="Times New Roman"/>
          <w:b/>
          <w:bCs/>
          <w:noProof/>
          <w:color w:val="35256B"/>
          <w:kern w:val="2"/>
          <w:sz w:val="24"/>
          <w14:ligatures w14:val="standardContextual"/>
        </w:rPr>
        <w:t xml:space="preserve"> </w:t>
      </w:r>
    </w:p>
    <w:p w14:paraId="14B21B8D"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0FD79B2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5D682A7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5D5638D8" w14:textId="77777777" w:rsidTr="005C00A5">
        <w:tc>
          <w:tcPr>
            <w:tcW w:w="1170" w:type="dxa"/>
          </w:tcPr>
          <w:p w14:paraId="003113E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75D48EF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767E10C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1BB04989" w14:textId="77777777" w:rsidTr="005C00A5">
        <w:tc>
          <w:tcPr>
            <w:tcW w:w="1170" w:type="dxa"/>
          </w:tcPr>
          <w:p w14:paraId="4FCFAA3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GV-5.1.1</w:t>
            </w:r>
          </w:p>
        </w:tc>
        <w:tc>
          <w:tcPr>
            <w:tcW w:w="2160" w:type="dxa"/>
          </w:tcPr>
          <w:p w14:paraId="6CC28B9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External Stakeholder Feedback Channels</w:t>
            </w:r>
          </w:p>
        </w:tc>
        <w:tc>
          <w:tcPr>
            <w:tcW w:w="6740" w:type="dxa"/>
          </w:tcPr>
          <w:p w14:paraId="7E734C1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identifies relevant external stakeholders (e.g., users, customers, community groups, subject matter experts) and establishes clear, ongoing channels (e.g., surveys, focus groups, forums, feedback mechanisms) for collecting feedback on potential individual and stakeholder group impacts of its AI systems throughout the system lifecycle.</w:t>
            </w:r>
          </w:p>
          <w:p w14:paraId="283A2B61" w14:textId="77777777" w:rsidR="00963E47" w:rsidRPr="00963E47" w:rsidRDefault="00963E47" w:rsidP="004C3837">
            <w:pPr>
              <w:keepNext/>
              <w:rPr>
                <w:rFonts w:ascii="Aptos" w:hAnsi="Aptos" w:cs="Times New Roman"/>
                <w:b/>
                <w:bCs/>
                <w:color w:val="000000"/>
                <w:sz w:val="20"/>
                <w:szCs w:val="20"/>
              </w:rPr>
            </w:pPr>
          </w:p>
          <w:p w14:paraId="5A9EDDD0" w14:textId="77777777" w:rsidR="00963E47" w:rsidRPr="00963E47" w:rsidRDefault="00963E47" w:rsidP="004C3837">
            <w:pPr>
              <w:keepNext/>
              <w:rPr>
                <w:rFonts w:ascii="Aptos" w:hAnsi="Aptos" w:cs="Times New Roman"/>
                <w:b/>
                <w:bCs/>
                <w:color w:val="000000"/>
                <w:sz w:val="20"/>
                <w:szCs w:val="20"/>
              </w:rPr>
            </w:pPr>
            <w:hyperlink r:id="rId72" w:anchor="govern-5-1" w:history="1">
              <w:r w:rsidRPr="00963E47">
                <w:rPr>
                  <w:rFonts w:ascii="Aptos" w:hAnsi="Aptos" w:cs="Times New Roman"/>
                  <w:color w:val="000000"/>
                  <w:sz w:val="20"/>
                  <w:szCs w:val="20"/>
                  <w:u w:val="single"/>
                </w:rPr>
                <w:t>Link to NIST AI RMF Playbook</w:t>
              </w:r>
            </w:hyperlink>
          </w:p>
        </w:tc>
      </w:tr>
    </w:tbl>
    <w:p w14:paraId="5501BF7F"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F1C43DA"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3A63DE6F"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2B1D7CDB" w14:textId="77777777" w:rsidTr="005C00A5">
        <w:trPr>
          <w:tblHeader/>
        </w:trPr>
        <w:tc>
          <w:tcPr>
            <w:tcW w:w="2160" w:type="dxa"/>
            <w:shd w:val="clear" w:color="auto" w:fill="CCDCDC"/>
            <w:vAlign w:val="center"/>
          </w:tcPr>
          <w:p w14:paraId="245912CE"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08333172"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2EFC9644"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0A3D779E" w14:textId="77777777" w:rsidTr="005C00A5">
        <w:tc>
          <w:tcPr>
            <w:tcW w:w="2160" w:type="dxa"/>
            <w:shd w:val="clear" w:color="auto" w:fill="CCDCDC"/>
          </w:tcPr>
          <w:p w14:paraId="254BA25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619FDA1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C7D9EA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6B8CC340" w14:textId="77777777" w:rsidTr="005C00A5">
        <w:tc>
          <w:tcPr>
            <w:tcW w:w="2160" w:type="dxa"/>
            <w:shd w:val="clear" w:color="auto" w:fill="CCDCDC"/>
          </w:tcPr>
          <w:p w14:paraId="7322AC4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143835B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B71E5E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have started to identify relevant external stakeholders and establish channels for collecting feedback on potential impacts of their AI systems. However, these efforts may be limited, ad-hoc, or not consistently applied throughout the AI system lifecycle.</w:t>
            </w:r>
          </w:p>
        </w:tc>
      </w:tr>
      <w:tr w:rsidR="00963E47" w:rsidRPr="00963E47" w14:paraId="36F6B1BD" w14:textId="77777777" w:rsidTr="005C00A5">
        <w:tc>
          <w:tcPr>
            <w:tcW w:w="2160" w:type="dxa"/>
            <w:shd w:val="clear" w:color="auto" w:fill="CCDCDC"/>
          </w:tcPr>
          <w:p w14:paraId="122B584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23E6502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59E5A2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have identified a comprehensive range of relevant external stakeholders and established clear, ongoing channels for collecting feedback on potential impacts of their AI systems throughout the system lifecycle. These efforts are formalized and consistently applied, although there may still be some gaps or inconsistencies.</w:t>
            </w:r>
          </w:p>
        </w:tc>
      </w:tr>
      <w:tr w:rsidR="00963E47" w:rsidRPr="00963E47" w14:paraId="3D8AD7FD" w14:textId="77777777" w:rsidTr="005C00A5">
        <w:tc>
          <w:tcPr>
            <w:tcW w:w="2160" w:type="dxa"/>
            <w:shd w:val="clear" w:color="auto" w:fill="CCDCDC"/>
          </w:tcPr>
          <w:p w14:paraId="310D726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4: Embedded</w:t>
            </w:r>
          </w:p>
        </w:tc>
        <w:tc>
          <w:tcPr>
            <w:tcW w:w="1350" w:type="dxa"/>
          </w:tcPr>
          <w:p w14:paraId="6BE9E17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67B26C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identify relevant external stakeholders and establish clear, ongoing channels for collecting feedback on potential impacts of AI systems, which is fully integrated into the organization's overall stakeholder engagement and risk management processes. These efforts are consistently implemented, regularly reviewed and updated based on feedback and best practices, and are supported by robust tools, methodologies, and metrics that track their effectiveness in capturing and addressing potential impacts.</w:t>
            </w:r>
          </w:p>
        </w:tc>
      </w:tr>
    </w:tbl>
    <w:p w14:paraId="128CD3E3"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69DB6CF1" w14:textId="77777777" w:rsidTr="005C00A5">
        <w:tc>
          <w:tcPr>
            <w:tcW w:w="2250" w:type="dxa"/>
          </w:tcPr>
          <w:p w14:paraId="3FA9702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6241377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7AFA27F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5F4F52F8" w14:textId="77777777" w:rsidTr="005C00A5">
        <w:tc>
          <w:tcPr>
            <w:tcW w:w="2250" w:type="dxa"/>
          </w:tcPr>
          <w:p w14:paraId="21EF477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7395B25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Lack of External Feedback Channels</w:t>
            </w:r>
          </w:p>
        </w:tc>
        <w:tc>
          <w:tcPr>
            <w:tcW w:w="5300" w:type="dxa"/>
          </w:tcPr>
          <w:p w14:paraId="50E7951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Channels for external feedback on AI system impacts are not established</w:t>
            </w:r>
          </w:p>
        </w:tc>
      </w:tr>
    </w:tbl>
    <w:p w14:paraId="012ED61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CD86D6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15E9C69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4752AE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Identify the relevant stakeholder groups to effectively collect feedback from external stakeholders regarding the potential individual and stakeholder group impacts of AI systems. These may include users, customers, community groups, subject matter experts, and other individuals or organizations that may be affected by or have insights into the AI system's impacts.</w:t>
      </w:r>
    </w:p>
    <w:p w14:paraId="5DFBF71F"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26444F3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 stakeholder engagement plan that outlines the specific methods and channels for collecting feedback from each group, such as surveys, focus groups, forums, or dedicated feedback mechanisms. Ensure these channels are easily accessible and widely communicated to stakeholders. Establish clear processes for documenting and analyzing feedback and ensure that feedback is regularly reviewed and incorporated into decision-making processes throughout the AI system lifecycle.</w:t>
      </w:r>
    </w:p>
    <w:p w14:paraId="25A064A6"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1542027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Regularly review and update the stakeholder engagement plan to ensure it remains effective and relevant as the AI system and its impacts evolve over time.</w:t>
      </w:r>
    </w:p>
    <w:p w14:paraId="2065074A"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ED571F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3D828AB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40F805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Stakeholder Identification and Engagement Planning</w:t>
      </w:r>
    </w:p>
    <w:p w14:paraId="71BB73D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 process to identify key external stakeholder groups and create engagement plans that specify the methods and frequency for ongoing feedback collection.</w:t>
      </w:r>
    </w:p>
    <w:p w14:paraId="3F5861C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CAB618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analysis reports mapping groups by influence, interest, and potential impact.</w:t>
      </w:r>
    </w:p>
    <w:p w14:paraId="15C8B91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Engagement plans outlining methods, channels, and schedules for feedback collection.</w:t>
      </w:r>
    </w:p>
    <w:p w14:paraId="5072047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Contact lists and outreach logs confirming stakeholder communication.</w:t>
      </w:r>
    </w:p>
    <w:p w14:paraId="41224A4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Signed agreements or participation commitments from stakeholder groups.</w:t>
      </w:r>
    </w:p>
    <w:p w14:paraId="5B879792"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BCEB4D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Implementation of Feedback Channels and Mechanisms</w:t>
      </w:r>
    </w:p>
    <w:p w14:paraId="43FBD50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multiple, accessible channels (surveys, focus groups, online forums, feedback forms) to continuously gather stakeholder input on potential impacts.</w:t>
      </w:r>
    </w:p>
    <w:p w14:paraId="2F272C7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CE1349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Online survey platforms with response data summaries.</w:t>
      </w:r>
    </w:p>
    <w:p w14:paraId="36AC0FA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focus group sessions, agendas, and participant feedback.</w:t>
      </w:r>
    </w:p>
    <w:p w14:paraId="01E232D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forms and suggestion portals with logs of submissions.</w:t>
      </w:r>
    </w:p>
    <w:p w14:paraId="5DC6526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Moderation and engagement logs for forums and feedback mechanisms.</w:t>
      </w:r>
    </w:p>
    <w:p w14:paraId="1C53240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C99709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Feedback Collection and Monitoring</w:t>
      </w:r>
    </w:p>
    <w:p w14:paraId="6581211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solicit and monitor feedback across lifecycle stages, analyzing input to identify potential impacts and issues.</w:t>
      </w:r>
    </w:p>
    <w:p w14:paraId="25DFD0E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65D8AA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dashboards displaying ongoing input and trend analysis.</w:t>
      </w:r>
    </w:p>
    <w:p w14:paraId="1D9C072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Summary reports highlighting stakeholder concerns and proposed impact mitigation.</w:t>
      </w:r>
    </w:p>
    <w:p w14:paraId="05CA18C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logs tracking feedback review, assessments, and response actions.</w:t>
      </w:r>
    </w:p>
    <w:p w14:paraId="3525BFC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periodic stakeholder engagement reviews.</w:t>
      </w:r>
    </w:p>
    <w:p w14:paraId="043ABFD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CDF25D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of Stakeholder Feedback into Risk and Impact Assessments</w:t>
      </w:r>
    </w:p>
    <w:p w14:paraId="77BBE83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Incorporate collected feedback into system risk assessments, impact evaluations, and design adjustments to address stakeholder concerns proactively.</w:t>
      </w:r>
    </w:p>
    <w:p w14:paraId="7EC9A0B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828433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Impact assessment reports referencing stakeholder feedback and concerns.</w:t>
      </w:r>
    </w:p>
    <w:p w14:paraId="5BA72C4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risk registers with stakeholder insights and mitigation plans.</w:t>
      </w:r>
    </w:p>
    <w:p w14:paraId="375AB2C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requests or design revisions driven by stakeholder input.</w:t>
      </w:r>
    </w:p>
    <w:p w14:paraId="2D8A4AD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trails linking feedback to specific system modifications.</w:t>
      </w:r>
    </w:p>
    <w:p w14:paraId="2D6641A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6F1367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Transparent Communication and Reporting of Feedback Outcomes</w:t>
      </w:r>
    </w:p>
    <w:p w14:paraId="2EC3B08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Communicate how stakeholder feedback has influenced system development, risk management, or mitigation strategies, fostering transparency and trust.</w:t>
      </w:r>
    </w:p>
    <w:p w14:paraId="2456F19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67F3EE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Public summaries or reports demonstrating how feedback informed decisions.</w:t>
      </w:r>
    </w:p>
    <w:p w14:paraId="4A9D8A0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or bulletin updates sharing system improvements based on stakeholder input.</w:t>
      </w:r>
    </w:p>
    <w:p w14:paraId="18C4DB0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acknowledgment letters or survey responses indicating awareness.</w:t>
      </w:r>
    </w:p>
    <w:p w14:paraId="5314578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Internal briefings or stakeholder newsletters on feedback-driven updates.</w:t>
      </w:r>
    </w:p>
    <w:p w14:paraId="4E6E3BF8"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75FF6AD6"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62B29A7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78DC917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665FE36C" w14:textId="77777777" w:rsidTr="005C00A5">
        <w:tc>
          <w:tcPr>
            <w:tcW w:w="1170" w:type="dxa"/>
          </w:tcPr>
          <w:p w14:paraId="40C61C1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0B3144E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7C2D068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7C1D2E84" w14:textId="77777777" w:rsidTr="005C00A5">
        <w:tc>
          <w:tcPr>
            <w:tcW w:w="1170" w:type="dxa"/>
          </w:tcPr>
          <w:p w14:paraId="07A48E9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GV-5.1.2</w:t>
            </w:r>
          </w:p>
        </w:tc>
        <w:tc>
          <w:tcPr>
            <w:tcW w:w="2160" w:type="dxa"/>
          </w:tcPr>
          <w:p w14:paraId="4EFFD17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Stakeholder Feedback Policy and Prioritization</w:t>
            </w:r>
          </w:p>
        </w:tc>
        <w:tc>
          <w:tcPr>
            <w:tcW w:w="6740" w:type="dxa"/>
          </w:tcPr>
          <w:p w14:paraId="4714619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develops high-level policies and guidelines for collecting, considering, and prioritizing external stakeholder feedback, ensuring that feedback is effectively communicated to AI development and deployment teams for incorporation into decision-making processes.</w:t>
            </w:r>
          </w:p>
          <w:p w14:paraId="73F05B4E" w14:textId="77777777" w:rsidR="00963E47" w:rsidRPr="00963E47" w:rsidRDefault="00963E47" w:rsidP="004C3837">
            <w:pPr>
              <w:keepNext/>
              <w:rPr>
                <w:rFonts w:ascii="Aptos" w:hAnsi="Aptos" w:cs="Times New Roman"/>
                <w:b/>
                <w:bCs/>
                <w:color w:val="000000"/>
                <w:sz w:val="20"/>
                <w:szCs w:val="20"/>
              </w:rPr>
            </w:pPr>
          </w:p>
          <w:p w14:paraId="66EBB8CB" w14:textId="77777777" w:rsidR="00963E47" w:rsidRPr="00963E47" w:rsidRDefault="00963E47" w:rsidP="004C3837">
            <w:pPr>
              <w:keepNext/>
              <w:rPr>
                <w:rFonts w:ascii="Aptos" w:hAnsi="Aptos" w:cs="Times New Roman"/>
                <w:b/>
                <w:bCs/>
                <w:color w:val="000000"/>
                <w:sz w:val="20"/>
                <w:szCs w:val="20"/>
              </w:rPr>
            </w:pPr>
            <w:hyperlink r:id="rId73" w:anchor="govern-5-1" w:history="1">
              <w:r w:rsidRPr="00963E47">
                <w:rPr>
                  <w:rFonts w:ascii="Aptos" w:hAnsi="Aptos" w:cs="Times New Roman"/>
                  <w:color w:val="000000"/>
                  <w:sz w:val="20"/>
                  <w:szCs w:val="20"/>
                  <w:u w:val="single"/>
                </w:rPr>
                <w:t>Link to NIST AI RMF Playbook</w:t>
              </w:r>
            </w:hyperlink>
          </w:p>
        </w:tc>
      </w:tr>
    </w:tbl>
    <w:p w14:paraId="068E77F1"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29C00F0"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55DCCD5B"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194B8D56" w14:textId="77777777" w:rsidTr="005C00A5">
        <w:trPr>
          <w:tblHeader/>
        </w:trPr>
        <w:tc>
          <w:tcPr>
            <w:tcW w:w="2160" w:type="dxa"/>
            <w:shd w:val="clear" w:color="auto" w:fill="CCDCDC"/>
            <w:vAlign w:val="center"/>
          </w:tcPr>
          <w:p w14:paraId="12BEF18E"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424591BA"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01F46ECE"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5760392B" w14:textId="77777777" w:rsidTr="005C00A5">
        <w:tc>
          <w:tcPr>
            <w:tcW w:w="2160" w:type="dxa"/>
            <w:shd w:val="clear" w:color="auto" w:fill="CCDCDC"/>
          </w:tcPr>
          <w:p w14:paraId="0279CE1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15E3715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5180DB0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1273D8F8" w14:textId="77777777" w:rsidTr="005C00A5">
        <w:tc>
          <w:tcPr>
            <w:tcW w:w="2160" w:type="dxa"/>
            <w:shd w:val="clear" w:color="auto" w:fill="CCDCDC"/>
          </w:tcPr>
          <w:p w14:paraId="217E105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7C45E51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073B85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4C06B7A7" w14:textId="77777777" w:rsidTr="005C00A5">
        <w:tc>
          <w:tcPr>
            <w:tcW w:w="2160" w:type="dxa"/>
            <w:shd w:val="clear" w:color="auto" w:fill="CCDCDC"/>
          </w:tcPr>
          <w:p w14:paraId="0157632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1082DC4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074A64B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have developed high-level policies and guidelines for collecting, considering, and prioritizing external stakeholder feedback. These policies and guidelines ensure that feedback is effectively communicated to AI development and deployment teams for incorporation into decision-making processes, although their implementation may not yet be fully consistent across all AI initiatives.</w:t>
            </w:r>
          </w:p>
        </w:tc>
      </w:tr>
      <w:tr w:rsidR="00963E47" w:rsidRPr="00963E47" w14:paraId="68E571A8" w14:textId="77777777" w:rsidTr="005C00A5">
        <w:tc>
          <w:tcPr>
            <w:tcW w:w="2160" w:type="dxa"/>
            <w:shd w:val="clear" w:color="auto" w:fill="CCDCDC"/>
          </w:tcPr>
          <w:p w14:paraId="38C06AD5"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4: Embedded</w:t>
            </w:r>
          </w:p>
        </w:tc>
        <w:tc>
          <w:tcPr>
            <w:tcW w:w="1350" w:type="dxa"/>
          </w:tcPr>
          <w:p w14:paraId="48CF316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FA786A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high-level policies and guidelines for collecting, considering, and prioritizing external stakeholder feedback are fully integrated into the organization's overall AI governance and decision-making frameworks. These policies and guidelines are consistently implemented, regularly reviewed and updated based on feedback and best practices, and are supported by robust communication channels, accountability measures, and metrics that track their impact on incorporating external feedback into AI development and deployment decisions.</w:t>
            </w:r>
          </w:p>
        </w:tc>
      </w:tr>
    </w:tbl>
    <w:p w14:paraId="454634B0"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0B19BC61" w14:textId="77777777" w:rsidTr="005C00A5">
        <w:tc>
          <w:tcPr>
            <w:tcW w:w="2250" w:type="dxa"/>
          </w:tcPr>
          <w:p w14:paraId="31602B0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515FF61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69700FC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385C7711" w14:textId="77777777" w:rsidTr="005C00A5">
        <w:tc>
          <w:tcPr>
            <w:tcW w:w="2250" w:type="dxa"/>
          </w:tcPr>
          <w:p w14:paraId="755C977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7C2BECA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Insufficient Feedback Policies</w:t>
            </w:r>
          </w:p>
        </w:tc>
        <w:tc>
          <w:tcPr>
            <w:tcW w:w="5300" w:type="dxa"/>
          </w:tcPr>
          <w:p w14:paraId="3C237C1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Policies for considering external feedback are insufficient or not implemented</w:t>
            </w:r>
          </w:p>
        </w:tc>
      </w:tr>
    </w:tbl>
    <w:p w14:paraId="4E50928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413211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6CE9181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54F098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high-level policies and guidelines for collecting, considering, and prioritizing external stakeholder feedback related to AI risks. These policies should outline the organization’s commitment to engaging with external stakeholders and incorporating their feedback into AI development and deployment processes.</w:t>
      </w:r>
    </w:p>
    <w:p w14:paraId="042E00D4"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73E264A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clear criteria for prioritizing feedback based on factors such as the potential impact of the issue raised, the feasibility of addressing the issue, and the alignment with the organization’s overall AI risk management strategy. Ensure these policies and guidelines are communicated to all relevant personnel, including AI development and deployment teams, and provide training and support to ensure they are effectively implemented.</w:t>
      </w:r>
    </w:p>
    <w:p w14:paraId="4F3B8DB7"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AB890D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clear processes for documenting and communicating feedback to relevant teams, and ensure feedback is regularly reviewed and incorporated into decision-making processes. Regularly review and update policies and guidelines based on feedback from stakeholders and emerging best practices in AI risk management.</w:t>
      </w:r>
    </w:p>
    <w:p w14:paraId="5599E033"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B3AD8A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6B9717A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E731AF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Formal Policies and Guidelines for Stakeholder Feedback Management</w:t>
      </w:r>
    </w:p>
    <w:p w14:paraId="40DF341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comprehensive policies defining procedures for collecting, evaluating, prioritizing, and communicating stakeholder feedback throughout the AI lifecycle.</w:t>
      </w:r>
    </w:p>
    <w:p w14:paraId="4DDE9B4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FF7670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Approved policy documents outlining feedback collection and processing protocols.</w:t>
      </w:r>
    </w:p>
    <w:p w14:paraId="013863E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Guidelines specifying criteria for prioritizing feedback based on impact, urgency, and relevance.</w:t>
      </w:r>
    </w:p>
    <w:p w14:paraId="6B5CEE7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Process flowcharts illustrating steps from feedback collection to incorporation.</w:t>
      </w:r>
    </w:p>
    <w:p w14:paraId="6735B78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materials communicating policies to relevant teams.</w:t>
      </w:r>
    </w:p>
    <w:p w14:paraId="12CFA3E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2D0465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Structured Feedback Collection and Prioritization Framework</w:t>
      </w:r>
    </w:p>
    <w:p w14:paraId="4B27348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 structured framework or scoring model for evaluating feedback, aligning it with organizational priorities, risk considerations, and resource capacity.</w:t>
      </w:r>
    </w:p>
    <w:p w14:paraId="3A16C60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6B6FF9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Criteria and scoring matrices for assessing feedback importance and impact.</w:t>
      </w:r>
    </w:p>
    <w:p w14:paraId="0577F49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feedback evaluations, including stakeholder input and prioritization outcomes.</w:t>
      </w:r>
    </w:p>
    <w:p w14:paraId="65EDEE5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feedback review meetings and decision logs.</w:t>
      </w:r>
    </w:p>
    <w:p w14:paraId="73DD31A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Tools or dashboards supporting transparent prioritization.</w:t>
      </w:r>
    </w:p>
    <w:p w14:paraId="07C6E0C3"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3A94D8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Communication Channels and Mechanisms to Ensure Effective Delivery</w:t>
      </w:r>
    </w:p>
    <w:p w14:paraId="410F8F0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formal channels (e.g., reports, dashboards, collaboration platforms) to communicate prioritized feedback and its rationale to AI development, deployment, and oversight teams.</w:t>
      </w:r>
    </w:p>
    <w:p w14:paraId="0CEEE3E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3A8C42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Regular feedback dashboards shared with project teams.</w:t>
      </w:r>
    </w:p>
    <w:p w14:paraId="3C7A7D8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briefings, or reports explicitly referencing stakeholder input and prioritization decisions.</w:t>
      </w:r>
    </w:p>
    <w:p w14:paraId="422DE6E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Notifications or alerts for feedback requiring immediate attention.</w:t>
      </w:r>
    </w:p>
    <w:p w14:paraId="75FFFD5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stakeholder feedback integrated into planning documents.</w:t>
      </w:r>
    </w:p>
    <w:p w14:paraId="78A7C3A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708F89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Incorporation of Feedback into Decision-Making Processes</w:t>
      </w:r>
    </w:p>
    <w:p w14:paraId="0E35918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Embed feedback review and prioritization outcomes into project governance, design reviews, risk assessments, and deployment decisions to facilitate responsive, stakeholder-informed actions.</w:t>
      </w:r>
    </w:p>
    <w:p w14:paraId="381B8A6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399866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Revised project plans and design documents reflecting stakeholder input.</w:t>
      </w:r>
    </w:p>
    <w:p w14:paraId="03C525D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register entries linked to feedback-derived issues.</w:t>
      </w:r>
    </w:p>
    <w:p w14:paraId="3D493A1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Decision records and sign-offs demonstrating stakeholder feedback consideration.</w:t>
      </w:r>
    </w:p>
    <w:p w14:paraId="3D474D4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showing follow-up actions based on feedback.</w:t>
      </w:r>
    </w:p>
    <w:p w14:paraId="736CF92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69F553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Improvement and Review of Feedback Policies and Practices</w:t>
      </w:r>
    </w:p>
    <w:p w14:paraId="1995D99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Periodically review the effectiveness of feedback policies, evaluating stakeholder satisfaction, responsiveness, and influence on system improvements, updating procedures accordingly.</w:t>
      </w:r>
    </w:p>
    <w:p w14:paraId="24C9DDF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F55DBB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effectiveness review reports and stakeholder surveys.</w:t>
      </w:r>
    </w:p>
    <w:p w14:paraId="4BDC080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Revision logs indicating policy updates based on lessons learned.</w:t>
      </w:r>
    </w:p>
    <w:p w14:paraId="532BCB2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Performance metrics demonstrating feedback processing efficiency.</w:t>
      </w:r>
    </w:p>
    <w:p w14:paraId="521C96B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discussing policy refinement and process improvements.</w:t>
      </w:r>
    </w:p>
    <w:p w14:paraId="2DCFC420"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16A3D5F2"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265361F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67E2B57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3887AD9C" w14:textId="77777777" w:rsidTr="005C00A5">
        <w:tc>
          <w:tcPr>
            <w:tcW w:w="1170" w:type="dxa"/>
          </w:tcPr>
          <w:p w14:paraId="7F57B96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63702F8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61DB639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2E26D84E" w14:textId="77777777" w:rsidTr="005C00A5">
        <w:tc>
          <w:tcPr>
            <w:tcW w:w="1170" w:type="dxa"/>
          </w:tcPr>
          <w:p w14:paraId="481BFDC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GV-5.1.3</w:t>
            </w:r>
          </w:p>
        </w:tc>
        <w:tc>
          <w:tcPr>
            <w:tcW w:w="2160" w:type="dxa"/>
          </w:tcPr>
          <w:p w14:paraId="74E3BFC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Industry Collaboration and Responsible AI</w:t>
            </w:r>
          </w:p>
        </w:tc>
        <w:tc>
          <w:tcPr>
            <w:tcW w:w="6740" w:type="dxa"/>
          </w:tcPr>
          <w:p w14:paraId="6040A16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actively participates in industry initiatives and collaborates with external stakeholders to promote responsible AI development and deployment, sharing experiences, contributing to best practices, and staying informed of emerging trends and concerns related to AI risks.</w:t>
            </w:r>
          </w:p>
          <w:p w14:paraId="2A7E1A6F" w14:textId="77777777" w:rsidR="00963E47" w:rsidRPr="00963E47" w:rsidRDefault="00963E47" w:rsidP="004C3837">
            <w:pPr>
              <w:keepNext/>
              <w:rPr>
                <w:rFonts w:ascii="Aptos" w:hAnsi="Aptos" w:cs="Times New Roman"/>
                <w:b/>
                <w:bCs/>
                <w:color w:val="000000"/>
                <w:sz w:val="20"/>
                <w:szCs w:val="20"/>
              </w:rPr>
            </w:pPr>
          </w:p>
          <w:p w14:paraId="42C8D882" w14:textId="77777777" w:rsidR="00963E47" w:rsidRPr="00963E47" w:rsidRDefault="00963E47" w:rsidP="004C3837">
            <w:pPr>
              <w:keepNext/>
              <w:rPr>
                <w:rFonts w:ascii="Aptos" w:hAnsi="Aptos" w:cs="Times New Roman"/>
                <w:b/>
                <w:bCs/>
                <w:color w:val="000000"/>
                <w:sz w:val="20"/>
                <w:szCs w:val="20"/>
              </w:rPr>
            </w:pPr>
            <w:hyperlink r:id="rId74" w:anchor="govern-5-1" w:history="1">
              <w:r w:rsidRPr="00963E47">
                <w:rPr>
                  <w:rFonts w:ascii="Aptos" w:hAnsi="Aptos" w:cs="Times New Roman"/>
                  <w:color w:val="000000"/>
                  <w:sz w:val="20"/>
                  <w:szCs w:val="20"/>
                  <w:u w:val="single"/>
                </w:rPr>
                <w:t>Link to NIST AI RMF Playbook</w:t>
              </w:r>
            </w:hyperlink>
          </w:p>
        </w:tc>
      </w:tr>
    </w:tbl>
    <w:p w14:paraId="23450373"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9A227D3"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4CDE8359"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59169144" w14:textId="77777777" w:rsidTr="005C00A5">
        <w:trPr>
          <w:tblHeader/>
        </w:trPr>
        <w:tc>
          <w:tcPr>
            <w:tcW w:w="2160" w:type="dxa"/>
            <w:shd w:val="clear" w:color="auto" w:fill="CCDCDC"/>
            <w:vAlign w:val="center"/>
          </w:tcPr>
          <w:p w14:paraId="0F61C1EE"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34597DB6"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68387612"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6522CF65" w14:textId="77777777" w:rsidTr="005C00A5">
        <w:tc>
          <w:tcPr>
            <w:tcW w:w="2160" w:type="dxa"/>
            <w:shd w:val="clear" w:color="auto" w:fill="CCDCDC"/>
          </w:tcPr>
          <w:p w14:paraId="51CFB9C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29175D4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0062B0B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32C3CF82" w14:textId="77777777" w:rsidTr="005C00A5">
        <w:tc>
          <w:tcPr>
            <w:tcW w:w="2160" w:type="dxa"/>
            <w:shd w:val="clear" w:color="auto" w:fill="CCDCDC"/>
          </w:tcPr>
          <w:p w14:paraId="037B514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2CE8DA4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C0A509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A6CC104" w14:textId="77777777" w:rsidTr="005C00A5">
        <w:tc>
          <w:tcPr>
            <w:tcW w:w="2160" w:type="dxa"/>
            <w:shd w:val="clear" w:color="auto" w:fill="CCDCDC"/>
          </w:tcPr>
          <w:p w14:paraId="1CFC8FD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2027B86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ED9F3D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actively participate in industry initiatives and collaborate with external stakeholders to promote responsible AI development and deployment. They share experiences, contribute to best practices, and stay informed of emerging trends and concerns related to AI risks, although their involvement may not yet be fully consistent or strategic.</w:t>
            </w:r>
          </w:p>
        </w:tc>
      </w:tr>
      <w:tr w:rsidR="00963E47" w:rsidRPr="00963E47" w14:paraId="56C93FB1" w14:textId="77777777" w:rsidTr="005C00A5">
        <w:tc>
          <w:tcPr>
            <w:tcW w:w="2160" w:type="dxa"/>
            <w:shd w:val="clear" w:color="auto" w:fill="CCDCDC"/>
          </w:tcPr>
          <w:p w14:paraId="3935B9F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4: Embedded</w:t>
            </w:r>
          </w:p>
        </w:tc>
        <w:tc>
          <w:tcPr>
            <w:tcW w:w="1350" w:type="dxa"/>
          </w:tcPr>
          <w:p w14:paraId="5D2B971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C5011D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actively participate in industry initiatives and collaborate with external stakeholders to promote responsible AI development and deployment. The organization consistently shares experiences, contributes to best practices, and stays informed of emerging trends and concerns related to AI risks, and is recognized as a leader in driving responsible AI practices and addressing concerns.</w:t>
            </w:r>
          </w:p>
        </w:tc>
      </w:tr>
    </w:tbl>
    <w:p w14:paraId="019D5A5F"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16B9A3A1" w14:textId="77777777" w:rsidTr="005C00A5">
        <w:tc>
          <w:tcPr>
            <w:tcW w:w="2250" w:type="dxa"/>
          </w:tcPr>
          <w:p w14:paraId="0CA0A5A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0A00124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3FC8D5A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0194C995" w14:textId="77777777" w:rsidTr="005C00A5">
        <w:tc>
          <w:tcPr>
            <w:tcW w:w="2250" w:type="dxa"/>
          </w:tcPr>
          <w:p w14:paraId="6AC7109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71D40DB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Lack of Industry Initiative Participation</w:t>
            </w:r>
          </w:p>
        </w:tc>
        <w:tc>
          <w:tcPr>
            <w:tcW w:w="5300" w:type="dxa"/>
          </w:tcPr>
          <w:p w14:paraId="6F1E89A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Participation in industry initiatives to promote responsible AI is lacking</w:t>
            </w:r>
          </w:p>
        </w:tc>
      </w:tr>
    </w:tbl>
    <w:p w14:paraId="440605D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61BB39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5FC6B2E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4C92C9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Actively participate in industry initiatives and collaborate with external stakeholders to promote responsible AI development and deployment. Identify relevant industry groups, consortia, and standards bodies that are working to address AI risks and promote best practices, and seek opportunities to contribute to their efforts.</w:t>
      </w:r>
    </w:p>
    <w:p w14:paraId="14C0884E"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939DDF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Attend conferences, workshops, and other events related to AI risk management, and share the organization's experiences and insights with other participants. Collaborate with academic researchers, civil society organizations, and other external stakeholders to conduct joint research, develop case studies, or create educational materials related to AI risks and responsible AI practices.</w:t>
      </w:r>
    </w:p>
    <w:p w14:paraId="7C045CEF"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4E6E3CB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partnerships with other organizations to share knowledge, resources, and best practices related to AI risk management. Regularly review and assess the organization’s participation in industry initiatives and external collaborations to ensure they remain effective and aligned with the organization’s overall AI risk management strategy.</w:t>
      </w:r>
    </w:p>
    <w:p w14:paraId="761C87CE"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F92DAA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7FDC0DF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810A4E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Engagement in Industry Initiatives and Forums</w:t>
      </w:r>
    </w:p>
    <w:p w14:paraId="7192382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Formalize participation in industry groups, standard-setting bodies, and consortiums focused on responsible AI, with documented commitments and active involvement.</w:t>
      </w:r>
    </w:p>
    <w:p w14:paraId="1181505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8F4E71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Membership records or partnership agreements with industry alliances.</w:t>
      </w:r>
    </w:p>
    <w:p w14:paraId="5653098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attendance logs, agendas, and participation reports.</w:t>
      </w:r>
    </w:p>
    <w:p w14:paraId="4AA0FFD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Contributions such as white papers, case studies, or policy inputs publicly acknowledged.</w:t>
      </w:r>
    </w:p>
    <w:p w14:paraId="1D82E03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leadership representation in relevant working groups or panels.</w:t>
      </w:r>
    </w:p>
    <w:p w14:paraId="40E0C8B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A81F94B"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External Collaboration and Stakeholder Engagement</w:t>
      </w:r>
    </w:p>
    <w:p w14:paraId="374564A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channels and processes for ongoing engagement with external stakeholders including academia, regulators, civil society, and community groups to share experiences and gather insights.</w:t>
      </w:r>
    </w:p>
    <w:p w14:paraId="7C33FDB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19835A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Memoranda of understanding (MOUs) or collaboration agreements.</w:t>
      </w:r>
    </w:p>
    <w:p w14:paraId="774F5D7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meeting records, joint workshops, or advisory board minutes.</w:t>
      </w:r>
    </w:p>
    <w:p w14:paraId="3AC0E28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collected from external stakeholders on responsible AI practices.</w:t>
      </w:r>
    </w:p>
    <w:p w14:paraId="14BE9E6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summarizing collaborative initiatives and shared learning outcomes.</w:t>
      </w:r>
    </w:p>
    <w:p w14:paraId="6FD05F1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7DDB91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Contribution to Best Practice Development and Standards</w:t>
      </w:r>
    </w:p>
    <w:p w14:paraId="0013AF2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Contribute to industry consortia, standards organizations, or working groups to shape best practices, guidelines, and frameworks on responsible AI.</w:t>
      </w:r>
    </w:p>
    <w:p w14:paraId="0E3363A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6482DA8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Published papers, position statements, or contributions in standards bodies.</w:t>
      </w:r>
    </w:p>
    <w:p w14:paraId="0B05706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participation in working groups or expert panels.</w:t>
      </w:r>
    </w:p>
    <w:p w14:paraId="6AB527F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Adoption of industry-developed standards within organizational policies.</w:t>
      </w:r>
    </w:p>
    <w:p w14:paraId="42CBB3D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peer review or feedback of standards or guidelines.</w:t>
      </w:r>
    </w:p>
    <w:p w14:paraId="1BBFB313"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445A39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Monitoring Emerging Trends and Concerns</w:t>
      </w:r>
    </w:p>
    <w:p w14:paraId="1EA0A5F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mechanisms such as industry surveys, thought leadership reports, or impact assessments to stay informed about evolving AI risks, expectations, and regulatory developments.</w:t>
      </w:r>
    </w:p>
    <w:p w14:paraId="140C396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403904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Industry trend reports, white papers, or informational newsletters circulated internally and externally.</w:t>
      </w:r>
    </w:p>
    <w:p w14:paraId="07C35F9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Surveys or benchmarking studies on responsible AI practices.</w:t>
      </w:r>
    </w:p>
    <w:p w14:paraId="6D37159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Impact assessment reports conducted periodically.</w:t>
      </w:r>
    </w:p>
    <w:p w14:paraId="75445E1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briefings and discussions on emerging issues with external experts.</w:t>
      </w:r>
    </w:p>
    <w:p w14:paraId="5ADA1AD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C4410B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Dissemination and Internal Integration of External Insights</w:t>
      </w:r>
    </w:p>
    <w:p w14:paraId="5A41B37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Share insights and learnings from external collaborations and industry engagement across organizational units, integrating relevant best practices into policies, risk management, and development processes.</w:t>
      </w:r>
    </w:p>
    <w:p w14:paraId="258FA40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295077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Internal reports or presentations summarizing external insights and recommended practices.</w:t>
      </w:r>
    </w:p>
    <w:p w14:paraId="7A4C7FC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Policy updates or guidelines revised based on trend analyses.</w:t>
      </w:r>
    </w:p>
    <w:p w14:paraId="63CDDDF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sessions on emerging risks and best practices informed by external sources.</w:t>
      </w:r>
    </w:p>
    <w:p w14:paraId="6BC81D5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and follow-up documentation on implementing lessons learned.</w:t>
      </w:r>
    </w:p>
    <w:p w14:paraId="7719CA85"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25" w:name="_Toc214874770"/>
      <w:r w:rsidRPr="00963E47">
        <w:rPr>
          <w:rFonts w:ascii="Aptos" w:eastAsia="Aptos" w:hAnsi="Aptos" w:cs="Times New Roman"/>
          <w:b/>
          <w:bCs/>
          <w:noProof/>
          <w:color w:val="35256B"/>
          <w:kern w:val="2"/>
          <w:sz w:val="24"/>
          <w14:ligatures w14:val="standardContextual"/>
        </w:rPr>
        <w:t>GOVERN / Establishing Stakeholder Engagement Processes / Ensuring Continual Stakeholder Engagement</w:t>
      </w:r>
      <w:bookmarkEnd w:id="25"/>
      <w:r w:rsidRPr="00963E47">
        <w:rPr>
          <w:rFonts w:ascii="Aptos" w:eastAsia="Aptos" w:hAnsi="Aptos" w:cs="Times New Roman"/>
          <w:b/>
          <w:bCs/>
          <w:noProof/>
          <w:color w:val="35256B"/>
          <w:kern w:val="2"/>
          <w:sz w:val="24"/>
          <w14:ligatures w14:val="standardContextual"/>
        </w:rPr>
        <w:t xml:space="preserve"> </w:t>
      </w:r>
    </w:p>
    <w:p w14:paraId="337B5AB6"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1E53BE7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0DBF174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60CF4D25" w14:textId="77777777" w:rsidTr="005C00A5">
        <w:tc>
          <w:tcPr>
            <w:tcW w:w="1170" w:type="dxa"/>
          </w:tcPr>
          <w:p w14:paraId="76EDBBA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194548A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12018EC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26607446" w14:textId="77777777" w:rsidTr="005C00A5">
        <w:tc>
          <w:tcPr>
            <w:tcW w:w="1170" w:type="dxa"/>
          </w:tcPr>
          <w:p w14:paraId="0BCF710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GV-5.2.1</w:t>
            </w:r>
          </w:p>
        </w:tc>
        <w:tc>
          <w:tcPr>
            <w:tcW w:w="2160" w:type="dxa"/>
          </w:tcPr>
          <w:p w14:paraId="302F617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Stakeholder Engagement Processes in Development and Deployment</w:t>
            </w:r>
          </w:p>
        </w:tc>
        <w:tc>
          <w:tcPr>
            <w:tcW w:w="6740" w:type="dxa"/>
          </w:tcPr>
          <w:p w14:paraId="24BC241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establishes clear processes and channels for AI development and deployment teams to regularly engage with relevant AI stakeholders (e.g., end-users, subject matter experts, impacted communities). These interactions involve gathering feedback through various methods (e.g., surveys, interviews, focus groups, workshops), fostering an inclusive and collaborative environment.</w:t>
            </w:r>
          </w:p>
          <w:p w14:paraId="60C0A5B2" w14:textId="77777777" w:rsidR="00963E47" w:rsidRPr="00963E47" w:rsidRDefault="00963E47" w:rsidP="004C3837">
            <w:pPr>
              <w:keepNext/>
              <w:rPr>
                <w:rFonts w:ascii="Aptos" w:hAnsi="Aptos" w:cs="Times New Roman"/>
                <w:b/>
                <w:bCs/>
                <w:color w:val="000000"/>
                <w:sz w:val="20"/>
                <w:szCs w:val="20"/>
              </w:rPr>
            </w:pPr>
          </w:p>
          <w:p w14:paraId="59A191BA" w14:textId="77777777" w:rsidR="00963E47" w:rsidRPr="00963E47" w:rsidRDefault="00963E47" w:rsidP="004C3837">
            <w:pPr>
              <w:keepNext/>
              <w:rPr>
                <w:rFonts w:ascii="Aptos" w:hAnsi="Aptos" w:cs="Times New Roman"/>
                <w:b/>
                <w:bCs/>
                <w:color w:val="000000"/>
                <w:sz w:val="20"/>
                <w:szCs w:val="20"/>
              </w:rPr>
            </w:pPr>
            <w:hyperlink r:id="rId75" w:anchor="govern-5-2" w:history="1">
              <w:r w:rsidRPr="00963E47">
                <w:rPr>
                  <w:rFonts w:ascii="Aptos" w:hAnsi="Aptos" w:cs="Times New Roman"/>
                  <w:color w:val="000000"/>
                  <w:sz w:val="20"/>
                  <w:szCs w:val="20"/>
                  <w:u w:val="single"/>
                </w:rPr>
                <w:t>Link to NIST AI RMF Playbook</w:t>
              </w:r>
            </w:hyperlink>
          </w:p>
        </w:tc>
      </w:tr>
    </w:tbl>
    <w:p w14:paraId="5D5963E4"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95A0016"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1CC2392A"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0346F1CC" w14:textId="77777777" w:rsidTr="005C00A5">
        <w:trPr>
          <w:tblHeader/>
        </w:trPr>
        <w:tc>
          <w:tcPr>
            <w:tcW w:w="2160" w:type="dxa"/>
            <w:shd w:val="clear" w:color="auto" w:fill="CCDCDC"/>
            <w:vAlign w:val="center"/>
          </w:tcPr>
          <w:p w14:paraId="6217CCAF"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461439E7"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10FE3514"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572F5784" w14:textId="77777777" w:rsidTr="005C00A5">
        <w:tc>
          <w:tcPr>
            <w:tcW w:w="2160" w:type="dxa"/>
            <w:shd w:val="clear" w:color="auto" w:fill="CCDCDC"/>
          </w:tcPr>
          <w:p w14:paraId="53B6D50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281871E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CD6600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3934473" w14:textId="77777777" w:rsidTr="005C00A5">
        <w:tc>
          <w:tcPr>
            <w:tcW w:w="2160" w:type="dxa"/>
            <w:shd w:val="clear" w:color="auto" w:fill="CCDCDC"/>
          </w:tcPr>
          <w:p w14:paraId="4E3D54C5"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21E9E00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444844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have started to establish processes and channels for AI development and deployment teams to engage with relevant AI stakeholders and gather feedback. However, these efforts may be limited, ad-hoc, or not consistently applied across all AI initiatives.</w:t>
            </w:r>
          </w:p>
        </w:tc>
      </w:tr>
      <w:tr w:rsidR="00963E47" w:rsidRPr="00963E47" w14:paraId="551A4036" w14:textId="77777777" w:rsidTr="005C00A5">
        <w:tc>
          <w:tcPr>
            <w:tcW w:w="2160" w:type="dxa"/>
            <w:shd w:val="clear" w:color="auto" w:fill="CCDCDC"/>
          </w:tcPr>
          <w:p w14:paraId="73B5D38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217FF31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49CF97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evolving stage, organizations have established clear processes and channels for AI development and deployment teams to regularly engage with relevant AI stakeholders and gather feedback through </w:t>
            </w:r>
            <w:r w:rsidRPr="00963E47">
              <w:rPr>
                <w:rFonts w:ascii="Aptos" w:hAnsi="Aptos" w:cs="Times New Roman"/>
                <w:noProof/>
                <w:color w:val="auto"/>
                <w:sz w:val="20"/>
                <w:szCs w:val="20"/>
              </w:rPr>
              <w:lastRenderedPageBreak/>
              <w:t>various methods. These interactions foster an inclusive and collaborative environment, although their implementation may not yet be fully consistent across all AI initiatives.</w:t>
            </w:r>
          </w:p>
        </w:tc>
      </w:tr>
      <w:tr w:rsidR="00963E47" w:rsidRPr="00963E47" w14:paraId="05A1A649" w14:textId="77777777" w:rsidTr="005C00A5">
        <w:tc>
          <w:tcPr>
            <w:tcW w:w="2160" w:type="dxa"/>
            <w:shd w:val="clear" w:color="auto" w:fill="CCDCDC"/>
          </w:tcPr>
          <w:p w14:paraId="6B1E417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4: Embedded</w:t>
            </w:r>
          </w:p>
        </w:tc>
        <w:tc>
          <w:tcPr>
            <w:tcW w:w="1350" w:type="dxa"/>
          </w:tcPr>
          <w:p w14:paraId="02C34B8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934475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establish clear processes and channels for AI development and deployment teams to regularly engage with relevant AI stakeholders and gather feedback that is fully integrated into the organization's overall AI development and deployment lifecycle. These interactions are consistently implemented, regularly reviewed and updated based on feedback and best practices, and are supported by robust engagement methodologies, tools, and metrics that track their impact on fostering an inclusive and collaborative environment.</w:t>
            </w:r>
          </w:p>
        </w:tc>
      </w:tr>
    </w:tbl>
    <w:p w14:paraId="2574E230"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72F9F605" w14:textId="77777777" w:rsidTr="005C00A5">
        <w:tc>
          <w:tcPr>
            <w:tcW w:w="2250" w:type="dxa"/>
          </w:tcPr>
          <w:p w14:paraId="1016109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39878A2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1FCC12C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05250038" w14:textId="77777777" w:rsidTr="005C00A5">
        <w:tc>
          <w:tcPr>
            <w:tcW w:w="2250" w:type="dxa"/>
          </w:tcPr>
          <w:p w14:paraId="7A601CD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543E79A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Lack of AI Stakeholder Engagement</w:t>
            </w:r>
          </w:p>
        </w:tc>
        <w:tc>
          <w:tcPr>
            <w:tcW w:w="5300" w:type="dxa"/>
          </w:tcPr>
          <w:p w14:paraId="7BCD117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Processes for engaging AI stakeholders with AI development teams are lacking</w:t>
            </w:r>
          </w:p>
        </w:tc>
      </w:tr>
    </w:tbl>
    <w:p w14:paraId="7786181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E58247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467AF27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5B4C35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clear processes and channels for engagement to enable AI development and deployment teams to regularly incorporate feedback from relevant AI stakeholders. Consider developing policies that support user feedback mechanisms integrated within AI systems, ensuring continuous stakeholder input. Start by identifying the key AI stakeholders who may have valuable insights or be impacted by the AI system, such as end-users, subject matter experts, and impacted communities.</w:t>
      </w:r>
    </w:p>
    <w:p w14:paraId="32B65046"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1732507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 stakeholder engagement plan that outlines the specific methods and channels for gathering feedback from each group, such as surveys, interviews, focus groups, or workshops. Ensure these engagement activities foster an inclusive and collaborative environment where all participants feel comfortable sharing their perspectives and concerns.</w:t>
      </w:r>
    </w:p>
    <w:p w14:paraId="0046BB0F"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482D44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clear processes for documenting and analyzing feedback, and ensure that feedback is regularly communicated to AI development and deployment teams for consideration and integration into system design and implementation. Regularly review and update the stakeholder engagement plan to ensure it remains effective and relevant as the AI system and its impacts evolve over time.</w:t>
      </w:r>
    </w:p>
    <w:p w14:paraId="1A16EA50"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C27AF3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197AAF7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2AB6A3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Formal Engagement Process and Channel Definition</w:t>
      </w:r>
    </w:p>
    <w:p w14:paraId="55157F1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and document standardized processes and designated channels for ongoing engagement with AI stakeholders, including roles, responsibilities, and communication protocols.</w:t>
      </w:r>
    </w:p>
    <w:p w14:paraId="34BA66E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E0AB74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Engagement process flowcharts outlining steps, methods, and responsibilities.</w:t>
      </w:r>
    </w:p>
    <w:p w14:paraId="2C263FA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Approved communication and feedback channels (e.g., dedicated portals, email addresses, forums).</w:t>
      </w:r>
    </w:p>
    <w:p w14:paraId="526535F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engagement plans specifying participation schedules.</w:t>
      </w:r>
    </w:p>
    <w:p w14:paraId="0FD55E4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Roles and responsibilities matrices for team members conducting engagement.</w:t>
      </w:r>
    </w:p>
    <w:p w14:paraId="078F10E2"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68752F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Scheduled and Recurring Engagement Activities</w:t>
      </w:r>
    </w:p>
    <w:p w14:paraId="6086B5A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regular, planned interactions such as surveys, interviews, focus groups, or workshops aligned with project phases and system lifecycle stages.</w:t>
      </w:r>
    </w:p>
    <w:p w14:paraId="2AF3C56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64E8ABF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Engagement calendars and schedules with planned activities.</w:t>
      </w:r>
    </w:p>
    <w:p w14:paraId="4D19779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agendas, workshop reports, or interview summaries.</w:t>
      </w:r>
    </w:p>
    <w:p w14:paraId="650D044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Participant attendance and feedback records.</w:t>
      </w:r>
    </w:p>
    <w:p w14:paraId="3F69719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Follow-up action lists and collaboration logs.</w:t>
      </w:r>
    </w:p>
    <w:p w14:paraId="4B37228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D34F7E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Methods and Tools for Feedback Collection and Analysis</w:t>
      </w:r>
    </w:p>
    <w:p w14:paraId="1418193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multiple, accessible methods and tools tailored to stakeholder needs to collect, document, and analyze feedback effectively.</w:t>
      </w:r>
    </w:p>
    <w:p w14:paraId="7B8D005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B52F8D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forms, survey response databases, or digital form platforms.</w:t>
      </w:r>
    </w:p>
    <w:p w14:paraId="6922792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Transcripts or recordings of focus groups or interviews.</w:t>
      </w:r>
    </w:p>
    <w:p w14:paraId="6A8F780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analysis reports highlighting insights and actionable recommendations.</w:t>
      </w:r>
    </w:p>
    <w:p w14:paraId="1CFDA09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stakeholder input incorporated into development or deployment decision-making.</w:t>
      </w:r>
    </w:p>
    <w:p w14:paraId="4906326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DC8245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Transparent Engagement Practices</w:t>
      </w:r>
    </w:p>
    <w:p w14:paraId="5227A4D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Ensure engagement practices promote multidisciplinary perspectives, and communicate how feedback is considered and integrated.</w:t>
      </w:r>
    </w:p>
    <w:p w14:paraId="55EB36D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BA3266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Engagement summaries showing engagement with impacted communities and expert voices.</w:t>
      </w:r>
    </w:p>
    <w:p w14:paraId="7D04160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Transparent communication materials explaining how feedback influenced design or policies.</w:t>
      </w:r>
    </w:p>
    <w:p w14:paraId="20CDECA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acknowledgment or appreciation communications.</w:t>
      </w:r>
    </w:p>
    <w:p w14:paraId="16FB872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demonstrating consideration of multidisciplinary viewpoints.</w:t>
      </w:r>
    </w:p>
    <w:p w14:paraId="4A7B97A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27621B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Improvement of Engagement Processes</w:t>
      </w:r>
    </w:p>
    <w:p w14:paraId="08F80B8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review and improve engagement methods based on stakeholder feedback, participation levels, and effectiveness metrics to foster ongoing collaboration.</w:t>
      </w:r>
    </w:p>
    <w:p w14:paraId="2EDDF2D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3B8E0B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surveys evaluating engagement effectiveness.</w:t>
      </w:r>
    </w:p>
    <w:p w14:paraId="3691517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Process review reports and improvement plans.</w:t>
      </w:r>
    </w:p>
    <w:p w14:paraId="7FEF0BE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adapting engagement channels or methods based on lessons learned.</w:t>
      </w:r>
    </w:p>
    <w:p w14:paraId="10A93C0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Metrics dashboards tracking stakeholder participation and satisfaction over time.</w:t>
      </w:r>
    </w:p>
    <w:p w14:paraId="47714DA2"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60BC1F4F"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2C0A034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172C6BA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671AA61D" w14:textId="77777777" w:rsidTr="005C00A5">
        <w:tc>
          <w:tcPr>
            <w:tcW w:w="1170" w:type="dxa"/>
          </w:tcPr>
          <w:p w14:paraId="1E2A834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5FFA97E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2BA153D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68C142D0" w14:textId="77777777" w:rsidTr="005C00A5">
        <w:tc>
          <w:tcPr>
            <w:tcW w:w="1170" w:type="dxa"/>
          </w:tcPr>
          <w:p w14:paraId="0463912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GV-5.2.2</w:t>
            </w:r>
          </w:p>
        </w:tc>
        <w:tc>
          <w:tcPr>
            <w:tcW w:w="2160" w:type="dxa"/>
          </w:tcPr>
          <w:p w14:paraId="7AC4979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Feedback Evaluation and Prioritization</w:t>
            </w:r>
          </w:p>
        </w:tc>
        <w:tc>
          <w:tcPr>
            <w:tcW w:w="6740" w:type="dxa"/>
          </w:tcPr>
          <w:p w14:paraId="62F7DFC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AI development team develops criteria and guidelines for evaluating and prioritizing feedback from AI stakeholders, considering source credibility, potential impact on system performance, and alignment with organizational goals and values.</w:t>
            </w:r>
          </w:p>
          <w:p w14:paraId="5A4FEAF8" w14:textId="77777777" w:rsidR="00963E47" w:rsidRPr="00963E47" w:rsidRDefault="00963E47" w:rsidP="004C3837">
            <w:pPr>
              <w:keepNext/>
              <w:rPr>
                <w:rFonts w:ascii="Aptos" w:hAnsi="Aptos" w:cs="Times New Roman"/>
                <w:b/>
                <w:bCs/>
                <w:color w:val="000000"/>
                <w:sz w:val="20"/>
                <w:szCs w:val="20"/>
              </w:rPr>
            </w:pPr>
          </w:p>
          <w:p w14:paraId="46F60F99" w14:textId="77777777" w:rsidR="00963E47" w:rsidRPr="00963E47" w:rsidRDefault="00963E47" w:rsidP="004C3837">
            <w:pPr>
              <w:keepNext/>
              <w:rPr>
                <w:rFonts w:ascii="Aptos" w:hAnsi="Aptos" w:cs="Times New Roman"/>
                <w:b/>
                <w:bCs/>
                <w:color w:val="000000"/>
                <w:sz w:val="20"/>
                <w:szCs w:val="20"/>
              </w:rPr>
            </w:pPr>
            <w:hyperlink r:id="rId76" w:anchor="govern-5-2" w:history="1">
              <w:r w:rsidRPr="00963E47">
                <w:rPr>
                  <w:rFonts w:ascii="Aptos" w:hAnsi="Aptos" w:cs="Times New Roman"/>
                  <w:color w:val="000000"/>
                  <w:sz w:val="20"/>
                  <w:szCs w:val="20"/>
                  <w:u w:val="single"/>
                </w:rPr>
                <w:t>Link to NIST AI RMF Playbook</w:t>
              </w:r>
            </w:hyperlink>
          </w:p>
        </w:tc>
      </w:tr>
    </w:tbl>
    <w:p w14:paraId="592D046C"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F0F7B6D"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7FFED66A"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59F63D6A" w14:textId="77777777" w:rsidTr="005C00A5">
        <w:trPr>
          <w:tblHeader/>
        </w:trPr>
        <w:tc>
          <w:tcPr>
            <w:tcW w:w="2160" w:type="dxa"/>
            <w:shd w:val="clear" w:color="auto" w:fill="CCDCDC"/>
            <w:vAlign w:val="center"/>
          </w:tcPr>
          <w:p w14:paraId="6E74AE32"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0D4BA097"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295C6E0A"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729A1F8D" w14:textId="77777777" w:rsidTr="005C00A5">
        <w:tc>
          <w:tcPr>
            <w:tcW w:w="2160" w:type="dxa"/>
            <w:shd w:val="clear" w:color="auto" w:fill="CCDCDC"/>
          </w:tcPr>
          <w:p w14:paraId="569EE5C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28E2983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7F6D01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1BE3EC23" w14:textId="77777777" w:rsidTr="005C00A5">
        <w:tc>
          <w:tcPr>
            <w:tcW w:w="2160" w:type="dxa"/>
            <w:shd w:val="clear" w:color="auto" w:fill="CCDCDC"/>
          </w:tcPr>
          <w:p w14:paraId="1DB9679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6CC735E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16C1EB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74A2C45" w14:textId="77777777" w:rsidTr="005C00A5">
        <w:tc>
          <w:tcPr>
            <w:tcW w:w="2160" w:type="dxa"/>
            <w:shd w:val="clear" w:color="auto" w:fill="CCDCDC"/>
          </w:tcPr>
          <w:p w14:paraId="11E6CC6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3: Evolving</w:t>
            </w:r>
          </w:p>
        </w:tc>
        <w:tc>
          <w:tcPr>
            <w:tcW w:w="1350" w:type="dxa"/>
          </w:tcPr>
          <w:p w14:paraId="5E3BCB5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6F5304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AI development teams have developed criteria and guidelines for evaluating and prioritizing feedback from AI stakeholders. These criteria and guidelines consider source credibility, potential impact on system performance, and alignment with organizational goals and values, although their application may not yet be fully consistent across all AI initiatives.</w:t>
            </w:r>
          </w:p>
        </w:tc>
      </w:tr>
      <w:tr w:rsidR="00963E47" w:rsidRPr="00963E47" w14:paraId="795A8216" w14:textId="77777777" w:rsidTr="005C00A5">
        <w:tc>
          <w:tcPr>
            <w:tcW w:w="2160" w:type="dxa"/>
            <w:shd w:val="clear" w:color="auto" w:fill="CCDCDC"/>
          </w:tcPr>
          <w:p w14:paraId="7391456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272087D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607191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develop criteria and guidelines for evaluating and prioritizing feedback from AI stakeholders. This is fully integrated into the organization's overall AI development and governance processes. These criteria and guidelines are consistently applied, regularly reviewed and updated based on feedback and best practices, and are supported by robust decision-making frameworks, tools, and metrics that track their impact on incorporating relevant feedback into AI system design and implementation.</w:t>
            </w:r>
          </w:p>
        </w:tc>
      </w:tr>
    </w:tbl>
    <w:p w14:paraId="203D7410"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020DB481" w14:textId="77777777" w:rsidTr="005C00A5">
        <w:tc>
          <w:tcPr>
            <w:tcW w:w="2250" w:type="dxa"/>
          </w:tcPr>
          <w:p w14:paraId="709A5D3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6CF69A7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4B90836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20AA1B63" w14:textId="77777777" w:rsidTr="005C00A5">
        <w:tc>
          <w:tcPr>
            <w:tcW w:w="2250" w:type="dxa"/>
          </w:tcPr>
          <w:p w14:paraId="62D2612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3BE6CA8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Insufficient Feedback Evaluation Criteria</w:t>
            </w:r>
          </w:p>
        </w:tc>
        <w:tc>
          <w:tcPr>
            <w:tcW w:w="5300" w:type="dxa"/>
          </w:tcPr>
          <w:p w14:paraId="1FF54D7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Criteria for evaluating feedback from AI stakeholders are insufficient</w:t>
            </w:r>
          </w:p>
        </w:tc>
      </w:tr>
    </w:tbl>
    <w:p w14:paraId="38E9652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CDB62B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3767BC0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1A4805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criteria and guidelines for evaluating and prioritizing feedback from AI stakeholders. These criteria should consider factors such as the credibility of the feedback source, the potential impact of the feedback on system performance and outcomes, and the alignment of the feedback with organizational goals and values. Support this process with the involvement of functions (e.g., product management or customer success) that can help translate user feedback into prioritized actions for development teams.</w:t>
      </w:r>
    </w:p>
    <w:p w14:paraId="3EDCDE8D"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A52A99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a standardized process for assessing feedback against these criteria, and ensure the process is transparent and consistently applied across all feedback received. Provide training and support to AI development and deployment teams to ensure they are equipped to effectively evaluate and prioritize feedback. Regularly review and update the feedback evaluation criteria and guidelines based on lessons learned and emerging best practices in AI risk management.</w:t>
      </w:r>
    </w:p>
    <w:p w14:paraId="104165BF"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7E8F9F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7FCA980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A3724D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Creation of Feedback Evaluation Criteria and Guidelines</w:t>
      </w:r>
    </w:p>
    <w:p w14:paraId="508C9C3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clear, documented criteria and procedural guidelines for assessing and prioritizing feedback based on source credibility, potential impact, and organizational values.</w:t>
      </w:r>
    </w:p>
    <w:p w14:paraId="3D52344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5ACBED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Formalized evaluation frameworks specifying scoring for source credibility, impact severity, and alignment.</w:t>
      </w:r>
    </w:p>
    <w:p w14:paraId="1F2234A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Decision trees or scoring matrices used to assess feedback urgency and importance.</w:t>
      </w:r>
    </w:p>
    <w:p w14:paraId="7E4A5F0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Policy documents outlining prioritization procedures.</w:t>
      </w:r>
    </w:p>
    <w:p w14:paraId="062D700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Approved guideline manuals for evaluating feedback.</w:t>
      </w:r>
    </w:p>
    <w:p w14:paraId="182EC0F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4AE6F9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Source Credibility Assessment Process</w:t>
      </w:r>
    </w:p>
    <w:p w14:paraId="42FBF13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a process for assessing the credibility and expertise of feedback sources, including verification mechanisms for stakeholders such as users, subject matter experts, and impacted communities.</w:t>
      </w:r>
    </w:p>
    <w:p w14:paraId="56617A0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49387C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Credibility checklists and validation procedures for feedback providers.</w:t>
      </w:r>
    </w:p>
    <w:p w14:paraId="5ACDD03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source verification steps (e.g., stakeholder vetting, credentials review).</w:t>
      </w:r>
    </w:p>
    <w:p w14:paraId="24B8A01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Records of source assessments and scoring.</w:t>
      </w:r>
    </w:p>
    <w:p w14:paraId="59E1BC3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Log of feedback from verified credible sources.</w:t>
      </w:r>
    </w:p>
    <w:p w14:paraId="43FD5B9F"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9B0C8F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Impact and Organizational Alignment Evaluation</w:t>
      </w:r>
    </w:p>
    <w:p w14:paraId="3E1A7C4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criteria to evaluate potential system impact of feedback and its alignment with organizational goals, risk appetite, and values, supporting transparent prioritization decisions.</w:t>
      </w:r>
    </w:p>
    <w:p w14:paraId="191E93C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516EC1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Impact assessment templates linked to feedback scoring.</w:t>
      </w:r>
    </w:p>
    <w:p w14:paraId="1B6B0E5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Alignment checklists measuring consistency with organizational principles.</w:t>
      </w:r>
    </w:p>
    <w:p w14:paraId="7510C72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Decision logs recording assessment outcomes and prioritization rationales.</w:t>
      </w:r>
    </w:p>
    <w:p w14:paraId="1FB46CC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triage reports with impact and alignment scores.</w:t>
      </w:r>
    </w:p>
    <w:p w14:paraId="67BDA08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0C32DA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Feedback Prioritization Workflow</w:t>
      </w:r>
    </w:p>
    <w:p w14:paraId="0ABB7A1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workflow for review, scoring, and ranking feedback items, with designated roles responsible for decision-making, and integrated checkpoints for senior review if needed.</w:t>
      </w:r>
    </w:p>
    <w:p w14:paraId="5547D27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F631B9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Workflow diagrams illustrating feedback review and prioritization steps.</w:t>
      </w:r>
    </w:p>
    <w:p w14:paraId="582563D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or digital logs of prioritization sessions.</w:t>
      </w:r>
    </w:p>
    <w:p w14:paraId="2D73101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Approval records for high-priority feedback addressing critical issues.</w:t>
      </w:r>
    </w:p>
    <w:p w14:paraId="323DCB1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Task management system logs documenting feedback processing.</w:t>
      </w:r>
    </w:p>
    <w:p w14:paraId="07A48DF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EE806F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Review and Improvement of Evaluation Methodology</w:t>
      </w:r>
    </w:p>
    <w:p w14:paraId="365F11D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Periodically review and refine feedback evaluation criteria based on lessons learned, system changes, and organizational priorities, ensuring ongoing relevance and consistency.</w:t>
      </w:r>
    </w:p>
    <w:p w14:paraId="783C00C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0F5C6E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meeting minutes with documented updates to criteria and guidelines.</w:t>
      </w:r>
    </w:p>
    <w:p w14:paraId="5FDD51A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development teams and stakeholders on process effectiveness.</w:t>
      </w:r>
    </w:p>
    <w:p w14:paraId="48917E0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 histories of evaluation frameworks and guidelines.</w:t>
      </w:r>
    </w:p>
    <w:p w14:paraId="109CCC0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Performance metrics illustrating the effectiveness of prioritization outcomes.</w:t>
      </w:r>
    </w:p>
    <w:p w14:paraId="6A4B06B2"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5B4CCDAD"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2C7B5F1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13FB7E6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073AACBF" w14:textId="77777777" w:rsidTr="005C00A5">
        <w:tc>
          <w:tcPr>
            <w:tcW w:w="1170" w:type="dxa"/>
          </w:tcPr>
          <w:p w14:paraId="322DCE4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224E3F0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2ED39CF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37A1A9F8" w14:textId="77777777" w:rsidTr="005C00A5">
        <w:tc>
          <w:tcPr>
            <w:tcW w:w="1170" w:type="dxa"/>
          </w:tcPr>
          <w:p w14:paraId="7101C12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GV-5.2.3</w:t>
            </w:r>
          </w:p>
        </w:tc>
        <w:tc>
          <w:tcPr>
            <w:tcW w:w="2160" w:type="dxa"/>
          </w:tcPr>
          <w:p w14:paraId="6B5BBD9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Feedback Conflict Resolution</w:t>
            </w:r>
          </w:p>
        </w:tc>
        <w:tc>
          <w:tcPr>
            <w:tcW w:w="6740" w:type="dxa"/>
          </w:tcPr>
          <w:p w14:paraId="39866F7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establishes a transparent, fair, and accountable process for adjudicating and resolving conflicting feedback from AI stakeholders, which includes evaluating the merits of feedback, considering trade-offs, and engaging in constructive dialogue.</w:t>
            </w:r>
          </w:p>
          <w:p w14:paraId="756F78C1" w14:textId="77777777" w:rsidR="00963E47" w:rsidRPr="00963E47" w:rsidRDefault="00963E47" w:rsidP="004C3837">
            <w:pPr>
              <w:keepNext/>
              <w:rPr>
                <w:rFonts w:ascii="Aptos" w:hAnsi="Aptos" w:cs="Times New Roman"/>
                <w:b/>
                <w:bCs/>
                <w:color w:val="000000"/>
                <w:sz w:val="20"/>
                <w:szCs w:val="20"/>
              </w:rPr>
            </w:pPr>
          </w:p>
          <w:p w14:paraId="5078715C" w14:textId="77777777" w:rsidR="00963E47" w:rsidRPr="00963E47" w:rsidRDefault="00963E47" w:rsidP="004C3837">
            <w:pPr>
              <w:keepNext/>
              <w:rPr>
                <w:rFonts w:ascii="Aptos" w:hAnsi="Aptos" w:cs="Times New Roman"/>
                <w:b/>
                <w:bCs/>
                <w:color w:val="000000"/>
                <w:sz w:val="20"/>
                <w:szCs w:val="20"/>
              </w:rPr>
            </w:pPr>
            <w:hyperlink r:id="rId77" w:anchor="govern-5-2" w:history="1">
              <w:r w:rsidRPr="00963E47">
                <w:rPr>
                  <w:rFonts w:ascii="Aptos" w:hAnsi="Aptos" w:cs="Times New Roman"/>
                  <w:color w:val="000000"/>
                  <w:sz w:val="20"/>
                  <w:szCs w:val="20"/>
                  <w:u w:val="single"/>
                </w:rPr>
                <w:t>Link to NIST AI RMF Playbook</w:t>
              </w:r>
            </w:hyperlink>
          </w:p>
        </w:tc>
      </w:tr>
    </w:tbl>
    <w:p w14:paraId="500256E0"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4CBA9AB"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1438B3E1"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0AF3925D" w14:textId="77777777" w:rsidTr="005C00A5">
        <w:trPr>
          <w:tblHeader/>
        </w:trPr>
        <w:tc>
          <w:tcPr>
            <w:tcW w:w="2160" w:type="dxa"/>
            <w:shd w:val="clear" w:color="auto" w:fill="CCDCDC"/>
            <w:vAlign w:val="center"/>
          </w:tcPr>
          <w:p w14:paraId="5E597F66"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2A7962E5"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0DD3A1D1"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36CC6762" w14:textId="77777777" w:rsidTr="005C00A5">
        <w:tc>
          <w:tcPr>
            <w:tcW w:w="2160" w:type="dxa"/>
            <w:shd w:val="clear" w:color="auto" w:fill="CCDCDC"/>
          </w:tcPr>
          <w:p w14:paraId="3D42BF8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44BB157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5832FAC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B50E223" w14:textId="77777777" w:rsidTr="005C00A5">
        <w:tc>
          <w:tcPr>
            <w:tcW w:w="2160" w:type="dxa"/>
            <w:shd w:val="clear" w:color="auto" w:fill="CCDCDC"/>
          </w:tcPr>
          <w:p w14:paraId="5AA6FD6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5355553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0BB2897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4FEA2872" w14:textId="77777777" w:rsidTr="005C00A5">
        <w:tc>
          <w:tcPr>
            <w:tcW w:w="2160" w:type="dxa"/>
            <w:shd w:val="clear" w:color="auto" w:fill="CCDCDC"/>
          </w:tcPr>
          <w:p w14:paraId="49004A3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2B2C9A6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92BC9D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evolving stage, organizations have established a process for adjudicating and resolving conflicting feedback from AI stakeholders. This process is designed to be transparent, fair, and accountable, and includes evaluating the merits of feedback, considering trade-offs, and </w:t>
            </w:r>
            <w:r w:rsidRPr="00963E47">
              <w:rPr>
                <w:rFonts w:ascii="Aptos" w:hAnsi="Aptos" w:cs="Times New Roman"/>
                <w:noProof/>
                <w:color w:val="auto"/>
                <w:sz w:val="20"/>
                <w:szCs w:val="20"/>
              </w:rPr>
              <w:lastRenderedPageBreak/>
              <w:t>engaging in constructive dialogue, although its implementation may not yet be fully consistent across all AI initiatives.</w:t>
            </w:r>
          </w:p>
        </w:tc>
      </w:tr>
      <w:tr w:rsidR="00963E47" w:rsidRPr="00963E47" w14:paraId="12E798C2" w14:textId="77777777" w:rsidTr="005C00A5">
        <w:tc>
          <w:tcPr>
            <w:tcW w:w="2160" w:type="dxa"/>
            <w:shd w:val="clear" w:color="auto" w:fill="CCDCDC"/>
          </w:tcPr>
          <w:p w14:paraId="651E8F3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4: Embedded</w:t>
            </w:r>
          </w:p>
        </w:tc>
        <w:tc>
          <w:tcPr>
            <w:tcW w:w="1350" w:type="dxa"/>
          </w:tcPr>
          <w:p w14:paraId="6069A0E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F4E88E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establish a transparent, fair, and accountable process for adjudicating and resolving conflicting feedback from AI stakeholders that is fully integrated into the organization's overall AI governance and decision-making frameworks. This process is consistently implemented, regularly reviewed and updated based on feedback and best practices, and is supported by robust conflict resolution methodologies, tools, and metrics that track its impact on promoting constructive dialogue and balanced decision-making.</w:t>
            </w:r>
          </w:p>
        </w:tc>
      </w:tr>
    </w:tbl>
    <w:p w14:paraId="59DC07D7"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038ADB9D" w14:textId="77777777" w:rsidTr="005C00A5">
        <w:tc>
          <w:tcPr>
            <w:tcW w:w="2250" w:type="dxa"/>
          </w:tcPr>
          <w:p w14:paraId="6925BA3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6766AF0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69552C2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7565E3B0" w14:textId="77777777" w:rsidTr="005C00A5">
        <w:tc>
          <w:tcPr>
            <w:tcW w:w="2250" w:type="dxa"/>
          </w:tcPr>
          <w:p w14:paraId="0117BF8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071C297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Inadequate Adjudication Processes</w:t>
            </w:r>
          </w:p>
        </w:tc>
        <w:tc>
          <w:tcPr>
            <w:tcW w:w="5300" w:type="dxa"/>
          </w:tcPr>
          <w:p w14:paraId="5E6F784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Transparent and accountable adjudication processes for resolving conflicting feedback are inadequate</w:t>
            </w:r>
          </w:p>
        </w:tc>
      </w:tr>
    </w:tbl>
    <w:p w14:paraId="60DCDFC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480E30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2F925D4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D126A6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a transparent, fair, and accountable process for adjudicating and resolving conflicting feedback from AI stakeholders. This process should involve carefully evaluating the merits of each piece of feedback, considering the potential trade-offs and impacts of different courses of action, and engaging in constructive dialogue with relevant stakeholders to find mutually acceptable solutions.</w:t>
      </w:r>
    </w:p>
    <w:p w14:paraId="6688CEED"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29774E5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Ensure the adjudication process is well-documented and that decisions are clearly communicated to all relevant parties. Establish an appeals process to allow stakeholders to challenge decisions that they believe are unfair or not well justified. Regularly review and update the adjudication process based on feedback from stakeholders and lessons learned from past cases.</w:t>
      </w:r>
    </w:p>
    <w:p w14:paraId="61042256"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6A61DD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5DD306A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3B3678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Formal Feedback Conflict Resolution Policy</w:t>
      </w:r>
    </w:p>
    <w:p w14:paraId="1497494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and document a clear policy describing steps, criteria, roles, and responsibilities for evaluating conflicting feedback, ensuring impartiality and transparency.</w:t>
      </w:r>
    </w:p>
    <w:p w14:paraId="0AE2510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74C450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Approved conflict resolution procedures outlining evaluation and engagement steps.</w:t>
      </w:r>
    </w:p>
    <w:p w14:paraId="3400E73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Defined criteria for assessing feedback merits, relevance, and source credibility.</w:t>
      </w:r>
    </w:p>
    <w:p w14:paraId="21B2583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Roles assigned for conflict adjudication and decision-making.</w:t>
      </w:r>
    </w:p>
    <w:p w14:paraId="51EECA6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Policy dissemination and acknowledgment records.</w:t>
      </w:r>
    </w:p>
    <w:p w14:paraId="50D8F4B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E30FC0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Structured Evaluation and Trade-off Analysis Process</w:t>
      </w:r>
    </w:p>
    <w:p w14:paraId="28407EF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process for systematically evaluating the competing feedback based on merit, impact, risk, and organizational values, with documented trade-off considerations.</w:t>
      </w:r>
    </w:p>
    <w:p w14:paraId="4D52AF7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821CF0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Evaluation worksheets and scoring matrices demonstrating merit assessment.</w:t>
      </w:r>
    </w:p>
    <w:p w14:paraId="441124B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discussions on trade-offs and prioritization rationale.</w:t>
      </w:r>
    </w:p>
    <w:p w14:paraId="60BAC8E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Impact analysis reports supporting resolution decisions.</w:t>
      </w:r>
    </w:p>
    <w:p w14:paraId="78BA8E9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or decision logs capturing deliberation outcomes.</w:t>
      </w:r>
    </w:p>
    <w:p w14:paraId="27FC87E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DF57A9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Constructive Dialogue and Engagement Mechanisms</w:t>
      </w:r>
    </w:p>
    <w:p w14:paraId="6D6BA62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mechanisms such as moderated forums, workshops, or advisory panels for stakeholders to engage in dialogue, explain perspectives, and contribute to consensus-building.</w:t>
      </w:r>
    </w:p>
    <w:p w14:paraId="55D1F6B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2F2AE8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records, workshop agendas, and discussion summaries.</w:t>
      </w:r>
    </w:p>
    <w:p w14:paraId="631D9DD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stakeholder inputs and responses.</w:t>
      </w:r>
    </w:p>
    <w:p w14:paraId="023E5C8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logs showing dialogue history and resolutions.</w:t>
      </w:r>
    </w:p>
    <w:p w14:paraId="2D70DC8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facilitation and moderation activities.</w:t>
      </w:r>
    </w:p>
    <w:p w14:paraId="5DC8B19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7528F9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Transparent Decision Documentation and Accountability</w:t>
      </w:r>
    </w:p>
    <w:p w14:paraId="355BF04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records of decision-making, including assessments, trade-offs, and appeals, ensuring accountability and traceability of the adjudication process.</w:t>
      </w:r>
    </w:p>
    <w:p w14:paraId="231E561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DD8CEC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Decision logs or reports detailing feedback evaluations and resolutions.</w:t>
      </w:r>
    </w:p>
    <w:p w14:paraId="6182554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appeals or challenges and their outcomes.</w:t>
      </w:r>
    </w:p>
    <w:p w14:paraId="600E779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Policy or process documents with roles, escalation paths, and review timelines.</w:t>
      </w:r>
    </w:p>
    <w:p w14:paraId="260E737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trail of documentation updates and approvals.</w:t>
      </w:r>
    </w:p>
    <w:p w14:paraId="137031A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22DF84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Improvement and Periodic Review of Process</w:t>
      </w:r>
    </w:p>
    <w:p w14:paraId="489AE4D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review and refine the conflict resolution process based on feedback outcomes, stakeholder satisfaction, and evolving organizational values and standards.</w:t>
      </w:r>
    </w:p>
    <w:p w14:paraId="794990D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645D98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reports with lessons learned and process enhancement recommendations.</w:t>
      </w:r>
    </w:p>
    <w:p w14:paraId="10B5DE3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satisfaction surveys on the fairness and transparency of the process.</w:t>
      </w:r>
    </w:p>
    <w:p w14:paraId="2C1BA2B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policies reflecting improvements.</w:t>
      </w:r>
    </w:p>
    <w:p w14:paraId="3B3E87D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Implementation records of process updates and staff training.</w:t>
      </w:r>
    </w:p>
    <w:p w14:paraId="68EF48BB"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3EC61C27"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5132E56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2898579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4B67B477" w14:textId="77777777" w:rsidTr="005C00A5">
        <w:tc>
          <w:tcPr>
            <w:tcW w:w="1170" w:type="dxa"/>
          </w:tcPr>
          <w:p w14:paraId="7765499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03C625B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63A1A5E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3291CEF9" w14:textId="77777777" w:rsidTr="005C00A5">
        <w:tc>
          <w:tcPr>
            <w:tcW w:w="1170" w:type="dxa"/>
          </w:tcPr>
          <w:p w14:paraId="64830F9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GV-5.2.4</w:t>
            </w:r>
          </w:p>
        </w:tc>
        <w:tc>
          <w:tcPr>
            <w:tcW w:w="2160" w:type="dxa"/>
          </w:tcPr>
          <w:p w14:paraId="12FB312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Impact Assessments with Stakeholder Input</w:t>
            </w:r>
          </w:p>
        </w:tc>
        <w:tc>
          <w:tcPr>
            <w:tcW w:w="6740" w:type="dxa"/>
          </w:tcPr>
          <w:p w14:paraId="4999C90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development and deployment teams conduct impact assessments that incorporate external stakeholder feedback, often mediated through user-facing functions (e.g., product management or customer success), and other relevant data to understand potential impacts. Assessment results inform AI system design and deployment decisions, helping to proactively identify and mitigate risks. Teams ensure that feedback collected and processed through these functions is documented and integrated throughout the system lifecycle.</w:t>
            </w:r>
          </w:p>
          <w:p w14:paraId="2BC241A0" w14:textId="77777777" w:rsidR="00963E47" w:rsidRPr="00963E47" w:rsidRDefault="00963E47" w:rsidP="004C3837">
            <w:pPr>
              <w:keepNext/>
              <w:rPr>
                <w:rFonts w:ascii="Aptos" w:hAnsi="Aptos" w:cs="Times New Roman"/>
                <w:b/>
                <w:bCs/>
                <w:color w:val="000000"/>
                <w:sz w:val="20"/>
                <w:szCs w:val="20"/>
              </w:rPr>
            </w:pPr>
          </w:p>
          <w:p w14:paraId="565C6B6B" w14:textId="77777777" w:rsidR="00963E47" w:rsidRPr="00963E47" w:rsidRDefault="00963E47" w:rsidP="004C3837">
            <w:pPr>
              <w:keepNext/>
              <w:rPr>
                <w:rFonts w:ascii="Aptos" w:hAnsi="Aptos" w:cs="Times New Roman"/>
                <w:b/>
                <w:bCs/>
                <w:color w:val="000000"/>
                <w:sz w:val="20"/>
                <w:szCs w:val="20"/>
              </w:rPr>
            </w:pPr>
            <w:hyperlink r:id="rId78" w:anchor="govern-5-2" w:history="1">
              <w:r w:rsidRPr="00963E47">
                <w:rPr>
                  <w:rFonts w:ascii="Aptos" w:hAnsi="Aptos" w:cs="Times New Roman"/>
                  <w:color w:val="000000"/>
                  <w:sz w:val="20"/>
                  <w:szCs w:val="20"/>
                  <w:u w:val="single"/>
                </w:rPr>
                <w:t>Link to NIST AI RMF Playbook</w:t>
              </w:r>
            </w:hyperlink>
          </w:p>
        </w:tc>
      </w:tr>
    </w:tbl>
    <w:p w14:paraId="1EBDFDE7"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9C2396B"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2B21A80C"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64CF1AED" w14:textId="77777777" w:rsidTr="005C00A5">
        <w:trPr>
          <w:tblHeader/>
        </w:trPr>
        <w:tc>
          <w:tcPr>
            <w:tcW w:w="2160" w:type="dxa"/>
            <w:shd w:val="clear" w:color="auto" w:fill="CCDCDC"/>
            <w:vAlign w:val="center"/>
          </w:tcPr>
          <w:p w14:paraId="453896AC"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26F914CF"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3CA01840"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389E1ABC" w14:textId="77777777" w:rsidTr="005C00A5">
        <w:tc>
          <w:tcPr>
            <w:tcW w:w="2160" w:type="dxa"/>
            <w:shd w:val="clear" w:color="auto" w:fill="CCDCDC"/>
          </w:tcPr>
          <w:p w14:paraId="7848E17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1EFE9D9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8F0CAB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34685C1A" w14:textId="77777777" w:rsidTr="005C00A5">
        <w:tc>
          <w:tcPr>
            <w:tcW w:w="2160" w:type="dxa"/>
            <w:shd w:val="clear" w:color="auto" w:fill="CCDCDC"/>
          </w:tcPr>
          <w:p w14:paraId="24747DF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2411DE4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5C89FAD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3D78547" w14:textId="77777777" w:rsidTr="005C00A5">
        <w:tc>
          <w:tcPr>
            <w:tcW w:w="2160" w:type="dxa"/>
            <w:shd w:val="clear" w:color="auto" w:fill="CCDCDC"/>
          </w:tcPr>
          <w:p w14:paraId="22A2170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3F5B441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B50BFB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6790E027" w14:textId="77777777" w:rsidTr="005C00A5">
        <w:tc>
          <w:tcPr>
            <w:tcW w:w="2160" w:type="dxa"/>
            <w:shd w:val="clear" w:color="auto" w:fill="CCDCDC"/>
          </w:tcPr>
          <w:p w14:paraId="0E20DEA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1E0B12D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9DEE8A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embedded stage, organizations conduct impact assessments that incorporate external stakeholder feedback and using the results </w:t>
            </w:r>
            <w:r w:rsidRPr="00963E47">
              <w:rPr>
                <w:rFonts w:ascii="Aptos" w:hAnsi="Aptos" w:cs="Times New Roman"/>
                <w:noProof/>
                <w:color w:val="auto"/>
                <w:sz w:val="20"/>
                <w:szCs w:val="20"/>
              </w:rPr>
              <w:lastRenderedPageBreak/>
              <w:t>to inform AI system design and deployment decisions, which is fully integrated into the organization's overall AI development and deployment lifecycle. These practices are consistently implemented, regularly reviewed and updated based on feedback and best practices, and are supported by robust impact assessment methodologies, documentation standards, and metrics that track their effectiveness in proactively identifying and mitigating risks.</w:t>
            </w:r>
          </w:p>
        </w:tc>
      </w:tr>
    </w:tbl>
    <w:p w14:paraId="3BF437EC"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50FF810B" w14:textId="77777777" w:rsidTr="005C00A5">
        <w:tc>
          <w:tcPr>
            <w:tcW w:w="2250" w:type="dxa"/>
          </w:tcPr>
          <w:p w14:paraId="231226F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0A6D772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247FAC3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3A0EDD41" w14:textId="77777777" w:rsidTr="005C00A5">
        <w:tc>
          <w:tcPr>
            <w:tcW w:w="2250" w:type="dxa"/>
          </w:tcPr>
          <w:p w14:paraId="7506578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0F58389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Unincorporated Stakeholder Feedback</w:t>
            </w:r>
          </w:p>
        </w:tc>
        <w:tc>
          <w:tcPr>
            <w:tcW w:w="5300" w:type="dxa"/>
          </w:tcPr>
          <w:p w14:paraId="468010B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External stakeholder feedback is not incorporated into impact assessments</w:t>
            </w:r>
          </w:p>
        </w:tc>
      </w:tr>
    </w:tbl>
    <w:p w14:paraId="674AE21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ED0D0F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6BED858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229225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Conduct impact assessments that incorporate external stakeholder feedback, often mediated through user-facing functions (e.g., product management or customer success), and other relevant data to understand the potential impacts of AI systems. These assessments should consider a wide range of potential impacts, including privacy, security, fairness, transparency, and accountability.</w:t>
      </w:r>
    </w:p>
    <w:p w14:paraId="4F16BBAB"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62A701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Ensure the assessment process is well-documented and that the results are communicated to all relevant stakeholders. Use the results of the impact assessments to inform AI system design and deployment decisions, and proactively address and mitigate identified risks. Maintain documentation of how feedback has been integrated into system design throughout the system lifecycle, and regularly review and update this documentation as the system evolves.</w:t>
      </w:r>
    </w:p>
    <w:p w14:paraId="151A8AC2"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649DFA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4B153BA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89EE59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Stakeholder Feedback Integration in Impact Assessments</w:t>
      </w:r>
    </w:p>
    <w:p w14:paraId="52DA9CD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processes for systematically collecting, evaluating, and incorporating feedback from external stakeholders, including users, communities, and subject matter experts, into impact assessments.</w:t>
      </w:r>
    </w:p>
    <w:p w14:paraId="27C076F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D9FDF4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Impact assessment templates including stakeholder feedback inputs.</w:t>
      </w:r>
    </w:p>
    <w:p w14:paraId="19459DE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feedback collection via surveys, interviews, or focus groups.</w:t>
      </w:r>
    </w:p>
    <w:p w14:paraId="1EC885F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Evaluation reports demonstrating how feedback influenced design or deployment decisions.</w:t>
      </w:r>
    </w:p>
    <w:p w14:paraId="0DC7E15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stakeholder engagement activities linked to assessment outcomes.</w:t>
      </w:r>
    </w:p>
    <w:p w14:paraId="481BCE0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DBC723B"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Mediation Through User-Facing Functions and Data Sources</w:t>
      </w:r>
    </w:p>
    <w:p w14:paraId="7177336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existing user-facing functions (e.g., product management, customer success) and relevant data sources to gather, document, and analyze external feedback regarding impacts.</w:t>
      </w:r>
    </w:p>
    <w:p w14:paraId="04FBB48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749B59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Logs of feedback received via support channels, product updates, or user surveys.</w:t>
      </w:r>
    </w:p>
    <w:p w14:paraId="71C79F0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feedback discussions in product management or user engagement meetings.</w:t>
      </w:r>
    </w:p>
    <w:p w14:paraId="122C5BC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linking feedback to impact assessment reports.</w:t>
      </w:r>
    </w:p>
    <w:p w14:paraId="4AC8EC5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Systematic tracking of issues raised and their resolution statuses.</w:t>
      </w:r>
    </w:p>
    <w:p w14:paraId="191F3DF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E98F25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Impact Assessment Methodology and Decision-Making</w:t>
      </w:r>
    </w:p>
    <w:p w14:paraId="2C95C3A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and implement methodologies that integrate feedback and data into impact assessments, influencing design, risk mitigation, and deployment strategies.</w:t>
      </w:r>
    </w:p>
    <w:p w14:paraId="087ED10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425D5B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Formal impact assessment procedures referencing stakeholder feedback.</w:t>
      </w:r>
    </w:p>
    <w:p w14:paraId="3A84444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Impact analysis reports with documented feedback incorporation.</w:t>
      </w:r>
    </w:p>
    <w:p w14:paraId="7F3BB16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Decision logs linked to assessment findings, including mitigations and trade-offs.</w:t>
      </w:r>
    </w:p>
    <w:p w14:paraId="3012A2C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and approval records from cross-functional review boards.</w:t>
      </w:r>
    </w:p>
    <w:p w14:paraId="55FC643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E9D98B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Traceability, and Lifecycle Integration</w:t>
      </w:r>
    </w:p>
    <w:p w14:paraId="0EF7FB7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comprehensive documentation capturing feedback, assessment outcomes, design adjustments, and mitigation actions across the AI system lifecycle.</w:t>
      </w:r>
    </w:p>
    <w:p w14:paraId="5A78034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922102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impact assessment and feedback records.</w:t>
      </w:r>
    </w:p>
    <w:p w14:paraId="3AD2C12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linking feedback to specific system modifications.</w:t>
      </w:r>
    </w:p>
    <w:p w14:paraId="42498B6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Lifecycle documentation demonstrating ongoing impact considerations.</w:t>
      </w:r>
    </w:p>
    <w:p w14:paraId="1A74CC4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trails showing stakeholder feedback influence over time.</w:t>
      </w:r>
    </w:p>
    <w:p w14:paraId="0DCD7093"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D64746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Monitoring and Feedback Loop for Improvement</w:t>
      </w:r>
    </w:p>
    <w:p w14:paraId="31D21AF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review collected feedback and assessment processes, updating practices to improve stakeholder engagement, impact understanding, and risk mitigation in line with evolving expectations.</w:t>
      </w:r>
    </w:p>
    <w:p w14:paraId="64621CA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2F1E3C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review reports highlighting lessons learned.</w:t>
      </w:r>
    </w:p>
    <w:p w14:paraId="34BAEF4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Process review schedules and improvement action plans.</w:t>
      </w:r>
    </w:p>
    <w:p w14:paraId="0279546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satisfaction surveys regarding feedback engagement.</w:t>
      </w:r>
    </w:p>
    <w:p w14:paraId="03A89BD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Updates to impact assessment methodologies based on review insights.</w:t>
      </w:r>
    </w:p>
    <w:p w14:paraId="766F2A19"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21AEEB40"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4E83A94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2C01D70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21EB1CC3" w14:textId="77777777" w:rsidTr="005C00A5">
        <w:tc>
          <w:tcPr>
            <w:tcW w:w="1170" w:type="dxa"/>
          </w:tcPr>
          <w:p w14:paraId="5DA2A69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43DCFB0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0F96A95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55A22154" w14:textId="77777777" w:rsidTr="005C00A5">
        <w:tc>
          <w:tcPr>
            <w:tcW w:w="1170" w:type="dxa"/>
          </w:tcPr>
          <w:p w14:paraId="53BB3A7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GV-5.2.5</w:t>
            </w:r>
          </w:p>
        </w:tc>
        <w:tc>
          <w:tcPr>
            <w:tcW w:w="2160" w:type="dxa"/>
          </w:tcPr>
          <w:p w14:paraId="50BF722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Stakeholder Feedback Education and Transparency</w:t>
            </w:r>
          </w:p>
        </w:tc>
        <w:tc>
          <w:tcPr>
            <w:tcW w:w="6740" w:type="dxa"/>
          </w:tcPr>
          <w:p w14:paraId="5B8A0F9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educates stakeholders on effectively submitting feedback, communicates the process for how feedback is handled, and regularly informs them about how their feedback has been incorporated into AI system design and implementation (e.g., via reports, case studies, public forums), thereby promoting transparency, trust, and demonstrating its commitment to responsible AI development and deployment.</w:t>
            </w:r>
          </w:p>
          <w:p w14:paraId="5A85D9A4" w14:textId="77777777" w:rsidR="00963E47" w:rsidRPr="00963E47" w:rsidRDefault="00963E47" w:rsidP="004C3837">
            <w:pPr>
              <w:keepNext/>
              <w:rPr>
                <w:rFonts w:ascii="Aptos" w:hAnsi="Aptos" w:cs="Times New Roman"/>
                <w:b/>
                <w:bCs/>
                <w:color w:val="000000"/>
                <w:sz w:val="20"/>
                <w:szCs w:val="20"/>
              </w:rPr>
            </w:pPr>
          </w:p>
          <w:p w14:paraId="5BFB6016" w14:textId="77777777" w:rsidR="00963E47" w:rsidRPr="00963E47" w:rsidRDefault="00963E47" w:rsidP="004C3837">
            <w:pPr>
              <w:keepNext/>
              <w:rPr>
                <w:rFonts w:ascii="Aptos" w:hAnsi="Aptos" w:cs="Times New Roman"/>
                <w:b/>
                <w:bCs/>
                <w:color w:val="000000"/>
                <w:sz w:val="20"/>
                <w:szCs w:val="20"/>
              </w:rPr>
            </w:pPr>
            <w:hyperlink r:id="rId79" w:anchor="govern-5-2" w:history="1">
              <w:r w:rsidRPr="00963E47">
                <w:rPr>
                  <w:rFonts w:ascii="Aptos" w:hAnsi="Aptos" w:cs="Times New Roman"/>
                  <w:color w:val="000000"/>
                  <w:sz w:val="20"/>
                  <w:szCs w:val="20"/>
                  <w:u w:val="single"/>
                </w:rPr>
                <w:t>Link to NIST AI RMF Playbook</w:t>
              </w:r>
            </w:hyperlink>
          </w:p>
        </w:tc>
      </w:tr>
    </w:tbl>
    <w:p w14:paraId="47E57E97"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A362FFC"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1BDBBB2E"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030049A9" w14:textId="77777777" w:rsidTr="005C00A5">
        <w:trPr>
          <w:tblHeader/>
        </w:trPr>
        <w:tc>
          <w:tcPr>
            <w:tcW w:w="2160" w:type="dxa"/>
            <w:shd w:val="clear" w:color="auto" w:fill="CCDCDC"/>
            <w:vAlign w:val="center"/>
          </w:tcPr>
          <w:p w14:paraId="57A88503"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7703B1DB"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63CB22BB"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5726F5DF" w14:textId="77777777" w:rsidTr="005C00A5">
        <w:tc>
          <w:tcPr>
            <w:tcW w:w="2160" w:type="dxa"/>
            <w:shd w:val="clear" w:color="auto" w:fill="CCDCDC"/>
          </w:tcPr>
          <w:p w14:paraId="3D16972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26B2C82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3B58E7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1154B35E" w14:textId="77777777" w:rsidTr="005C00A5">
        <w:tc>
          <w:tcPr>
            <w:tcW w:w="2160" w:type="dxa"/>
            <w:shd w:val="clear" w:color="auto" w:fill="CCDCDC"/>
          </w:tcPr>
          <w:p w14:paraId="0CB33DE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535ADB9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5FA67EA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9B59470" w14:textId="77777777" w:rsidTr="005C00A5">
        <w:tc>
          <w:tcPr>
            <w:tcW w:w="2160" w:type="dxa"/>
            <w:shd w:val="clear" w:color="auto" w:fill="CCDCDC"/>
          </w:tcPr>
          <w:p w14:paraId="7971DE8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207403B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DC06A2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educate stakeholders on effectively submitting feedback, communicate how feedback is handled, and regularly inform them about its incorporation into AI system design and implementation through various means (e.g., reports, case studies, public forums). These efforts promote transparency, trust, and demonstrate a commitment to responsible AI, although their implementation may not yet be fully consistent across all AI initiatives.</w:t>
            </w:r>
          </w:p>
        </w:tc>
      </w:tr>
      <w:tr w:rsidR="00963E47" w:rsidRPr="00963E47" w14:paraId="5751B81E" w14:textId="77777777" w:rsidTr="005C00A5">
        <w:tc>
          <w:tcPr>
            <w:tcW w:w="2160" w:type="dxa"/>
            <w:shd w:val="clear" w:color="auto" w:fill="CCDCDC"/>
          </w:tcPr>
          <w:p w14:paraId="460C7BF5"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67FC35C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1A8E47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embedded stage, these practices are fully integrated into the organization's overall stakeholder engagement and communication </w:t>
            </w:r>
            <w:r w:rsidRPr="00963E47">
              <w:rPr>
                <w:rFonts w:ascii="Aptos" w:hAnsi="Aptos" w:cs="Times New Roman"/>
                <w:noProof/>
                <w:color w:val="auto"/>
                <w:sz w:val="20"/>
                <w:szCs w:val="20"/>
              </w:rPr>
              <w:lastRenderedPageBreak/>
              <w:t>strategy. This includes consistent education on feedback submission and communication of its handling and incorporation into AI system design and implementation. These efforts are consistently implemented, regularly reviewed and updated based on feedback and best practices, and are supported by robust educational resources, reporting mechanisms, communication channels, and metrics that track their impact on promoting transparency, trust, and demonstrating commitment to responsible AI.</w:t>
            </w:r>
          </w:p>
        </w:tc>
      </w:tr>
    </w:tbl>
    <w:p w14:paraId="75113FA5"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6166F851" w14:textId="77777777" w:rsidTr="005C00A5">
        <w:tc>
          <w:tcPr>
            <w:tcW w:w="2250" w:type="dxa"/>
          </w:tcPr>
          <w:p w14:paraId="31C39A9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380EAA9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25B30F8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4EFA4536" w14:textId="77777777" w:rsidTr="005C00A5">
        <w:tc>
          <w:tcPr>
            <w:tcW w:w="2250" w:type="dxa"/>
          </w:tcPr>
          <w:p w14:paraId="4651329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340D90C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Inadequate AI Feedback and Transparency</w:t>
            </w:r>
          </w:p>
        </w:tc>
        <w:tc>
          <w:tcPr>
            <w:tcW w:w="5300" w:type="dxa"/>
          </w:tcPr>
          <w:p w14:paraId="07792E8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Stakeholders are uninformed about AI feedback processes and incorporation</w:t>
            </w:r>
          </w:p>
        </w:tc>
      </w:tr>
    </w:tbl>
    <w:p w14:paraId="723DF87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E72C56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240AD85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F1AE4C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Educate stakeholders on how to effectively submit feedback, communicating the clear process for its handling and subsequent incorporation into AI system design and implementation. Develop clear, easily accessible guidelines and templates for feedback submission, providing necessary training and support to ensure stakeholders can effectively articulate their concerns and suggestions.</w:t>
      </w:r>
    </w:p>
    <w:p w14:paraId="55C7E908"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7143B4F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clear communication channels to regularly inform stakeholders about how their feedback has been addressed and incorporated into AI system design and implementation. User-facing functions, such as product management or customer success, should develop and execute communication plans outlining specific methods and channels (e.g., regular reports, case studies, public forums) for sharing these updates. Ensure these communications are clear, concise, accessible to multidisciplinary stakeholders, and highlight specific examples demonstrating the organization's commitment to responsible AI development and deployment.</w:t>
      </w:r>
    </w:p>
    <w:p w14:paraId="4D82587F"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1C89E83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Regularly solicit feedback from stakeholders regarding the effectiveness of both the feedback submission/handling processes and the transparency of communication regarding incorporation. Use this feedback to make continuous improvements to ensure relevance, value, and ongoing stakeholder engagement.</w:t>
      </w:r>
    </w:p>
    <w:p w14:paraId="719E44EB"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FC6DB6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6ADB541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B3591C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Clear Feedback Submission Guidelines</w:t>
      </w:r>
    </w:p>
    <w:p w14:paraId="51266BB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Create accessible, easy-to-understand guidelines detailing how stakeholders can submit their feedback, including points of contact, preferred channels, and types of feedback sought.</w:t>
      </w:r>
    </w:p>
    <w:p w14:paraId="49FF1F0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B56175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Written feedback guidelines published on the organization’s website, portals, or internal portals.</w:t>
      </w:r>
    </w:p>
    <w:p w14:paraId="10C9A57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User-friendly manuals or quick-reference materials explaining submission procedures.</w:t>
      </w:r>
    </w:p>
    <w:p w14:paraId="22DCB52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FAQs addressing common questions about feedback channels.</w:t>
      </w:r>
    </w:p>
    <w:p w14:paraId="081F19A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documents updated over time.</w:t>
      </w:r>
    </w:p>
    <w:p w14:paraId="2C27C5C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CDB404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Stakeholder Education and Outreach Campaigns</w:t>
      </w:r>
    </w:p>
    <w:p w14:paraId="523DCD9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targeted communication campaigns (e.g., webinars, newsletters, workshops) to educate stakeholders about the feedback process, including its importance and benefits.</w:t>
      </w:r>
    </w:p>
    <w:p w14:paraId="280505F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3C325C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Outreach materials, email campaigns, or webinar recordings explaining how and why to submit feedback.</w:t>
      </w:r>
    </w:p>
    <w:p w14:paraId="508D3AF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Participation logs and attendance records for educational sessions.</w:t>
      </w:r>
    </w:p>
    <w:p w14:paraId="551B7F8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Surveys assessing stakeholder understanding and confidence in providing feedback.</w:t>
      </w:r>
    </w:p>
    <w:p w14:paraId="1AF9270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on the clarity of communication efforts.</w:t>
      </w:r>
    </w:p>
    <w:p w14:paraId="635C0DF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D909A5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Transparent Feedback Handling and Use Explanation</w:t>
      </w:r>
    </w:p>
    <w:p w14:paraId="0F7CEA3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Communicate to stakeholders how their feedback is received, evaluated, and incorporated into AI system design and improvements.</w:t>
      </w:r>
    </w:p>
    <w:p w14:paraId="46333E0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6DFE69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Public reports or update newsletters showing feedback summaries and actions taken.</w:t>
      </w:r>
    </w:p>
    <w:p w14:paraId="469E0A5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Systematic response templates or acknowledgment receipts sent to stakeholders.</w:t>
      </w:r>
    </w:p>
    <w:p w14:paraId="37FFA37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feedback review and decision-making processes.</w:t>
      </w:r>
    </w:p>
    <w:p w14:paraId="652FE43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Examples of feedback incorporated into system updates with attribution where appropriate.</w:t>
      </w:r>
    </w:p>
    <w:p w14:paraId="79535B8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DEB882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Ongoing Communication and Feedback Loop Maintenance</w:t>
      </w:r>
    </w:p>
    <w:p w14:paraId="1FD279D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regular channels (e.g., town halls, online portals, updates) to inform stakeholders about ongoing feedback handling, system changes, and new opportunities for input.</w:t>
      </w:r>
    </w:p>
    <w:p w14:paraId="6897E4E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635183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Scheduled updates and communication logs.</w:t>
      </w:r>
    </w:p>
    <w:p w14:paraId="5DEE7C2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from stakeholder forums or feedback review sessions.</w:t>
      </w:r>
    </w:p>
    <w:p w14:paraId="211CAD6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Digital dashboards showing feedback metrics and responses.</w:t>
      </w:r>
    </w:p>
    <w:p w14:paraId="6435BAE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feedback surveys evaluating transparency and responsiveness.</w:t>
      </w:r>
    </w:p>
    <w:p w14:paraId="7C4F683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D5DBFF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Monitoring and Improving Feedback Communication Effectiveness</w:t>
      </w:r>
    </w:p>
    <w:p w14:paraId="609AA41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assess stakeholder understanding and satisfaction regarding feedback processes, making improvements based on insights and changing expectations.</w:t>
      </w:r>
    </w:p>
    <w:p w14:paraId="279546F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4D0584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Satisfaction surveys or evaluations regarding communication clarity.</w:t>
      </w:r>
    </w:p>
    <w:p w14:paraId="67D89BB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stakeholders about their perceived influence and transparency.</w:t>
      </w:r>
    </w:p>
    <w:p w14:paraId="7BDAFDE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reports and action plans for enhancing feedback channels and communications.</w:t>
      </w:r>
    </w:p>
    <w:p w14:paraId="1B4C07E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process revisions driven by stakeholder input.</w:t>
      </w:r>
    </w:p>
    <w:p w14:paraId="4ED8C3C6"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26" w:name="_Toc214874771"/>
      <w:r w:rsidRPr="00963E47">
        <w:rPr>
          <w:rFonts w:ascii="Aptos" w:eastAsia="Aptos" w:hAnsi="Aptos" w:cs="Times New Roman"/>
          <w:b/>
          <w:bCs/>
          <w:noProof/>
          <w:color w:val="35256B"/>
          <w:kern w:val="2"/>
          <w:sz w:val="24"/>
          <w14:ligatures w14:val="standardContextual"/>
        </w:rPr>
        <w:t>GOVERN / Establishing Third-Party Risk Management for the AI System / Establishing Third-Party Risk Management Processes</w:t>
      </w:r>
      <w:bookmarkEnd w:id="26"/>
      <w:r w:rsidRPr="00963E47">
        <w:rPr>
          <w:rFonts w:ascii="Aptos" w:eastAsia="Aptos" w:hAnsi="Aptos" w:cs="Times New Roman"/>
          <w:b/>
          <w:bCs/>
          <w:noProof/>
          <w:color w:val="35256B"/>
          <w:kern w:val="2"/>
          <w:sz w:val="24"/>
          <w14:ligatures w14:val="standardContextual"/>
        </w:rPr>
        <w:t xml:space="preserve"> </w:t>
      </w:r>
    </w:p>
    <w:p w14:paraId="6CDB5101"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34BF778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3059E3C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41DF269A" w14:textId="77777777" w:rsidTr="005C00A5">
        <w:tc>
          <w:tcPr>
            <w:tcW w:w="1170" w:type="dxa"/>
          </w:tcPr>
          <w:p w14:paraId="0384A37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1280A37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6C0CCB4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029F2991" w14:textId="77777777" w:rsidTr="005C00A5">
        <w:tc>
          <w:tcPr>
            <w:tcW w:w="1170" w:type="dxa"/>
          </w:tcPr>
          <w:p w14:paraId="28D8CA9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GV-6.1.1</w:t>
            </w:r>
          </w:p>
        </w:tc>
        <w:tc>
          <w:tcPr>
            <w:tcW w:w="2160" w:type="dxa"/>
          </w:tcPr>
          <w:p w14:paraId="1FE2061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Third-Party AI Evaluation and Selection</w:t>
            </w:r>
          </w:p>
        </w:tc>
        <w:tc>
          <w:tcPr>
            <w:tcW w:w="6740" w:type="dxa"/>
          </w:tcPr>
          <w:p w14:paraId="3D10490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establishes processes for evaluating and selecting third-party AI technologies based on criteria that assess security and privacy implications, integrating AI-specific considerations into third-party procurement planning, due diligence, evaluation, and contracting practices to create alignment with organizational risk management policies.</w:t>
            </w:r>
          </w:p>
          <w:p w14:paraId="34CEF6AD" w14:textId="77777777" w:rsidR="00963E47" w:rsidRPr="00963E47" w:rsidRDefault="00963E47" w:rsidP="004C3837">
            <w:pPr>
              <w:keepNext/>
              <w:rPr>
                <w:rFonts w:ascii="Aptos" w:hAnsi="Aptos" w:cs="Times New Roman"/>
                <w:b/>
                <w:bCs/>
                <w:color w:val="000000"/>
                <w:sz w:val="20"/>
                <w:szCs w:val="20"/>
              </w:rPr>
            </w:pPr>
          </w:p>
          <w:p w14:paraId="02DA0FDC" w14:textId="77777777" w:rsidR="00963E47" w:rsidRPr="00963E47" w:rsidRDefault="00963E47" w:rsidP="004C3837">
            <w:pPr>
              <w:keepNext/>
              <w:rPr>
                <w:rFonts w:ascii="Aptos" w:hAnsi="Aptos" w:cs="Times New Roman"/>
                <w:b/>
                <w:bCs/>
                <w:color w:val="000000"/>
                <w:sz w:val="20"/>
                <w:szCs w:val="20"/>
              </w:rPr>
            </w:pPr>
            <w:hyperlink r:id="rId80" w:anchor="govern-6-1" w:history="1">
              <w:r w:rsidRPr="00963E47">
                <w:rPr>
                  <w:rFonts w:ascii="Aptos" w:hAnsi="Aptos" w:cs="Times New Roman"/>
                  <w:color w:val="000000"/>
                  <w:sz w:val="20"/>
                  <w:szCs w:val="20"/>
                  <w:u w:val="single"/>
                </w:rPr>
                <w:t>Link to NIST AI RMF Playbook</w:t>
              </w:r>
            </w:hyperlink>
          </w:p>
        </w:tc>
      </w:tr>
    </w:tbl>
    <w:p w14:paraId="2F0A4D76"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94A71AB"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77F77C18"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3FA5C4CB" w14:textId="77777777" w:rsidTr="005C00A5">
        <w:trPr>
          <w:tblHeader/>
        </w:trPr>
        <w:tc>
          <w:tcPr>
            <w:tcW w:w="2160" w:type="dxa"/>
            <w:shd w:val="clear" w:color="auto" w:fill="CCDCDC"/>
            <w:vAlign w:val="center"/>
          </w:tcPr>
          <w:p w14:paraId="6C608FCA"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4F7927F3"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75FE80F2"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66F90F95" w14:textId="77777777" w:rsidTr="005C00A5">
        <w:tc>
          <w:tcPr>
            <w:tcW w:w="2160" w:type="dxa"/>
            <w:shd w:val="clear" w:color="auto" w:fill="CCDCDC"/>
          </w:tcPr>
          <w:p w14:paraId="557B636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79A1677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00A520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initial stage, organizations are beginning to identify third-party AI technologies for potential use but lack formal processes for their evaluation. Considerations for security and privacy are largely informal or project-specific, without established criteria or integration into broader organizational risk management policies.</w:t>
            </w:r>
          </w:p>
        </w:tc>
      </w:tr>
      <w:tr w:rsidR="00963E47" w:rsidRPr="00963E47" w14:paraId="051A36B7" w14:textId="77777777" w:rsidTr="005C00A5">
        <w:tc>
          <w:tcPr>
            <w:tcW w:w="2160" w:type="dxa"/>
            <w:shd w:val="clear" w:color="auto" w:fill="CCDCDC"/>
          </w:tcPr>
          <w:p w14:paraId="7BD7C6C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2: Minimal</w:t>
            </w:r>
          </w:p>
        </w:tc>
        <w:tc>
          <w:tcPr>
            <w:tcW w:w="1350" w:type="dxa"/>
          </w:tcPr>
          <w:p w14:paraId="1FF2BA7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DE7EA7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minimal stage establish basic processes for evaluating third-party AI technologies with initial focus on security and privacy considerations, creating a foundational approach to responsible AI procurement that can be expanded and refined over time.</w:t>
            </w:r>
          </w:p>
        </w:tc>
      </w:tr>
      <w:tr w:rsidR="00963E47" w:rsidRPr="00963E47" w14:paraId="1B9F4AD3" w14:textId="77777777" w:rsidTr="005C00A5">
        <w:tc>
          <w:tcPr>
            <w:tcW w:w="2160" w:type="dxa"/>
            <w:shd w:val="clear" w:color="auto" w:fill="CCDCDC"/>
          </w:tcPr>
          <w:p w14:paraId="59B1C46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13C8668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A1325D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develop criteria that incorporate security and privacy  considerations into third-party AI evaluation processes.</w:t>
            </w:r>
          </w:p>
        </w:tc>
      </w:tr>
      <w:tr w:rsidR="00963E47" w:rsidRPr="00963E47" w14:paraId="7DE774E3" w14:textId="77777777" w:rsidTr="005C00A5">
        <w:tc>
          <w:tcPr>
            <w:tcW w:w="2160" w:type="dxa"/>
            <w:shd w:val="clear" w:color="auto" w:fill="CCDCDC"/>
          </w:tcPr>
          <w:p w14:paraId="4906507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124936C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DC7327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have automated, standardized procedures that consistently assess AI vendors and technologies based on these criteria, ensuring alignment with risk management policies and promoting responsible AI adoption, supporting AI Trustworthy Principles.</w:t>
            </w:r>
          </w:p>
        </w:tc>
      </w:tr>
    </w:tbl>
    <w:p w14:paraId="337C261F"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31DE0509" w14:textId="77777777" w:rsidTr="005C00A5">
        <w:tc>
          <w:tcPr>
            <w:tcW w:w="2250" w:type="dxa"/>
          </w:tcPr>
          <w:p w14:paraId="3CCF3E4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759489B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5E7461E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7F3D9F21" w14:textId="77777777" w:rsidTr="005C00A5">
        <w:tc>
          <w:tcPr>
            <w:tcW w:w="2250" w:type="dxa"/>
          </w:tcPr>
          <w:p w14:paraId="2D7403B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56C0187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Insufficient Third-Party Evaluation</w:t>
            </w:r>
          </w:p>
        </w:tc>
        <w:tc>
          <w:tcPr>
            <w:tcW w:w="5300" w:type="dxa"/>
          </w:tcPr>
          <w:p w14:paraId="2278616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Processes for evaluating third-party AI technologies are insufficient or missing</w:t>
            </w:r>
          </w:p>
        </w:tc>
      </w:tr>
    </w:tbl>
    <w:p w14:paraId="7A0EB8B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1D1048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6AA82E0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0FA7AB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Establish clear processes for evaluating and selecting third-party AI technologies to be integrated into the AI system. These processes should be based on a set of criteria that assess the security and privacy implications of each technology, ensuring alignment with the organization's overall risk management policies. </w:t>
      </w:r>
    </w:p>
    <w:p w14:paraId="34438757"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1DABF6E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 standardized evaluation framework that includes a set of questions or requirements that each potential third-party provider must address. Key areas to assess should include data handling practices, model training and testing procedures, and transparency and accountability measures.</w:t>
      </w:r>
    </w:p>
    <w:p w14:paraId="692C2E78"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EFFAC0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Engage internal stakeholders, such as legal, security, and compliance teams, to ensure that the evaluation criteria are comprehensive and align with the organization's values and priorities. Establish a review and approval process for each third-party technology, including documentation of the evaluation results and any identified risks or concerns. Ensure that the selection process is transparent and that relevant stakeholders are involved in the decision-making process, promoting collaboration and informed choices.</w:t>
      </w:r>
    </w:p>
    <w:p w14:paraId="11775ABE"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AE0E87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1142F4F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0BCC2D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a Third-Party AI Evaluation Framework</w:t>
      </w:r>
    </w:p>
    <w:p w14:paraId="748B3F1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Create a formal framework that defines criteria and processes for assessing third-party AI solutions on security and privacy, ensuring comprehensive risk-based evaluation.</w:t>
      </w:r>
    </w:p>
    <w:p w14:paraId="1CFF594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B10B41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Evaluation templates or checklists incorporating AI-specific security and privacy metrics.</w:t>
      </w:r>
    </w:p>
    <w:p w14:paraId="1AD8974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Approval workflows for third-party assessments aligned with risk policies.</w:t>
      </w:r>
    </w:p>
    <w:p w14:paraId="0230C4A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Detailed criteria outlining minimum standards and scoring mechanisms.</w:t>
      </w:r>
    </w:p>
    <w:p w14:paraId="23F6160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evaluation protocols.</w:t>
      </w:r>
    </w:p>
    <w:p w14:paraId="32B8346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FBF622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Due Diligence and Vendor Assessment Processes</w:t>
      </w:r>
    </w:p>
    <w:p w14:paraId="4C25735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thorough due diligence activities, including risk assessments, code reviews, and compliance checks, tailored to AI-specific risks, during vendor evaluation and before procurement.</w:t>
      </w:r>
    </w:p>
    <w:p w14:paraId="53C6D68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E1FDD0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assessment reports for each AI vendor or solution.</w:t>
      </w:r>
    </w:p>
    <w:p w14:paraId="776FC21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Security and privacy compliance documentation review records.</w:t>
      </w:r>
    </w:p>
    <w:p w14:paraId="1575D70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Technical assessments, including model transparency and bias evaluation.</w:t>
      </w:r>
    </w:p>
    <w:p w14:paraId="64C800B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Due diligence checklists with AI-specific questions.</w:t>
      </w:r>
    </w:p>
    <w:p w14:paraId="67D1258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D99A83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Contracting and Risk Mitigation Clauses</w:t>
      </w:r>
    </w:p>
    <w:p w14:paraId="6AD6858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Incorporate contractual clauses addressing security and privacy, assessments, and liability, aligned with organizational policies and standards.</w:t>
      </w:r>
    </w:p>
    <w:p w14:paraId="42CDF73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292E5F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Contract templates with AI-specific risk mitigation provisions.</w:t>
      </w:r>
    </w:p>
    <w:p w14:paraId="088CB91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Signed agreements explicitly covering security, data governance, and responsible use.</w:t>
      </w:r>
    </w:p>
    <w:p w14:paraId="19A4FC6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Auditing and monitoring clauses for ongoing compliance.</w:t>
      </w:r>
    </w:p>
    <w:p w14:paraId="6974920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contract reviews and approvals.</w:t>
      </w:r>
    </w:p>
    <w:p w14:paraId="3811F0E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352AA4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with Organizational Risk Policies and Oversight</w:t>
      </w:r>
    </w:p>
    <w:p w14:paraId="355B24A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Ensure evaluation outcomes inform risk management decisions, with integration into the broader enterprise risk management and oversight frameworks.</w:t>
      </w:r>
    </w:p>
    <w:p w14:paraId="049A2A1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94D346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register entries linking third-party AI solutions with identified issues.</w:t>
      </w:r>
    </w:p>
    <w:p w14:paraId="11E140C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Management approval records for deployment decisions based on evaluated risks.</w:t>
      </w:r>
    </w:p>
    <w:p w14:paraId="097E931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showing alignment between evaluation results and organizational risk appetite.</w:t>
      </w:r>
    </w:p>
    <w:p w14:paraId="57DEBFA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Oversight meeting minutes discussing third-party AI risks.</w:t>
      </w:r>
    </w:p>
    <w:p w14:paraId="176BA77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804376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Monitoring and Reassessment</w:t>
      </w:r>
    </w:p>
    <w:p w14:paraId="74CD521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ongoing monitoring processes for third-party AI solutions, including periodic reassessment of security and privacy, with updates embedded into contract terms.</w:t>
      </w:r>
    </w:p>
    <w:p w14:paraId="03D30BA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272003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schedules and compliance audit reports.</w:t>
      </w:r>
    </w:p>
    <w:p w14:paraId="7A7F514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Post-deployment risk reassessment documentation.</w:t>
      </w:r>
    </w:p>
    <w:p w14:paraId="015E61C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or breach reports linked to third-party AI solutions.</w:t>
      </w:r>
    </w:p>
    <w:p w14:paraId="1CD98CF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evaluation criteria reflecting evolving standards and lessons learned.</w:t>
      </w:r>
    </w:p>
    <w:p w14:paraId="6101EE18"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2217F88F"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0CA73C0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06B777B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7D6950A3" w14:textId="77777777" w:rsidTr="005C00A5">
        <w:tc>
          <w:tcPr>
            <w:tcW w:w="1170" w:type="dxa"/>
          </w:tcPr>
          <w:p w14:paraId="477996A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1E9479D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41127D9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33F6F8DD" w14:textId="77777777" w:rsidTr="005C00A5">
        <w:tc>
          <w:tcPr>
            <w:tcW w:w="1170" w:type="dxa"/>
          </w:tcPr>
          <w:p w14:paraId="4C47794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GV-6.1.2</w:t>
            </w:r>
          </w:p>
        </w:tc>
        <w:tc>
          <w:tcPr>
            <w:tcW w:w="2160" w:type="dxa"/>
          </w:tcPr>
          <w:p w14:paraId="6D052AA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Third-Party System Requirements</w:t>
            </w:r>
          </w:p>
        </w:tc>
        <w:tc>
          <w:tcPr>
            <w:tcW w:w="6740" w:type="dxa"/>
          </w:tcPr>
          <w:p w14:paraId="7A4244E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identifies and documents AI system requirements that may be specific to a third party to inform procurement planning, due diligence, and contracting.</w:t>
            </w:r>
          </w:p>
          <w:p w14:paraId="5B5A0BB0" w14:textId="77777777" w:rsidR="00963E47" w:rsidRPr="00963E47" w:rsidRDefault="00963E47" w:rsidP="004C3837">
            <w:pPr>
              <w:keepNext/>
              <w:rPr>
                <w:rFonts w:ascii="Aptos" w:hAnsi="Aptos" w:cs="Times New Roman"/>
                <w:b/>
                <w:bCs/>
                <w:color w:val="000000"/>
                <w:sz w:val="20"/>
                <w:szCs w:val="20"/>
              </w:rPr>
            </w:pPr>
          </w:p>
          <w:p w14:paraId="287F3A94" w14:textId="77777777" w:rsidR="00963E47" w:rsidRPr="00963E47" w:rsidRDefault="00963E47" w:rsidP="004C3837">
            <w:pPr>
              <w:keepNext/>
              <w:rPr>
                <w:rFonts w:ascii="Aptos" w:hAnsi="Aptos" w:cs="Times New Roman"/>
                <w:b/>
                <w:bCs/>
                <w:color w:val="000000"/>
                <w:sz w:val="20"/>
                <w:szCs w:val="20"/>
              </w:rPr>
            </w:pPr>
            <w:hyperlink r:id="rId81" w:anchor="govern-6-1" w:history="1">
              <w:r w:rsidRPr="00963E47">
                <w:rPr>
                  <w:rFonts w:ascii="Aptos" w:hAnsi="Aptos" w:cs="Times New Roman"/>
                  <w:color w:val="000000"/>
                  <w:sz w:val="20"/>
                  <w:szCs w:val="20"/>
                  <w:u w:val="single"/>
                </w:rPr>
                <w:t>Link to NIST AI RMF Playbook</w:t>
              </w:r>
            </w:hyperlink>
          </w:p>
        </w:tc>
      </w:tr>
    </w:tbl>
    <w:p w14:paraId="24B5F97F"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431545A"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237DEB05"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60263CED" w14:textId="77777777" w:rsidTr="005C00A5">
        <w:trPr>
          <w:tblHeader/>
        </w:trPr>
        <w:tc>
          <w:tcPr>
            <w:tcW w:w="2160" w:type="dxa"/>
            <w:shd w:val="clear" w:color="auto" w:fill="CCDCDC"/>
            <w:vAlign w:val="center"/>
          </w:tcPr>
          <w:p w14:paraId="30ADEF11"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1BB92742"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2923DEC7"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3C1AF508" w14:textId="77777777" w:rsidTr="005C00A5">
        <w:tc>
          <w:tcPr>
            <w:tcW w:w="2160" w:type="dxa"/>
            <w:shd w:val="clear" w:color="auto" w:fill="CCDCDC"/>
          </w:tcPr>
          <w:p w14:paraId="35FC38A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2815148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BC0BCE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896D2C3" w14:textId="77777777" w:rsidTr="005C00A5">
        <w:tc>
          <w:tcPr>
            <w:tcW w:w="2160" w:type="dxa"/>
            <w:shd w:val="clear" w:color="auto" w:fill="CCDCDC"/>
          </w:tcPr>
          <w:p w14:paraId="7136FFF5"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660641D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9193F1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minimal stage start identifying and documenting basic AI system requirements for third-party procurement to ensure initial alignment with organizational needs.</w:t>
            </w:r>
          </w:p>
        </w:tc>
      </w:tr>
      <w:tr w:rsidR="00963E47" w:rsidRPr="00963E47" w14:paraId="2300E4EE" w14:textId="77777777" w:rsidTr="005C00A5">
        <w:tc>
          <w:tcPr>
            <w:tcW w:w="2160" w:type="dxa"/>
            <w:shd w:val="clear" w:color="auto" w:fill="CCDCDC"/>
          </w:tcPr>
          <w:p w14:paraId="4D20688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3: Evolving</w:t>
            </w:r>
          </w:p>
        </w:tc>
        <w:tc>
          <w:tcPr>
            <w:tcW w:w="1350" w:type="dxa"/>
          </w:tcPr>
          <w:p w14:paraId="6F567C8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3F4021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expand and refine these requirements based on lessons learned and increasing understanding of third-party AI risks.</w:t>
            </w:r>
          </w:p>
        </w:tc>
      </w:tr>
      <w:tr w:rsidR="00963E47" w:rsidRPr="00963E47" w14:paraId="2DF5D38E" w14:textId="77777777" w:rsidTr="005C00A5">
        <w:tc>
          <w:tcPr>
            <w:tcW w:w="2160" w:type="dxa"/>
            <w:shd w:val="clear" w:color="auto" w:fill="CCDCDC"/>
          </w:tcPr>
          <w:p w14:paraId="745B374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6A63ACA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CE450A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have comprehensive, standardized documentation processes that consistently inform procurement, due diligence, and contracting, ensuring ongoing alignment and responsible AI adoption in line with AI Trustworthy Principles.</w:t>
            </w:r>
          </w:p>
        </w:tc>
      </w:tr>
    </w:tbl>
    <w:p w14:paraId="4AC1C8B9"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36D0282A" w14:textId="77777777" w:rsidTr="005C00A5">
        <w:tc>
          <w:tcPr>
            <w:tcW w:w="2250" w:type="dxa"/>
          </w:tcPr>
          <w:p w14:paraId="073E4EC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7C600B0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0B938E8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355E602B" w14:textId="77777777" w:rsidTr="005C00A5">
        <w:tc>
          <w:tcPr>
            <w:tcW w:w="2250" w:type="dxa"/>
          </w:tcPr>
          <w:p w14:paraId="6AA1998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548C2B8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Unidentified Third-Party Requirements</w:t>
            </w:r>
          </w:p>
        </w:tc>
        <w:tc>
          <w:tcPr>
            <w:tcW w:w="5300" w:type="dxa"/>
          </w:tcPr>
          <w:p w14:paraId="206DF50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system requirements specific to third parties are not identified</w:t>
            </w:r>
          </w:p>
        </w:tc>
      </w:tr>
    </w:tbl>
    <w:p w14:paraId="009C1BC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FE35A9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5016576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422D61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Identify and document AI system requirements specific to third parties, such as vendor or partner organizations. These requirements may relate to data sharing, security protocols, or performance metrics. Engage relevant stakeholders from both the organization and the third party to gather input on these requirements, ensuring they are aligned with the organization's overall AI risk management strategy. </w:t>
      </w:r>
    </w:p>
    <w:p w14:paraId="477B1BFF"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8EDECF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Document the third party-specific requirements using clear and concise language, ensuring they are easily accessible to relevant parties. Use these requirements to inform procurement planning, due diligence, and contracting activities with the third party, ensuring they are incorporated into relevant agreements or contracts.</w:t>
      </w:r>
    </w:p>
    <w:p w14:paraId="3AA885B7"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6E1E89F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Regularly review and update the third-party-specific requirements over time, and communicate any changes to relevant stakeholders to ensure proper understanding and compliance.</w:t>
      </w:r>
    </w:p>
    <w:p w14:paraId="24A04D7C"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4C945B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28847C1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D9A16F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Requirements Gathering and Documentation Process</w:t>
      </w:r>
    </w:p>
    <w:p w14:paraId="1B6FBE9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 formal process to identify, specify, and document third-party AI system requirements, including technical, security, privacy, and compliance needs, aligned with organizational standards.</w:t>
      </w:r>
    </w:p>
    <w:p w14:paraId="28EED3C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D3EA8D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Requirement specification templates tailored for third-party AI solutions.</w:t>
      </w:r>
    </w:p>
    <w:p w14:paraId="17DF56F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stakeholder input, user needs, and regulatory obligations incorporated into requirements.</w:t>
      </w:r>
    </w:p>
    <w:p w14:paraId="6E18BB2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Approval workflows demonstrating review and sign-off of documented requirements.</w:t>
      </w:r>
    </w:p>
    <w:p w14:paraId="45D12E3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requirement documents.</w:t>
      </w:r>
    </w:p>
    <w:p w14:paraId="04E807A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479255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Inclusion of Specific AI Requirements in Procurement and Due Diligence</w:t>
      </w:r>
    </w:p>
    <w:p w14:paraId="469A7ED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Integrate the documented third-party AI requirements into procurement assessments, evaluation criteria, and due diligence checklists to guide vendor selection and risk mitigation.</w:t>
      </w:r>
    </w:p>
    <w:p w14:paraId="300161E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015227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Evaluation matrices and scoring rubrics reflecting AI-specific requirements.</w:t>
      </w:r>
    </w:p>
    <w:p w14:paraId="05D9449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Due diligence reports verifying compliance with security and privacy standards.</w:t>
      </w:r>
    </w:p>
    <w:p w14:paraId="7B29489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Procurement checklists referencing detailed AI requirements.</w:t>
      </w:r>
    </w:p>
    <w:p w14:paraId="79D3C79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stakeholder reviews and approvals.</w:t>
      </w:r>
    </w:p>
    <w:p w14:paraId="4C9CBEC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4509B4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Contracting and Service Level Agreements (SLAs) Based on Requirements</w:t>
      </w:r>
    </w:p>
    <w:p w14:paraId="1363019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Embed AI-specific requirements into contractual agreements, SLAs, and audit clauses to ensure ongoing compliance and performance.</w:t>
      </w:r>
    </w:p>
    <w:p w14:paraId="583FBF5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209B3D4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Contract templates incorporating AI security and privacy clauses.</w:t>
      </w:r>
    </w:p>
    <w:p w14:paraId="7E8A7EC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Signed agreements with detailed performance and compliance metrics.</w:t>
      </w:r>
    </w:p>
    <w:p w14:paraId="222E2B5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and audit provisions aligned with documented requirements.</w:t>
      </w:r>
    </w:p>
    <w:p w14:paraId="6040EE6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Contract review and approval records.</w:t>
      </w:r>
    </w:p>
    <w:p w14:paraId="360620A2"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41ECA6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Requirements Traceability and Lifecycle Management</w:t>
      </w:r>
    </w:p>
    <w:p w14:paraId="4C48C72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traceability of requirements throughout the procurement, implementation, and operational lifecycle, ensuring ongoing alignment and updates as needed.</w:t>
      </w:r>
    </w:p>
    <w:p w14:paraId="1F0D4AA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BF5016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Traceability matrices linking requirements to evaluation results, contract clauses, and implementation activities.</w:t>
      </w:r>
    </w:p>
    <w:p w14:paraId="6144342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management logs updating requirements based on system evolution or regulatory changes.</w:t>
      </w:r>
    </w:p>
    <w:p w14:paraId="10924EB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Implementation and verification reports confirming requirement fulfillment.</w:t>
      </w:r>
    </w:p>
    <w:p w14:paraId="57E23D9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requirement review intervals.</w:t>
      </w:r>
    </w:p>
    <w:p w14:paraId="1D626AE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3ACFD7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Review and Refinement of Requirements</w:t>
      </w:r>
    </w:p>
    <w:p w14:paraId="7E8458E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review and update AI system requirements for third-party solutions in response to new risks, technological developments, or organizational priorities.</w:t>
      </w:r>
    </w:p>
    <w:p w14:paraId="3653893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DC48B4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Periodic requirements review reports with stakeholder input.</w:t>
      </w:r>
    </w:p>
    <w:p w14:paraId="381F08E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requirement documents reflecting lessons learned or regulatory changes.</w:t>
      </w:r>
    </w:p>
    <w:p w14:paraId="19A4E93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approval records for requirement modifications.</w:t>
      </w:r>
    </w:p>
    <w:p w14:paraId="6693F3B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loops capturing lessons from deployments and audits.</w:t>
      </w:r>
    </w:p>
    <w:p w14:paraId="54FA972A"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2C86099D"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2D2BA05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7DB29D9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5B8C1831" w14:textId="77777777" w:rsidTr="005C00A5">
        <w:tc>
          <w:tcPr>
            <w:tcW w:w="1170" w:type="dxa"/>
          </w:tcPr>
          <w:p w14:paraId="48558DD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152F4A0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5238792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5FCC510B" w14:textId="77777777" w:rsidTr="005C00A5">
        <w:tc>
          <w:tcPr>
            <w:tcW w:w="1170" w:type="dxa"/>
          </w:tcPr>
          <w:p w14:paraId="2888FFE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GV-6.1.3</w:t>
            </w:r>
          </w:p>
        </w:tc>
        <w:tc>
          <w:tcPr>
            <w:tcW w:w="2160" w:type="dxa"/>
          </w:tcPr>
          <w:p w14:paraId="2ACDC3D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Procurement and AI Partner Evaluation</w:t>
            </w:r>
          </w:p>
        </w:tc>
        <w:tc>
          <w:tcPr>
            <w:tcW w:w="6740" w:type="dxa"/>
          </w:tcPr>
          <w:p w14:paraId="32DEEC2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updates its procurement planning processes to integrate AI-specific requirements so that procurement activities consider AI's unique implications and challenges associated with third-party partnerships. It also emphasizes the importance of participating in joint testing with third-party entities to collaboratively evaluate AI technologies and validate their effectiveness and compliance with organizational standards.</w:t>
            </w:r>
          </w:p>
          <w:p w14:paraId="2D16F807" w14:textId="77777777" w:rsidR="00963E47" w:rsidRPr="00963E47" w:rsidRDefault="00963E47" w:rsidP="004C3837">
            <w:pPr>
              <w:keepNext/>
              <w:rPr>
                <w:rFonts w:ascii="Aptos" w:hAnsi="Aptos" w:cs="Times New Roman"/>
                <w:b/>
                <w:bCs/>
                <w:color w:val="000000"/>
                <w:sz w:val="20"/>
                <w:szCs w:val="20"/>
              </w:rPr>
            </w:pPr>
          </w:p>
          <w:p w14:paraId="6535E62E" w14:textId="77777777" w:rsidR="00963E47" w:rsidRPr="00963E47" w:rsidRDefault="00963E47" w:rsidP="004C3837">
            <w:pPr>
              <w:keepNext/>
              <w:rPr>
                <w:rFonts w:ascii="Aptos" w:hAnsi="Aptos" w:cs="Times New Roman"/>
                <w:b/>
                <w:bCs/>
                <w:color w:val="000000"/>
                <w:sz w:val="20"/>
                <w:szCs w:val="20"/>
              </w:rPr>
            </w:pPr>
            <w:hyperlink r:id="rId82" w:anchor="govern-6-1" w:history="1">
              <w:r w:rsidRPr="00963E47">
                <w:rPr>
                  <w:rFonts w:ascii="Aptos" w:hAnsi="Aptos" w:cs="Times New Roman"/>
                  <w:color w:val="000000"/>
                  <w:sz w:val="20"/>
                  <w:szCs w:val="20"/>
                  <w:u w:val="single"/>
                </w:rPr>
                <w:t>Link to NIST AI RMF Playbook</w:t>
              </w:r>
            </w:hyperlink>
          </w:p>
        </w:tc>
      </w:tr>
    </w:tbl>
    <w:p w14:paraId="3C4E0723"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8749206"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4B12AE85"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347E7F5C" w14:textId="77777777" w:rsidTr="005C00A5">
        <w:trPr>
          <w:tblHeader/>
        </w:trPr>
        <w:tc>
          <w:tcPr>
            <w:tcW w:w="2160" w:type="dxa"/>
            <w:shd w:val="clear" w:color="auto" w:fill="CCDCDC"/>
            <w:vAlign w:val="center"/>
          </w:tcPr>
          <w:p w14:paraId="26BE02F4"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62840DED"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7F171B47"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68E55981" w14:textId="77777777" w:rsidTr="005C00A5">
        <w:tc>
          <w:tcPr>
            <w:tcW w:w="2160" w:type="dxa"/>
            <w:shd w:val="clear" w:color="auto" w:fill="CCDCDC"/>
          </w:tcPr>
          <w:p w14:paraId="73E8BCF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42A65A0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02D9643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015CDDB0" w14:textId="77777777" w:rsidTr="005C00A5">
        <w:tc>
          <w:tcPr>
            <w:tcW w:w="2160" w:type="dxa"/>
            <w:shd w:val="clear" w:color="auto" w:fill="CCDCDC"/>
          </w:tcPr>
          <w:p w14:paraId="41A7A26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570F040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61AE8A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start incorporating basic AI-specific considerations into procurement planning and recognize the value of joint testing with third parties as an initial step toward responsible AI deployment.</w:t>
            </w:r>
          </w:p>
        </w:tc>
      </w:tr>
      <w:tr w:rsidR="00963E47" w:rsidRPr="00963E47" w14:paraId="7254057A" w14:textId="77777777" w:rsidTr="005C00A5">
        <w:tc>
          <w:tcPr>
            <w:tcW w:w="2160" w:type="dxa"/>
            <w:shd w:val="clear" w:color="auto" w:fill="CCDCDC"/>
          </w:tcPr>
          <w:p w14:paraId="62B15C4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492D607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CD995C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evolving stage, organizations have updated their procurement planning processes to integrate AI-specific requirements and consider AI's unique implications and challenges associated with third-party partnerships. They also emphasize the importance of participating in </w:t>
            </w:r>
            <w:r w:rsidRPr="00963E47">
              <w:rPr>
                <w:rFonts w:ascii="Aptos" w:hAnsi="Aptos" w:cs="Times New Roman"/>
                <w:noProof/>
                <w:color w:val="auto"/>
                <w:sz w:val="20"/>
                <w:szCs w:val="20"/>
              </w:rPr>
              <w:lastRenderedPageBreak/>
              <w:t>joint testing with third-party entities to collaboratively evaluate AI technologies and validate their effectiveness and compliance with organizational standards, although these practices may not yet be fully consistent across all procurement activities.</w:t>
            </w:r>
          </w:p>
        </w:tc>
      </w:tr>
      <w:tr w:rsidR="00963E47" w:rsidRPr="00963E47" w14:paraId="7D92D508" w14:textId="77777777" w:rsidTr="005C00A5">
        <w:tc>
          <w:tcPr>
            <w:tcW w:w="2160" w:type="dxa"/>
            <w:shd w:val="clear" w:color="auto" w:fill="CCDCDC"/>
          </w:tcPr>
          <w:p w14:paraId="1C6301D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4: Embedded</w:t>
            </w:r>
          </w:p>
        </w:tc>
        <w:tc>
          <w:tcPr>
            <w:tcW w:w="1350" w:type="dxa"/>
          </w:tcPr>
          <w:p w14:paraId="1D4AA44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38DAF8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update procurement planning processes to integrate AI-specific requirements and emphasizing the importance of joint testing with third-party entities. This is fully integrated into the organization's overall procurement and third-party risk management processes. These practices are consistently implemented, regularly reviewed and updated based on feedback and best practices, and are supported by robust AI-specific procurement templates, evaluation criteria, and metrics that track their impact on ensuring effective and compliant AI technologies from third-party partnerships.</w:t>
            </w:r>
          </w:p>
        </w:tc>
      </w:tr>
    </w:tbl>
    <w:p w14:paraId="050386B3"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37E6A640" w14:textId="77777777" w:rsidTr="005C00A5">
        <w:tc>
          <w:tcPr>
            <w:tcW w:w="2250" w:type="dxa"/>
          </w:tcPr>
          <w:p w14:paraId="73533EF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5BA4786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4FACEC0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03D6620A" w14:textId="77777777" w:rsidTr="005C00A5">
        <w:tc>
          <w:tcPr>
            <w:tcW w:w="2250" w:type="dxa"/>
          </w:tcPr>
          <w:p w14:paraId="2684AE7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4B2583B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Inadequate Procurement Planning</w:t>
            </w:r>
          </w:p>
        </w:tc>
        <w:tc>
          <w:tcPr>
            <w:tcW w:w="5300" w:type="dxa"/>
          </w:tcPr>
          <w:p w14:paraId="793BBD3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Procurement planning processes fail to integrate AI-specific requirements</w:t>
            </w:r>
          </w:p>
        </w:tc>
      </w:tr>
    </w:tbl>
    <w:p w14:paraId="527BCDB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28F7BC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058D92F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34C9ED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Integrate AI-specific requirements into the organization's procurement planning processes to ensure procurement activities consider the unique implications and challenges associated with third-party partnerships involving AI technologies. Develop a set of standardized criteria for evaluating potential third-party partners, such as their experience with AI, their data management practices, and their commitment to responsible AI development.</w:t>
      </w:r>
    </w:p>
    <w:p w14:paraId="4D76A161"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B19E91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Emphasize the importance of joint testing with third-party entities to collaboratively evaluate AI technologies and validate their effectiveness and compliance with organizational standards. Establish clear protocols for conducting joint testing, including roles and responsibilities, testing methodologies, and acceptance criteria. Regularly review and update procurement planning processes to ensure they remain aligned with the organization's AI strategy and risk management objectives.</w:t>
      </w:r>
    </w:p>
    <w:p w14:paraId="0C0F216C"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B81E37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00FFD45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1813F4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of AI-Specific Requirements in Procurement Planning</w:t>
      </w:r>
    </w:p>
    <w:p w14:paraId="0666744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Revise procurement procedures and planning templates to include AI-related considerations such as safety, data governance, and cybersecurity risks, guiding supplier evaluation and selection.</w:t>
      </w:r>
    </w:p>
    <w:p w14:paraId="2388484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E4975E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procurement policies and checklists emphasizing AI-specific risks and standards.</w:t>
      </w:r>
    </w:p>
    <w:p w14:paraId="233CFBE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Requirement inclusion matrices for AI safety, privacy, and security criteria.</w:t>
      </w:r>
    </w:p>
    <w:p w14:paraId="7598B6B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Procurement planning documents highlighting AI considerations at early stages.</w:t>
      </w:r>
    </w:p>
    <w:p w14:paraId="7EA6769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review and approval records of revised planning processes.</w:t>
      </w:r>
    </w:p>
    <w:p w14:paraId="5320CFF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CD7A88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Inclusion of AI-Specific Evaluation Criteria and Due Diligence</w:t>
      </w:r>
    </w:p>
    <w:p w14:paraId="6868FC7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evaluation metrics and due diligence activities that assess a third-party AI provider’s adherence to safety, privacy, and performance standards during vendor selection.</w:t>
      </w:r>
    </w:p>
    <w:p w14:paraId="1EA933C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C33F9A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Evaluation checklists with AI safety and compliance criteria.</w:t>
      </w:r>
    </w:p>
    <w:p w14:paraId="50FDB43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Due diligence reports on third-party AI solutions, including risk assessments.</w:t>
      </w:r>
    </w:p>
    <w:p w14:paraId="2FF78A6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stakeholder reviews and scoring outcomes.</w:t>
      </w:r>
    </w:p>
    <w:p w14:paraId="46867FB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Records of vendor demos, certifications, or third-party audit results.</w:t>
      </w:r>
    </w:p>
    <w:p w14:paraId="30DF777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7F5CE3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Promoting Joint Testing and Validation Activities</w:t>
      </w:r>
    </w:p>
    <w:p w14:paraId="7BF5F01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protocols for joint testing, including co-created test plans, validation procedures, and performance benchmarks, to collaboratively assess AI effectiveness and adherence to standards before deployment.</w:t>
      </w:r>
    </w:p>
    <w:p w14:paraId="2508C52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C811DF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 plans and schedules co-developed with third parties.</w:t>
      </w:r>
    </w:p>
    <w:p w14:paraId="6066BB8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 reports documenting joint evaluation results against organizational criteria.</w:t>
      </w:r>
    </w:p>
    <w:p w14:paraId="603447F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or logs of joint testing sessions and findings.</w:t>
      </w:r>
    </w:p>
    <w:p w14:paraId="50B98B1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Sign-offs or approvals from both internal and external evaluators confirming compliance.</w:t>
      </w:r>
    </w:p>
    <w:p w14:paraId="791B0D8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DE3227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Embedding Evaluation Results into Procurement and Deployment Decisions</w:t>
      </w:r>
    </w:p>
    <w:p w14:paraId="2DAE76C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insights from joint testing and evaluations to inform procurement decisions, deployment readiness, and post-deployment monitoring strategies.</w:t>
      </w:r>
    </w:p>
    <w:p w14:paraId="190F0BE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14785E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Evaluation summaries linked to procurement approval records.</w:t>
      </w:r>
    </w:p>
    <w:p w14:paraId="5FEA21C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Decision memos reflecting joint testing outcomes and mitigation plans.</w:t>
      </w:r>
    </w:p>
    <w:p w14:paraId="341F989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risk and implementation checklists based on testing results.</w:t>
      </w:r>
    </w:p>
    <w:p w14:paraId="3B2E31B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Certification or performance benchmarking against organizational standards.</w:t>
      </w:r>
    </w:p>
    <w:p w14:paraId="76356D2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AA8614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Improvement of Procurement Processes with Feedback Loops</w:t>
      </w:r>
    </w:p>
    <w:p w14:paraId="28A9D0C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review and refine procurement and joint testing processes, incorporating lessons learned, emerging risks, and evolving standards to strengthen AI partnership management.</w:t>
      </w:r>
    </w:p>
    <w:p w14:paraId="15BACA8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9F8FA1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Post-project reviews analyzing process effectiveness and challenges.</w:t>
      </w:r>
    </w:p>
    <w:p w14:paraId="1F9ECB5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Process update documentation with stakeholder input.</w:t>
      </w:r>
    </w:p>
    <w:p w14:paraId="29EB04D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surveys from procurement and testing teams.</w:t>
      </w:r>
    </w:p>
    <w:p w14:paraId="3826B10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plans for incorporating lessons learned into future practices.</w:t>
      </w:r>
    </w:p>
    <w:p w14:paraId="3F636251"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62BF9D68"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6C0692C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5339704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31B5EAC1" w14:textId="77777777" w:rsidTr="005C00A5">
        <w:tc>
          <w:tcPr>
            <w:tcW w:w="1170" w:type="dxa"/>
          </w:tcPr>
          <w:p w14:paraId="5D9600A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5EA3055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2F10C72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264D079C" w14:textId="77777777" w:rsidTr="005C00A5">
        <w:tc>
          <w:tcPr>
            <w:tcW w:w="1170" w:type="dxa"/>
          </w:tcPr>
          <w:p w14:paraId="2AFBCD0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GV-6.1.4</w:t>
            </w:r>
          </w:p>
        </w:tc>
        <w:tc>
          <w:tcPr>
            <w:tcW w:w="2160" w:type="dxa"/>
          </w:tcPr>
          <w:p w14:paraId="18F6248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Due Diligence for AI Vendors</w:t>
            </w:r>
          </w:p>
        </w:tc>
        <w:tc>
          <w:tcPr>
            <w:tcW w:w="6740" w:type="dxa"/>
          </w:tcPr>
          <w:p w14:paraId="35E3D00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enhances its policies and procedures and provides adequate resources for conducting due diligence on third-party entities by incorporating AI-related considerations, including data provenance, secondary data use, and vendor data practices. This involves assessing intellectual property and data management specific to AI to inform more comprehensive risk-benefit assessments for AI-related partnerships. The due diligence process emphasizes negotiating contractual provisions that protect against data misuse, ensure data quality, and secure appropriate data rights.</w:t>
            </w:r>
          </w:p>
          <w:p w14:paraId="7FB01126" w14:textId="77777777" w:rsidR="00963E47" w:rsidRPr="00963E47" w:rsidRDefault="00963E47" w:rsidP="004C3837">
            <w:pPr>
              <w:keepNext/>
              <w:rPr>
                <w:rFonts w:ascii="Aptos" w:hAnsi="Aptos" w:cs="Times New Roman"/>
                <w:b/>
                <w:bCs/>
                <w:color w:val="000000"/>
                <w:sz w:val="20"/>
                <w:szCs w:val="20"/>
              </w:rPr>
            </w:pPr>
          </w:p>
          <w:p w14:paraId="208EEDFF" w14:textId="77777777" w:rsidR="00963E47" w:rsidRPr="00963E47" w:rsidRDefault="00963E47" w:rsidP="004C3837">
            <w:pPr>
              <w:keepNext/>
              <w:rPr>
                <w:rFonts w:ascii="Aptos" w:hAnsi="Aptos" w:cs="Times New Roman"/>
                <w:b/>
                <w:bCs/>
                <w:color w:val="000000"/>
                <w:sz w:val="20"/>
                <w:szCs w:val="20"/>
              </w:rPr>
            </w:pPr>
            <w:hyperlink r:id="rId83" w:anchor="govern-6-1" w:history="1">
              <w:r w:rsidRPr="00963E47">
                <w:rPr>
                  <w:rFonts w:ascii="Aptos" w:hAnsi="Aptos" w:cs="Times New Roman"/>
                  <w:color w:val="000000"/>
                  <w:sz w:val="20"/>
                  <w:szCs w:val="20"/>
                  <w:u w:val="single"/>
                </w:rPr>
                <w:t>Link to NIST AI RMF Playbook</w:t>
              </w:r>
            </w:hyperlink>
          </w:p>
        </w:tc>
      </w:tr>
    </w:tbl>
    <w:p w14:paraId="7429B972"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FBC3914"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72E6BF68"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05977AA3" w14:textId="77777777" w:rsidTr="005C00A5">
        <w:trPr>
          <w:tblHeader/>
        </w:trPr>
        <w:tc>
          <w:tcPr>
            <w:tcW w:w="2160" w:type="dxa"/>
            <w:shd w:val="clear" w:color="auto" w:fill="CCDCDC"/>
            <w:vAlign w:val="center"/>
          </w:tcPr>
          <w:p w14:paraId="1949DE76"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41E81B13"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00638950"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6A6108A6" w14:textId="77777777" w:rsidTr="005C00A5">
        <w:tc>
          <w:tcPr>
            <w:tcW w:w="2160" w:type="dxa"/>
            <w:shd w:val="clear" w:color="auto" w:fill="CCDCDC"/>
          </w:tcPr>
          <w:p w14:paraId="1F48780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3A30E72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0121024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387AB4DE" w14:textId="77777777" w:rsidTr="005C00A5">
        <w:tc>
          <w:tcPr>
            <w:tcW w:w="2160" w:type="dxa"/>
            <w:shd w:val="clear" w:color="auto" w:fill="CCDCDC"/>
          </w:tcPr>
          <w:p w14:paraId="2795C49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2: Minimal</w:t>
            </w:r>
          </w:p>
        </w:tc>
        <w:tc>
          <w:tcPr>
            <w:tcW w:w="1350" w:type="dxa"/>
          </w:tcPr>
          <w:p w14:paraId="37A4871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DDF3ED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minimal stage start incorporating basic AI-specific considerations into due diligence processes, focusing on key areas like data sources and vendor practices to address fundamental risks in AI partnerships.</w:t>
            </w:r>
          </w:p>
        </w:tc>
      </w:tr>
      <w:tr w:rsidR="00963E47" w:rsidRPr="00963E47" w14:paraId="355175B4" w14:textId="77777777" w:rsidTr="005C00A5">
        <w:tc>
          <w:tcPr>
            <w:tcW w:w="2160" w:type="dxa"/>
            <w:shd w:val="clear" w:color="auto" w:fill="CCDCDC"/>
          </w:tcPr>
          <w:p w14:paraId="56797EA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0DFD2DA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4CE319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have enhanced their policies and procedures for conducting due diligence on third-party entities by incorporating AI-related considerations. This involves assessing intellectual property and data management implications specific to AI to inform more comprehensive risk-benefit assessments for AI-related partnerships, although these practices may not yet be fully consistent across all third-party relationships.</w:t>
            </w:r>
          </w:p>
        </w:tc>
      </w:tr>
      <w:tr w:rsidR="00963E47" w:rsidRPr="00963E47" w14:paraId="408D0195" w14:textId="77777777" w:rsidTr="005C00A5">
        <w:tc>
          <w:tcPr>
            <w:tcW w:w="2160" w:type="dxa"/>
            <w:shd w:val="clear" w:color="auto" w:fill="CCDCDC"/>
          </w:tcPr>
          <w:p w14:paraId="111D39E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29443A8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9850E9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enhance policies and procedures for conducting due diligence on third-party entities by incorporating AI-related considerations that are fully integrated into the organization's overall third-party risk management processes. These practices are consistently implemented, regularly reviewed and updated based on emerging risks and best practices, and are supported by robust AI-specific due diligence frameworks, assessment tools, and metrics that track their impact on informing comprehensive risk-benefit assessments for AI-related partnerships.</w:t>
            </w:r>
          </w:p>
        </w:tc>
      </w:tr>
    </w:tbl>
    <w:p w14:paraId="7C828558"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64F8DC61" w14:textId="77777777" w:rsidTr="005C00A5">
        <w:tc>
          <w:tcPr>
            <w:tcW w:w="2250" w:type="dxa"/>
          </w:tcPr>
          <w:p w14:paraId="3642877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3153BBD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745B131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14C727EB" w14:textId="77777777" w:rsidTr="005C00A5">
        <w:tc>
          <w:tcPr>
            <w:tcW w:w="2250" w:type="dxa"/>
          </w:tcPr>
          <w:p w14:paraId="3A2B72E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2FE3861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Incomplete Third-Party Due Diligence</w:t>
            </w:r>
          </w:p>
        </w:tc>
        <w:tc>
          <w:tcPr>
            <w:tcW w:w="5300" w:type="dxa"/>
          </w:tcPr>
          <w:p w14:paraId="469D1F5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Due diligence on third-party entities doesn't include AI-related considerations</w:t>
            </w:r>
          </w:p>
        </w:tc>
      </w:tr>
    </w:tbl>
    <w:p w14:paraId="37530C6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80FC7C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6070CB0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229B74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Enhance the organization's policies and procedures for conducting due diligence on third-party entities by incorporating AI-related considerations, including data provenance, secondary data use, and vendor data practices. Develop a standardized due diligence checklist that includes questions related to intellectual property and data management specific to AI. Ensure adequately skilled resources exist to perform due diligence.</w:t>
      </w:r>
    </w:p>
    <w:p w14:paraId="7569735D"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697B9CA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Engage with subject matter experts, such as legal counsel and data privacy specialists, to ensure the due diligence process is comprehensive and aligned with relevant laws and regulations. Use the results of the due diligence process to inform risk-benefit assessments for AI-related partnerships, and establish clear criteria for determining whether a potential partnership is acceptable based on the level of risk identified. Incorporate contractual clauses that facilitate negotiation of protections around data rights, data quality, and vendor accountability. Regularly review and update due diligence policies and procedures to ensure they remain effective and aligned with emerging best practices in AI risk management.</w:t>
      </w:r>
    </w:p>
    <w:p w14:paraId="4636E6FA"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347D2E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35727F5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48D33B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Updating Due Diligence Framework with AI-Related Risks and Considerations</w:t>
      </w:r>
    </w:p>
    <w:p w14:paraId="38066D1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Revise existing due diligence policies and checklists to include AI-specific factors such as data provenance, data quality, and secondary use, ensuring a holistic evaluation of third-party AI vendors.</w:t>
      </w:r>
    </w:p>
    <w:p w14:paraId="699300B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7902B2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Revised due diligence policies highlighting AI-related data and assessments.</w:t>
      </w:r>
    </w:p>
    <w:p w14:paraId="00D43E8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checklists cross-referencing AI-specific data practices and intellectual property (IP) considerations.</w:t>
      </w:r>
    </w:p>
    <w:p w14:paraId="696E8B5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materials and guidelines for teams conducting AI vendor assessments.</w:t>
      </w:r>
    </w:p>
    <w:p w14:paraId="50E4767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Sign-off records approving the updated process.</w:t>
      </w:r>
    </w:p>
    <w:p w14:paraId="67A10A0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80A3F6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Assessment of Data Practices and Intellectual Property</w:t>
      </w:r>
    </w:p>
    <w:p w14:paraId="2C2F273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in-depth evaluations of a potential vendor’s data provenance, data management practices, secondary data use policies, and compliance beyond standard due diligence.</w:t>
      </w:r>
    </w:p>
    <w:p w14:paraId="28011A5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D5B500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provenance reports, audit results, or certifications.</w:t>
      </w:r>
    </w:p>
    <w:p w14:paraId="4319AB4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data governance assessments, including data quality and security.</w:t>
      </w:r>
    </w:p>
    <w:p w14:paraId="4ACDA0D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reports and bias mitigation evaluations.</w:t>
      </w:r>
    </w:p>
    <w:p w14:paraId="4DA0E36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IP ownership and licensing analyses.</w:t>
      </w:r>
    </w:p>
    <w:p w14:paraId="303FB05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65CEAF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Contract Negotiation and Provisions for Data and IP Protections</w:t>
      </w:r>
    </w:p>
    <w:p w14:paraId="05AF257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Incorporate contractual clauses that safeguard against data misuse, establish data rights, define data quality obligations, and specify compliance requirements.</w:t>
      </w:r>
    </w:p>
    <w:p w14:paraId="2B3D9D0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5BECC7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Draft and finalized contract clauses governing data rights, usage, and confidentiality.</w:t>
      </w:r>
    </w:p>
    <w:p w14:paraId="33B7F6A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security and privacy provisions aligned with regulations.</w:t>
      </w:r>
    </w:p>
    <w:p w14:paraId="337D7E3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Indemnity and liability clauses specific to data breaches or misuse.</w:t>
      </w:r>
    </w:p>
    <w:p w14:paraId="7060DEB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audit rights, and enforcement clauses.</w:t>
      </w:r>
    </w:p>
    <w:p w14:paraId="4F4E378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6B41BEB"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of Due Diligence Results into Risk-Benefit Analysis</w:t>
      </w:r>
    </w:p>
    <w:p w14:paraId="469FC7D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comprehensive due diligence findings including data, IP, and other assessments to inform a balanced risk-benefit evaluation and decision on third-party partnerships.</w:t>
      </w:r>
    </w:p>
    <w:p w14:paraId="7AC3135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8C906C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Risk-benefit assessment reports incorporating AI-specific due diligence insights.</w:t>
      </w:r>
    </w:p>
    <w:p w14:paraId="4316FAC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Decision matrices weighing data, IP, and other considerations.</w:t>
      </w:r>
    </w:p>
    <w:p w14:paraId="639EA9D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Management review records approving or rejecting partnerships based on findings.</w:t>
      </w:r>
    </w:p>
    <w:p w14:paraId="58E73E6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risk registers reflecting AI due diligence outcomes.</w:t>
      </w:r>
    </w:p>
    <w:p w14:paraId="3A51DB52"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157B3D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Ongoing Monitoring and Reassessment of Data Practices</w:t>
      </w:r>
    </w:p>
    <w:p w14:paraId="4C9A9A1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processes for periodic review of third-party data practices, IP security, and compliance throughout the partnership lifecycle, updating assessments as needed.</w:t>
      </w:r>
    </w:p>
    <w:p w14:paraId="621648A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BEF43B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schedules and reports on ongoing data governance and compliance.</w:t>
      </w:r>
    </w:p>
    <w:p w14:paraId="750634D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Reassessment reports triggered by system updates or incidents.</w:t>
      </w:r>
    </w:p>
    <w:p w14:paraId="0A255EF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Contract renewal or amendment documentation reflecting current due diligence findings.</w:t>
      </w:r>
    </w:p>
    <w:p w14:paraId="56B8FB2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feedback and lessons learned incorporated into process updates.</w:t>
      </w:r>
    </w:p>
    <w:p w14:paraId="1188D833"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49DAD0C1"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6A8746B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62B1BD9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5686A9E3" w14:textId="77777777" w:rsidTr="005C00A5">
        <w:tc>
          <w:tcPr>
            <w:tcW w:w="1170" w:type="dxa"/>
          </w:tcPr>
          <w:p w14:paraId="57C235A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5090F03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635BDEF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5301E036" w14:textId="77777777" w:rsidTr="005C00A5">
        <w:tc>
          <w:tcPr>
            <w:tcW w:w="1170" w:type="dxa"/>
          </w:tcPr>
          <w:p w14:paraId="07304DB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GV-6.1.5</w:t>
            </w:r>
          </w:p>
        </w:tc>
        <w:tc>
          <w:tcPr>
            <w:tcW w:w="2160" w:type="dxa"/>
          </w:tcPr>
          <w:p w14:paraId="6322670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Third-Party AI Risk Documentation</w:t>
            </w:r>
          </w:p>
        </w:tc>
        <w:tc>
          <w:tcPr>
            <w:tcW w:w="6740" w:type="dxa"/>
          </w:tcPr>
          <w:p w14:paraId="39D779E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reviews and updates its existing documentation of AI risks associated with third-party entities (e.g., intellectual property infringement, data privacy, security, data provenance, and secondary data use by vendors) to include AI-specific factors. This documentation is regularly reviewed and adapted to address emerging AI-related risks, including specific considerations around data sourcing, management, and vendor data practices. Additionally, it clarifies AI risk management responsibilities within a shared responsibility model, helping all parties understand their roles in mitigating AI-related risks.</w:t>
            </w:r>
          </w:p>
          <w:p w14:paraId="1A6D0850" w14:textId="77777777" w:rsidR="00963E47" w:rsidRPr="00963E47" w:rsidRDefault="00963E47" w:rsidP="004C3837">
            <w:pPr>
              <w:keepNext/>
              <w:rPr>
                <w:rFonts w:ascii="Aptos" w:hAnsi="Aptos" w:cs="Times New Roman"/>
                <w:b/>
                <w:bCs/>
                <w:color w:val="000000"/>
                <w:sz w:val="20"/>
                <w:szCs w:val="20"/>
              </w:rPr>
            </w:pPr>
          </w:p>
          <w:p w14:paraId="63E493AB" w14:textId="77777777" w:rsidR="00963E47" w:rsidRPr="00963E47" w:rsidRDefault="00963E47" w:rsidP="004C3837">
            <w:pPr>
              <w:keepNext/>
              <w:rPr>
                <w:rFonts w:ascii="Aptos" w:hAnsi="Aptos" w:cs="Times New Roman"/>
                <w:b/>
                <w:bCs/>
                <w:color w:val="000000"/>
                <w:sz w:val="20"/>
                <w:szCs w:val="20"/>
              </w:rPr>
            </w:pPr>
            <w:hyperlink r:id="rId84" w:anchor="govern-6-1" w:history="1">
              <w:r w:rsidRPr="00963E47">
                <w:rPr>
                  <w:rFonts w:ascii="Aptos" w:hAnsi="Aptos" w:cs="Times New Roman"/>
                  <w:color w:val="000000"/>
                  <w:sz w:val="20"/>
                  <w:szCs w:val="20"/>
                  <w:u w:val="single"/>
                </w:rPr>
                <w:t>Link to NIST AI RMF Playbook</w:t>
              </w:r>
            </w:hyperlink>
          </w:p>
        </w:tc>
      </w:tr>
    </w:tbl>
    <w:p w14:paraId="0A035056"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C2DA91E"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3EBDAE61"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2FE6CA5B" w14:textId="77777777" w:rsidTr="005C00A5">
        <w:trPr>
          <w:tblHeader/>
        </w:trPr>
        <w:tc>
          <w:tcPr>
            <w:tcW w:w="2160" w:type="dxa"/>
            <w:shd w:val="clear" w:color="auto" w:fill="CCDCDC"/>
            <w:vAlign w:val="center"/>
          </w:tcPr>
          <w:p w14:paraId="0DD787D9"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208343AF"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66C85EB9"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52C78BBB" w14:textId="77777777" w:rsidTr="005C00A5">
        <w:tc>
          <w:tcPr>
            <w:tcW w:w="2160" w:type="dxa"/>
            <w:shd w:val="clear" w:color="auto" w:fill="CCDCDC"/>
          </w:tcPr>
          <w:p w14:paraId="43EDD52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1617400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50097A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F46A044" w14:textId="77777777" w:rsidTr="005C00A5">
        <w:tc>
          <w:tcPr>
            <w:tcW w:w="2160" w:type="dxa"/>
            <w:shd w:val="clear" w:color="auto" w:fill="CCDCDC"/>
          </w:tcPr>
          <w:p w14:paraId="4C48748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12AA3E1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81D18A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have started to review and update their existing documentation of AI risks associated with third-party entities to include AI-specific factors. However, these efforts may be limited, ad-hoc, or not consistently applied across all third-party relationships.</w:t>
            </w:r>
          </w:p>
        </w:tc>
      </w:tr>
      <w:tr w:rsidR="00963E47" w:rsidRPr="00963E47" w14:paraId="00275B3E" w14:textId="77777777" w:rsidTr="005C00A5">
        <w:tc>
          <w:tcPr>
            <w:tcW w:w="2160" w:type="dxa"/>
            <w:shd w:val="clear" w:color="auto" w:fill="CCDCDC"/>
          </w:tcPr>
          <w:p w14:paraId="537F515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5660E54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E47B63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have comprehensively reviewed and updated their existing documentation of AI risks associated with third-party entities to include AI-specific factors. This documentation is regularly reviewed and adapted to address emerging AI-related risks, and clarifies AI risk management responsibilities within a shared responsibility model, although its implementation may not yet be fully consistent across all third-party relationships.</w:t>
            </w:r>
          </w:p>
        </w:tc>
      </w:tr>
      <w:tr w:rsidR="00963E47" w:rsidRPr="00963E47" w14:paraId="58F39ED2" w14:textId="77777777" w:rsidTr="005C00A5">
        <w:tc>
          <w:tcPr>
            <w:tcW w:w="2160" w:type="dxa"/>
            <w:shd w:val="clear" w:color="auto" w:fill="CCDCDC"/>
          </w:tcPr>
          <w:p w14:paraId="00E4108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485AA49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869411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review and update documentation of AI risks associated with third-party entities to include AI-specific factors, which is fully integrated into the organization's overall third-party risk management processes. This documentation is consistently maintained, regularly reviewed and updated based on emerging risks and best practices, and is supported by robust shared responsibility models, communication channels, and metrics that track its effectiveness in helping all parties understand their roles in mitigating AI-related risks.</w:t>
            </w:r>
          </w:p>
        </w:tc>
      </w:tr>
    </w:tbl>
    <w:p w14:paraId="1520BB5A"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53C41581" w14:textId="77777777" w:rsidTr="005C00A5">
        <w:tc>
          <w:tcPr>
            <w:tcW w:w="2250" w:type="dxa"/>
          </w:tcPr>
          <w:p w14:paraId="23C0361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lastRenderedPageBreak/>
              <w:t>AI Principle</w:t>
            </w:r>
          </w:p>
        </w:tc>
        <w:tc>
          <w:tcPr>
            <w:tcW w:w="2520" w:type="dxa"/>
          </w:tcPr>
          <w:p w14:paraId="1FE8451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2CAF14F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6D0E028F" w14:textId="77777777" w:rsidTr="005C00A5">
        <w:tc>
          <w:tcPr>
            <w:tcW w:w="2250" w:type="dxa"/>
          </w:tcPr>
          <w:p w14:paraId="2479E48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73411A1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Insufficient Risk Documentation</w:t>
            </w:r>
          </w:p>
        </w:tc>
        <w:tc>
          <w:tcPr>
            <w:tcW w:w="5300" w:type="dxa"/>
          </w:tcPr>
          <w:p w14:paraId="239382C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Documentation of AI risks associated with third-party entities is insufficient</w:t>
            </w:r>
          </w:p>
        </w:tc>
      </w:tr>
    </w:tbl>
    <w:p w14:paraId="4D850D1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45480A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38D94BB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33A36F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Review and update existing documentation of AI risks associated with third-party entities to include AI-specific factors such as data provenance, secondary data use, and vendor data practices. Conduct a comprehensive risk assessment to identify potential risks such as intellectual property infringement, data privacy, and security breaches related to AI technologies.</w:t>
      </w:r>
    </w:p>
    <w:p w14:paraId="6B5AB3BC"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11AE1AA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Engage with relevant stakeholders, including legal, procurement, and IT teams, to ensure the documentation is comprehensive and aligned with the organization's overall risk management strategy. Clearly define the roles and responsibilities of both the organization and third-party entities in mitigating AI-related risks, using a shared responsibility model. Incorporate considerations around data sourcing, management, and vendor data practices into the documentation. Regularly review and update the documentation to ensure it remains current and relevant as new AI-related risks emerge.</w:t>
      </w:r>
    </w:p>
    <w:p w14:paraId="5F40491C"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041A0F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30C9363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231B9F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Periodic Review and Updating of AI Risk Documentation</w:t>
      </w:r>
    </w:p>
    <w:p w14:paraId="38B723D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schedule for regularly reviewing and updating third-party AI risk documentation to reflect new risks, emerging standards, and lessons learned, especially related to data sourcing, management, and vendor data practices.</w:t>
      </w:r>
    </w:p>
    <w:p w14:paraId="64E718B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0AD13D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and formal review meeting minutes.</w:t>
      </w:r>
    </w:p>
    <w:p w14:paraId="5ADF827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risk registers or risk assessment reports with new AI-specific considerations.</w:t>
      </w:r>
    </w:p>
    <w:p w14:paraId="4B9BE04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 histories indicating revisions driven by new risks or standards.</w:t>
      </w:r>
    </w:p>
    <w:p w14:paraId="35F7B24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stakeholders incorporated into updates.</w:t>
      </w:r>
    </w:p>
    <w:p w14:paraId="7A7E0C6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0AEAC6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Inclusion of AI-Specific Factors and Emerging Risks</w:t>
      </w:r>
    </w:p>
    <w:p w14:paraId="5817BA8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Expand documentation to explicitly address AI-specific risks such as data provenance, biases, secondary data use, and evolving regulatory requirements.</w:t>
      </w:r>
    </w:p>
    <w:p w14:paraId="215B130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DF69CE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registers with dedicated sections for data sourcing and provenance.</w:t>
      </w:r>
    </w:p>
    <w:p w14:paraId="38EF540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assessment reports detailing controls for data management and vendor practices.</w:t>
      </w:r>
    </w:p>
    <w:p w14:paraId="5077EDF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analyses revealing new or unanticipated risks, prompting documentation updates.</w:t>
      </w:r>
    </w:p>
    <w:p w14:paraId="23F0A02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Inclusion of industry alerts or standards in risk profiles.</w:t>
      </w:r>
    </w:p>
    <w:p w14:paraId="613DC5D2"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9DB039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Clarification of Roles and Responsibilities within a Shared Responsibility Model</w:t>
      </w:r>
    </w:p>
    <w:p w14:paraId="0224E2A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 and communicate the division of responsibilities for AI risk management among all relevant parties, ensuring clarity for developers, vendors, users, and oversight bodies.</w:t>
      </w:r>
    </w:p>
    <w:p w14:paraId="5C18597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D2C1B0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Shared responsibility matrices or RACI charts reflecting AI risk roles.</w:t>
      </w:r>
    </w:p>
    <w:p w14:paraId="1016616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Partnership agreements or contracts clarifying data responsibilities and oversight duties.</w:t>
      </w:r>
    </w:p>
    <w:p w14:paraId="45A4195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or awareness materials explaining each party’s role.</w:t>
      </w:r>
    </w:p>
    <w:p w14:paraId="436D05C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discussing role clarification and joint responsibilities.</w:t>
      </w:r>
    </w:p>
    <w:p w14:paraId="4883A81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DD368EB"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of Documentation into Risk Management Processes</w:t>
      </w:r>
    </w:p>
    <w:p w14:paraId="326CE9E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Ensure AI risk documentation is integrated into broader risk management and governance frameworks, supporting decision-making and oversight activities.</w:t>
      </w:r>
    </w:p>
    <w:p w14:paraId="1756C19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764DF3A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Linking risk documentation to enterprise risk registers.</w:t>
      </w:r>
    </w:p>
    <w:p w14:paraId="27885AA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Inclusion of AI-specific risks in compliance and audit reports.</w:t>
      </w:r>
    </w:p>
    <w:p w14:paraId="350A998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Regular oversight review reports referencing the documentation.</w:t>
      </w:r>
    </w:p>
    <w:p w14:paraId="72B18AB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Decision records demonstrating use of documentation in approvals.</w:t>
      </w:r>
    </w:p>
    <w:p w14:paraId="202470A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1031B4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Monitoring and Updating Based on New Data and Risks</w:t>
      </w:r>
    </w:p>
    <w:p w14:paraId="5F3A2D6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mechanisms for ongoing monitoring of AI risks, with processes to capture new risks and update documentation promptly as the AI ecosystem evolves.</w:t>
      </w:r>
    </w:p>
    <w:p w14:paraId="55EC0A7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B59D5A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reports that flag new risks from vendor updates or data issues.</w:t>
      </w:r>
    </w:p>
    <w:p w14:paraId="2066A63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reflecting updates driven by incident reports, audits, or regulatory changes.</w:t>
      </w:r>
    </w:p>
    <w:p w14:paraId="1D033C1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stakeholders and external audits leading to documentation revisions.</w:t>
      </w:r>
    </w:p>
    <w:p w14:paraId="2024E2F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incorporated into risk profiles and responsibilities.</w:t>
      </w:r>
    </w:p>
    <w:p w14:paraId="422523A8"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25D5C7C3"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155D549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3883DD8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5785D769" w14:textId="77777777" w:rsidTr="005C00A5">
        <w:tc>
          <w:tcPr>
            <w:tcW w:w="1170" w:type="dxa"/>
          </w:tcPr>
          <w:p w14:paraId="35D683B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0188177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5CF9001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0572B4CD" w14:textId="77777777" w:rsidTr="005C00A5">
        <w:tc>
          <w:tcPr>
            <w:tcW w:w="1170" w:type="dxa"/>
          </w:tcPr>
          <w:p w14:paraId="44A5C70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GV-6.1.6</w:t>
            </w:r>
          </w:p>
        </w:tc>
        <w:tc>
          <w:tcPr>
            <w:tcW w:w="2160" w:type="dxa"/>
          </w:tcPr>
          <w:p w14:paraId="26D09F3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Fourth-Party Disclosure and Termination</w:t>
            </w:r>
          </w:p>
        </w:tc>
        <w:tc>
          <w:tcPr>
            <w:tcW w:w="6740" w:type="dxa"/>
          </w:tcPr>
          <w:p w14:paraId="2C782A9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recognizes the risks associated with fourth parties—entities utilized by third parties—by requiring third parties to disclose their own third-party relationships and any associated risks. In cases where significant risks are identified, the organization establishes clear guidelines for terminating third-party contracts to protect its interests and mitigate potential harm.</w:t>
            </w:r>
          </w:p>
          <w:p w14:paraId="1906AC23" w14:textId="77777777" w:rsidR="00963E47" w:rsidRPr="00963E47" w:rsidRDefault="00963E47" w:rsidP="004C3837">
            <w:pPr>
              <w:keepNext/>
              <w:rPr>
                <w:rFonts w:ascii="Aptos" w:hAnsi="Aptos" w:cs="Times New Roman"/>
                <w:b/>
                <w:bCs/>
                <w:color w:val="000000"/>
                <w:sz w:val="20"/>
                <w:szCs w:val="20"/>
              </w:rPr>
            </w:pPr>
          </w:p>
          <w:p w14:paraId="300686EB" w14:textId="77777777" w:rsidR="00963E47" w:rsidRPr="00963E47" w:rsidRDefault="00963E47" w:rsidP="004C3837">
            <w:pPr>
              <w:keepNext/>
              <w:rPr>
                <w:rFonts w:ascii="Aptos" w:hAnsi="Aptos" w:cs="Times New Roman"/>
                <w:b/>
                <w:bCs/>
                <w:color w:val="000000"/>
                <w:sz w:val="20"/>
                <w:szCs w:val="20"/>
              </w:rPr>
            </w:pPr>
            <w:hyperlink r:id="rId85" w:anchor="govern-6-1" w:history="1">
              <w:r w:rsidRPr="00963E47">
                <w:rPr>
                  <w:rFonts w:ascii="Aptos" w:hAnsi="Aptos" w:cs="Times New Roman"/>
                  <w:color w:val="000000"/>
                  <w:sz w:val="20"/>
                  <w:szCs w:val="20"/>
                  <w:u w:val="single"/>
                </w:rPr>
                <w:t>Link to NIST AI RMF Playbook</w:t>
              </w:r>
            </w:hyperlink>
          </w:p>
        </w:tc>
      </w:tr>
    </w:tbl>
    <w:p w14:paraId="1C8EBE45"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B260D79"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6DDF9B78"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34D8A286" w14:textId="77777777" w:rsidTr="005C00A5">
        <w:trPr>
          <w:tblHeader/>
        </w:trPr>
        <w:tc>
          <w:tcPr>
            <w:tcW w:w="2160" w:type="dxa"/>
            <w:shd w:val="clear" w:color="auto" w:fill="CCDCDC"/>
            <w:vAlign w:val="center"/>
          </w:tcPr>
          <w:p w14:paraId="365C337F"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0A304E01"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7A2D3F0C"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2FD88142" w14:textId="77777777" w:rsidTr="005C00A5">
        <w:tc>
          <w:tcPr>
            <w:tcW w:w="2160" w:type="dxa"/>
            <w:shd w:val="clear" w:color="auto" w:fill="CCDCDC"/>
          </w:tcPr>
          <w:p w14:paraId="75DFCF8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262A9BD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BA9100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336E2A2A" w14:textId="77777777" w:rsidTr="005C00A5">
        <w:tc>
          <w:tcPr>
            <w:tcW w:w="2160" w:type="dxa"/>
            <w:shd w:val="clear" w:color="auto" w:fill="CCDCDC"/>
          </w:tcPr>
          <w:p w14:paraId="1FE39AF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79BCD55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5C513BC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32A290C4" w14:textId="77777777" w:rsidTr="005C00A5">
        <w:tc>
          <w:tcPr>
            <w:tcW w:w="2160" w:type="dxa"/>
            <w:shd w:val="clear" w:color="auto" w:fill="CCDCDC"/>
          </w:tcPr>
          <w:p w14:paraId="245458F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52E4B43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AE1C72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recognize the risks associated with fourth parties and require third parties to disclose their own third-party relationships and any associated risks. They also establish clear guidelines for terminating third-party contracts where significant risks are identified, although these practices may not yet be fully consistent across all third-party relationships.</w:t>
            </w:r>
          </w:p>
        </w:tc>
      </w:tr>
      <w:tr w:rsidR="00963E47" w:rsidRPr="00963E47" w14:paraId="039AAEFE" w14:textId="77777777" w:rsidTr="005C00A5">
        <w:tc>
          <w:tcPr>
            <w:tcW w:w="2160" w:type="dxa"/>
            <w:shd w:val="clear" w:color="auto" w:fill="CCDCDC"/>
          </w:tcPr>
          <w:p w14:paraId="2198885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73B45DD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9808C7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recognize the risks associated with fourth parties and establish clear guidelines for terminating third-party contracts where significant risks are identified. This is fully integrated into the organization's overall third-party risk management processes. These practices are consistently implemented, regularly reviewed and updated based on emerging risks and best practices, and are supported by robust fourth-party risk assessment frameworks, contract termination protocols, and metrics that track their impact on protecting the organization's interests and mitigating potential harm.</w:t>
            </w:r>
          </w:p>
        </w:tc>
      </w:tr>
    </w:tbl>
    <w:p w14:paraId="60380B5B"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61292829" w14:textId="77777777" w:rsidTr="005C00A5">
        <w:tc>
          <w:tcPr>
            <w:tcW w:w="2250" w:type="dxa"/>
          </w:tcPr>
          <w:p w14:paraId="61188E0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lastRenderedPageBreak/>
              <w:t>AI Principle</w:t>
            </w:r>
          </w:p>
        </w:tc>
        <w:tc>
          <w:tcPr>
            <w:tcW w:w="2520" w:type="dxa"/>
          </w:tcPr>
          <w:p w14:paraId="060D98E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52B0BC0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1CFFDFAB" w14:textId="77777777" w:rsidTr="005C00A5">
        <w:tc>
          <w:tcPr>
            <w:tcW w:w="2250" w:type="dxa"/>
          </w:tcPr>
          <w:p w14:paraId="02F696C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4902D04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Unaddressed Fourth-Party Risks</w:t>
            </w:r>
          </w:p>
        </w:tc>
        <w:tc>
          <w:tcPr>
            <w:tcW w:w="5300" w:type="dxa"/>
          </w:tcPr>
          <w:p w14:paraId="0BFDA71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Fourth-party AI risks are not addressed in third-party contracts</w:t>
            </w:r>
          </w:p>
        </w:tc>
      </w:tr>
    </w:tbl>
    <w:p w14:paraId="1F34737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A3DAB7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6AE7BFE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7BA12A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Recognize the risks associated with fourth parties—entities utilized by third parties—by requiring third parties to disclose their own third-party relationships and any associated risks. Update standard contract templates to include provisions related to fourth-party risk disclosure and management.</w:t>
      </w:r>
    </w:p>
    <w:p w14:paraId="186A75C0"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4733FB8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clear guidelines for evaluating the risks associated with fourth parties, and develop criteria for determining when a third-party relationship should be terminated due to unacceptable levels of fourth-party risk. Communicate these guidelines and criteria to all relevant stakeholders, including procurement and legal teams, and provide training to ensure consistent application. Regularly review and update fourth-party risk management processes to ensure they remain effective and aligned with the organization's overall risk management strategy.</w:t>
      </w:r>
    </w:p>
    <w:p w14:paraId="3044328B"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353DE8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038DC22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05F3B5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Recognition and Disclosure of Fourth-Party Relationships</w:t>
      </w:r>
    </w:p>
    <w:p w14:paraId="1073A61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Mandate that third parties disclose their own third-party relationships and associated risks during onboarding and ongoing assessments.</w:t>
      </w:r>
    </w:p>
    <w:p w14:paraId="3FB85A9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E78F5B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Contract clauses requiring disclosure of fourth-party relationships and risk profiles.</w:t>
      </w:r>
    </w:p>
    <w:p w14:paraId="2177BF5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Due diligence questionnaires or audit reports obtained from third parties.</w:t>
      </w:r>
    </w:p>
    <w:p w14:paraId="09F4D74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disclosures received and evaluated from third parties.</w:t>
      </w:r>
    </w:p>
    <w:p w14:paraId="10F3BB1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third-party risk assessments including fourth-party considerations.</w:t>
      </w:r>
    </w:p>
    <w:p w14:paraId="715D950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E2B43C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Evaluation and Assessment of Fourth-Party Risks</w:t>
      </w:r>
    </w:p>
    <w:p w14:paraId="4CD3E41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processes to assess the risks posed by fourth parties, focusing on data security, compliance, operational dependencies, and reputational impact.</w:t>
      </w:r>
    </w:p>
    <w:p w14:paraId="77E2F69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919DDD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assessment reports detailing fourth-party relationships and related vulnerabilities.</w:t>
      </w:r>
    </w:p>
    <w:p w14:paraId="5060276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Audits or reviews that include fourth-party risk evaluation.</w:t>
      </w:r>
    </w:p>
    <w:p w14:paraId="13D4209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Acceptable risk criteria and scoring models used for significance determination.</w:t>
      </w:r>
    </w:p>
    <w:p w14:paraId="4BF20A1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risk mitigation measures or controls specific to fourth-party risks.</w:t>
      </w:r>
    </w:p>
    <w:p w14:paraId="1F7A86D3"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A931E6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Contractual Guidelines and Termination Procedures for Significant Risks</w:t>
      </w:r>
    </w:p>
    <w:p w14:paraId="39020F6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clear contractual provisions and procedures guiding termination of third-party contracts when risks from fourth parties become unacceptable or unmanageable.</w:t>
      </w:r>
    </w:p>
    <w:p w14:paraId="1F161F9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EC7962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Standard clauses defining conditions for termination related to fourth-party risks.</w:t>
      </w:r>
    </w:p>
    <w:p w14:paraId="39D891B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Contract review procedures that include fourth-party risk analysis.</w:t>
      </w:r>
    </w:p>
    <w:p w14:paraId="445AE5C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Termination notices or agreements executed based on risk assessments.</w:t>
      </w:r>
    </w:p>
    <w:p w14:paraId="6E2D19D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Documented decision-making process for contract termination.</w:t>
      </w:r>
    </w:p>
    <w:p w14:paraId="5346440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9AD578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Ongoing Monitoring and Reevaluation of Fourth-Party Risks</w:t>
      </w:r>
    </w:p>
    <w:p w14:paraId="1A02ACD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Continuously monitor and reevaluate fourth-party relationships to identify emerging risks and enforce termination or mitigation actions as needed.</w:t>
      </w:r>
    </w:p>
    <w:p w14:paraId="73AE21D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A558F4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Periodic risk re-assessment reports including fourth-party factors.</w:t>
      </w:r>
    </w:p>
    <w:p w14:paraId="3F672E0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or breach logs linked to fourth-party entities.</w:t>
      </w:r>
    </w:p>
    <w:p w14:paraId="745E81A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Updated risk profiles and mitigation plans reflecting new insights.</w:t>
      </w:r>
    </w:p>
    <w:p w14:paraId="68A1218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records of contract amendments or withdrawals.</w:t>
      </w:r>
    </w:p>
    <w:p w14:paraId="0890696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72845B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Awareness and Training on Fourth-Party Risks and Termination Protocols</w:t>
      </w:r>
    </w:p>
    <w:p w14:paraId="4F07919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Provide training to procurement, legal, and risk teams on identifying, evaluating, and responding to fourth-party risks, including when and how to initiate contract termination.</w:t>
      </w:r>
    </w:p>
    <w:p w14:paraId="706A11D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03B753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curricula, attendance logs, and certification records.</w:t>
      </w:r>
    </w:p>
    <w:p w14:paraId="740BBE0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Policy and procedure manuals on fourth-party risk management.</w:t>
      </w:r>
    </w:p>
    <w:p w14:paraId="0185FB9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Scenario exercises or simulations testing termination decision processes.</w:t>
      </w:r>
    </w:p>
    <w:p w14:paraId="0C11C32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Internal communications emphasizing responsibilities and protocols.</w:t>
      </w:r>
    </w:p>
    <w:p w14:paraId="2079375E"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654DE1F5"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77E25D2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421CFEA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1E3E6C7A" w14:textId="77777777" w:rsidTr="005C00A5">
        <w:tc>
          <w:tcPr>
            <w:tcW w:w="1170" w:type="dxa"/>
          </w:tcPr>
          <w:p w14:paraId="6D624A2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6EC45D5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7E3DA70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4D8F4B3F" w14:textId="77777777" w:rsidTr="005C00A5">
        <w:tc>
          <w:tcPr>
            <w:tcW w:w="1170" w:type="dxa"/>
          </w:tcPr>
          <w:p w14:paraId="5BD4343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GV-6.1.7</w:t>
            </w:r>
          </w:p>
        </w:tc>
        <w:tc>
          <w:tcPr>
            <w:tcW w:w="2160" w:type="dxa"/>
          </w:tcPr>
          <w:p w14:paraId="76E364F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System Requirements Review and Updates</w:t>
            </w:r>
          </w:p>
        </w:tc>
        <w:tc>
          <w:tcPr>
            <w:tcW w:w="6740" w:type="dxa"/>
          </w:tcPr>
          <w:p w14:paraId="0CA61D4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creates a plan for regular reviews and updates of third-party system requirements throughout the AI lifecycle, allowing for the identification of emerging risks and the incorporation of feedback from relevant AI stakeholders.</w:t>
            </w:r>
          </w:p>
          <w:p w14:paraId="5BBEA8ED" w14:textId="77777777" w:rsidR="00963E47" w:rsidRPr="00963E47" w:rsidRDefault="00963E47" w:rsidP="004C3837">
            <w:pPr>
              <w:keepNext/>
              <w:rPr>
                <w:rFonts w:ascii="Aptos" w:hAnsi="Aptos" w:cs="Times New Roman"/>
                <w:b/>
                <w:bCs/>
                <w:color w:val="000000"/>
                <w:sz w:val="20"/>
                <w:szCs w:val="20"/>
              </w:rPr>
            </w:pPr>
          </w:p>
          <w:p w14:paraId="3C636E67" w14:textId="77777777" w:rsidR="00963E47" w:rsidRPr="00963E47" w:rsidRDefault="00963E47" w:rsidP="004C3837">
            <w:pPr>
              <w:keepNext/>
              <w:rPr>
                <w:rFonts w:ascii="Aptos" w:hAnsi="Aptos" w:cs="Times New Roman"/>
                <w:b/>
                <w:bCs/>
                <w:color w:val="000000"/>
                <w:sz w:val="20"/>
                <w:szCs w:val="20"/>
              </w:rPr>
            </w:pPr>
            <w:hyperlink r:id="rId86" w:anchor="govern-6-1" w:history="1">
              <w:r w:rsidRPr="00963E47">
                <w:rPr>
                  <w:rFonts w:ascii="Aptos" w:hAnsi="Aptos" w:cs="Times New Roman"/>
                  <w:color w:val="000000"/>
                  <w:sz w:val="20"/>
                  <w:szCs w:val="20"/>
                  <w:u w:val="single"/>
                </w:rPr>
                <w:t>Link to NIST AI RMF Playbook</w:t>
              </w:r>
            </w:hyperlink>
          </w:p>
        </w:tc>
      </w:tr>
    </w:tbl>
    <w:p w14:paraId="0D4683F6"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5412033"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0E7D2856"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08078F43" w14:textId="77777777" w:rsidTr="005C00A5">
        <w:trPr>
          <w:tblHeader/>
        </w:trPr>
        <w:tc>
          <w:tcPr>
            <w:tcW w:w="2160" w:type="dxa"/>
            <w:shd w:val="clear" w:color="auto" w:fill="CCDCDC"/>
            <w:vAlign w:val="center"/>
          </w:tcPr>
          <w:p w14:paraId="72811C9E"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5E33CE23"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0477EE8F"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46181677" w14:textId="77777777" w:rsidTr="005C00A5">
        <w:tc>
          <w:tcPr>
            <w:tcW w:w="2160" w:type="dxa"/>
            <w:shd w:val="clear" w:color="auto" w:fill="CCDCDC"/>
          </w:tcPr>
          <w:p w14:paraId="250FB05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65EDD45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FF932A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6184C06A" w14:textId="77777777" w:rsidTr="005C00A5">
        <w:tc>
          <w:tcPr>
            <w:tcW w:w="2160" w:type="dxa"/>
            <w:shd w:val="clear" w:color="auto" w:fill="CCDCDC"/>
          </w:tcPr>
          <w:p w14:paraId="2522B44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3F6A50C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CAA6F8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2A11C681" w14:textId="77777777" w:rsidTr="005C00A5">
        <w:tc>
          <w:tcPr>
            <w:tcW w:w="2160" w:type="dxa"/>
            <w:shd w:val="clear" w:color="auto" w:fill="CCDCDC"/>
          </w:tcPr>
          <w:p w14:paraId="3CD69BD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10247DB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2F69DD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develop plans to review and update third-party system requirements periodically, capturing emerging risks and stakeholder feedback.</w:t>
            </w:r>
          </w:p>
        </w:tc>
      </w:tr>
      <w:tr w:rsidR="00963E47" w:rsidRPr="00963E47" w14:paraId="1B1F8B6A" w14:textId="77777777" w:rsidTr="005C00A5">
        <w:tc>
          <w:tcPr>
            <w:tcW w:w="2160" w:type="dxa"/>
            <w:shd w:val="clear" w:color="auto" w:fill="CCDCDC"/>
          </w:tcPr>
          <w:p w14:paraId="06F8F95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1882341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615BDC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automated, continuous review processes that proactively adapt requirements throughout the AI lifecycle, ensuring ongoing alignment with evolving risks and stakeholder needs in line with AI Trustworthy Principles.</w:t>
            </w:r>
          </w:p>
        </w:tc>
      </w:tr>
    </w:tbl>
    <w:p w14:paraId="2434137D"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5C3CE0EC" w14:textId="77777777" w:rsidTr="005C00A5">
        <w:tc>
          <w:tcPr>
            <w:tcW w:w="2250" w:type="dxa"/>
          </w:tcPr>
          <w:p w14:paraId="7CDC5BC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2CBACCE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1554408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5540E5DC" w14:textId="77777777" w:rsidTr="005C00A5">
        <w:tc>
          <w:tcPr>
            <w:tcW w:w="2250" w:type="dxa"/>
          </w:tcPr>
          <w:p w14:paraId="268DA21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228F21F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Unreviewed Third-Party Requirements</w:t>
            </w:r>
          </w:p>
        </w:tc>
        <w:tc>
          <w:tcPr>
            <w:tcW w:w="5300" w:type="dxa"/>
          </w:tcPr>
          <w:p w14:paraId="6816FEF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Third-party system requirements are not reviewed and updated regularly</w:t>
            </w:r>
          </w:p>
        </w:tc>
      </w:tr>
    </w:tbl>
    <w:p w14:paraId="35BEFA5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A97D2F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2D865B3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6668AC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Create a plan for regularly reviewing and updating the AI system requirements throughout third-party systems' lifecycles. This plan should include activities such as periodic reviews of the system's performance, user feedback collection, and proactive identification of emerging risks and opportunities for improvement. </w:t>
      </w:r>
    </w:p>
    <w:p w14:paraId="76E6AB70"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A4BDBE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Engage relevant stakeholders, such as end-users, domain experts, and impacted communities, to gather input on the system's performance and potential areas for improvement. Develop a standardized process for incorporating this feedback into the system requirements, ensuring relevant parties are aware of and trained on this process.</w:t>
      </w:r>
    </w:p>
    <w:p w14:paraId="1B3FFC45"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0BDA44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Document the plan for regular reviews and updates in clear and concise language, ensuring it is easily accessible to relevant parties. Regularly review and update the plan as needed to maintain its accuracy and relevance, and communicate changes to relevant stakeholders to ensure ongoing engagement and understanding.</w:t>
      </w:r>
    </w:p>
    <w:p w14:paraId="06532C81"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FDF110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6B9C24E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04125E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Formal Review and Update Schedule</w:t>
      </w:r>
    </w:p>
    <w:p w14:paraId="3E57392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 documented schedule specifying review frequency, responsible parties, and scope for reassessing third-party AI system requirements at key lifecycle stages.</w:t>
      </w:r>
    </w:p>
    <w:p w14:paraId="33375B4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DB5F77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Approved review calendar with predefined review intervals.</w:t>
      </w:r>
    </w:p>
    <w:p w14:paraId="78E3FC1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Roles and responsibilities documentation for conducting reviews.</w:t>
      </w:r>
    </w:p>
    <w:p w14:paraId="5D4B6A2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Checklists and scope documents guiding the review process.</w:t>
      </w:r>
    </w:p>
    <w:p w14:paraId="31344BF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schedules and planning documents.</w:t>
      </w:r>
    </w:p>
    <w:p w14:paraId="3E53D90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1B9397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of Emerging Risks and Feedback into Requirements</w:t>
      </w:r>
    </w:p>
    <w:p w14:paraId="29DE108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mechanisms for capturing new risks and stakeholder feedback during operations, testing, and incident response, and feeding these insights into requirement updates.</w:t>
      </w:r>
    </w:p>
    <w:p w14:paraId="472CC86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C1134E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collection reports from stakeholders, incident logs, or testing debriefs.</w:t>
      </w:r>
    </w:p>
    <w:p w14:paraId="5B27EDD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registers updated with new challenges or vulnerabilities.</w:t>
      </w:r>
    </w:p>
    <w:p w14:paraId="25DD36F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and review reports documenting insights and resulting requirement changes.</w:t>
      </w:r>
    </w:p>
    <w:p w14:paraId="329268F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lessons learned and improvements incorporated into system specifications.</w:t>
      </w:r>
    </w:p>
    <w:p w14:paraId="35D281C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7C9C79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Process for Requirement Reassessment and Prioritization</w:t>
      </w:r>
    </w:p>
    <w:p w14:paraId="42FC032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a structured process to evaluate, prioritize, and incorporate emerging risks and feedback, aligning updates with organizational risk appetite and strategic goals.</w:t>
      </w:r>
    </w:p>
    <w:p w14:paraId="59124B6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DE2C25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Impact and risk assessment matrices guiding updates.</w:t>
      </w:r>
    </w:p>
    <w:p w14:paraId="6F47933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Decision logs and approval workflows for requirement revisions.</w:t>
      </w:r>
    </w:p>
    <w:p w14:paraId="27E6D97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Prioritization criteria linking feedback and risk to system modifications.</w:t>
      </w:r>
    </w:p>
    <w:p w14:paraId="5E310D6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request records and update approvals.</w:t>
      </w:r>
    </w:p>
    <w:p w14:paraId="1ADB451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8F5563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and Version Control of Requirement Updates</w:t>
      </w:r>
    </w:p>
    <w:p w14:paraId="26F89EC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comprehensive, version-controlled documentation of requirements revisions, including the rationale, stakeholder input, and risk considerations.</w:t>
      </w:r>
    </w:p>
    <w:p w14:paraId="2AEFC6E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BAE75D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requirement documents with revision history.</w:t>
      </w:r>
    </w:p>
    <w:p w14:paraId="7EEC995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detailing updates, reasons, and approval signatures.</w:t>
      </w:r>
    </w:p>
    <w:p w14:paraId="55C39AB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Traceability matrices linking requirements to risk assessments and stakeholder feedback.</w:t>
      </w:r>
    </w:p>
    <w:p w14:paraId="4C1223F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trail of review and update activities.</w:t>
      </w:r>
    </w:p>
    <w:p w14:paraId="6EFB506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A48D27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Monitoring and Improvement of the Review Process</w:t>
      </w:r>
    </w:p>
    <w:p w14:paraId="16BFF97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evaluate the effectiveness of the review and update process, making improvements based on lessons learned, emerging standards, and stakeholder input.</w:t>
      </w:r>
    </w:p>
    <w:p w14:paraId="5DD27EA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F51DBD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Post-review evaluation reports assessing process effectiveness.</w:t>
      </w:r>
    </w:p>
    <w:p w14:paraId="326C3ED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surveys on review transparency and responsiveness.</w:t>
      </w:r>
    </w:p>
    <w:p w14:paraId="7DB2C53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Process improvement action plans with timelines.</w:t>
      </w:r>
    </w:p>
    <w:p w14:paraId="4E45DC4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process updates and staff training on new procedures.</w:t>
      </w:r>
    </w:p>
    <w:p w14:paraId="691F5F7C"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739F08E3"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3724DB6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1C030B9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4A535E33" w14:textId="77777777" w:rsidTr="005C00A5">
        <w:tc>
          <w:tcPr>
            <w:tcW w:w="1170" w:type="dxa"/>
          </w:tcPr>
          <w:p w14:paraId="3BE15B2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4F72CE3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025D24A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491AB9C9" w14:textId="77777777" w:rsidTr="005C00A5">
        <w:tc>
          <w:tcPr>
            <w:tcW w:w="1170" w:type="dxa"/>
          </w:tcPr>
          <w:p w14:paraId="7B51B45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GV-6.1.8</w:t>
            </w:r>
          </w:p>
        </w:tc>
        <w:tc>
          <w:tcPr>
            <w:tcW w:w="2160" w:type="dxa"/>
          </w:tcPr>
          <w:p w14:paraId="087FD74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Third-Party Concentration Risk Management</w:t>
            </w:r>
          </w:p>
        </w:tc>
        <w:tc>
          <w:tcPr>
            <w:tcW w:w="6740" w:type="dxa"/>
          </w:tcPr>
          <w:p w14:paraId="2B7293D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addresses aggregate third-party concentration risk by encouraging diversification of partners and thorough assessments of potential vulnerabilities associated with reliance on a limited number of third-party AI providers.</w:t>
            </w:r>
          </w:p>
          <w:p w14:paraId="659E58CC" w14:textId="77777777" w:rsidR="00963E47" w:rsidRPr="00963E47" w:rsidRDefault="00963E47" w:rsidP="004C3837">
            <w:pPr>
              <w:keepNext/>
              <w:rPr>
                <w:rFonts w:ascii="Aptos" w:hAnsi="Aptos" w:cs="Times New Roman"/>
                <w:b/>
                <w:bCs/>
                <w:color w:val="000000"/>
                <w:sz w:val="20"/>
                <w:szCs w:val="20"/>
              </w:rPr>
            </w:pPr>
          </w:p>
          <w:p w14:paraId="06C18512" w14:textId="77777777" w:rsidR="00963E47" w:rsidRPr="00963E47" w:rsidRDefault="00963E47" w:rsidP="004C3837">
            <w:pPr>
              <w:keepNext/>
              <w:rPr>
                <w:rFonts w:ascii="Aptos" w:hAnsi="Aptos" w:cs="Times New Roman"/>
                <w:b/>
                <w:bCs/>
                <w:color w:val="000000"/>
                <w:sz w:val="20"/>
                <w:szCs w:val="20"/>
              </w:rPr>
            </w:pPr>
            <w:hyperlink r:id="rId87" w:anchor="govern-6-1" w:history="1">
              <w:r w:rsidRPr="00963E47">
                <w:rPr>
                  <w:rFonts w:ascii="Aptos" w:hAnsi="Aptos" w:cs="Times New Roman"/>
                  <w:color w:val="000000"/>
                  <w:sz w:val="20"/>
                  <w:szCs w:val="20"/>
                  <w:u w:val="single"/>
                </w:rPr>
                <w:t>Link to NIST AI RMF Playbook</w:t>
              </w:r>
            </w:hyperlink>
          </w:p>
        </w:tc>
      </w:tr>
    </w:tbl>
    <w:p w14:paraId="21564158"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51580F9"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2501862F"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16DF6AE4" w14:textId="77777777" w:rsidTr="005C00A5">
        <w:trPr>
          <w:tblHeader/>
        </w:trPr>
        <w:tc>
          <w:tcPr>
            <w:tcW w:w="2160" w:type="dxa"/>
            <w:shd w:val="clear" w:color="auto" w:fill="CCDCDC"/>
            <w:vAlign w:val="center"/>
          </w:tcPr>
          <w:p w14:paraId="4685759E"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08FDFF40"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1335ED5B"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254A53D2" w14:textId="77777777" w:rsidTr="005C00A5">
        <w:tc>
          <w:tcPr>
            <w:tcW w:w="2160" w:type="dxa"/>
            <w:shd w:val="clear" w:color="auto" w:fill="CCDCDC"/>
          </w:tcPr>
          <w:p w14:paraId="1414747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6FC49F3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51D04B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B0E88DB" w14:textId="77777777" w:rsidTr="005C00A5">
        <w:tc>
          <w:tcPr>
            <w:tcW w:w="2160" w:type="dxa"/>
            <w:shd w:val="clear" w:color="auto" w:fill="CCDCDC"/>
          </w:tcPr>
          <w:p w14:paraId="2F7E5E6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1DF786D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BFC59D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3552690" w14:textId="77777777" w:rsidTr="005C00A5">
        <w:tc>
          <w:tcPr>
            <w:tcW w:w="2160" w:type="dxa"/>
            <w:shd w:val="clear" w:color="auto" w:fill="CCDCDC"/>
          </w:tcPr>
          <w:p w14:paraId="57A522E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753906F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7CCB55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address aggregate third-party concentration risk by encouraging diversification of partners and conducting thorough assessments of potential vulnerabilities associated with reliance on a limited number of third-party AI providers. However, these practices may not yet be fully consistent or integrated into the organization's overall third-party risk management strategy.</w:t>
            </w:r>
          </w:p>
        </w:tc>
      </w:tr>
      <w:tr w:rsidR="00963E47" w:rsidRPr="00963E47" w14:paraId="12B0E5A4" w14:textId="77777777" w:rsidTr="005C00A5">
        <w:tc>
          <w:tcPr>
            <w:tcW w:w="2160" w:type="dxa"/>
            <w:shd w:val="clear" w:color="auto" w:fill="CCDCDC"/>
          </w:tcPr>
          <w:p w14:paraId="24B5545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5B71EC3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C7FECE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address aggregate third-party concentration risk by encouraging diversification of partners and conducting thorough assessments of potential vulnerabilities. This is fully integrated into the organization's overall third-party risk management strategy. These practices are consistently implemented, regularly reviewed and updated based on emerging risks and best practices, and are supported by robust concentration risk assessment frameworks, diversification targets, and metrics that track their impact on reducing the organization's exposure to third-party AI provider concentration risk.</w:t>
            </w:r>
          </w:p>
        </w:tc>
      </w:tr>
    </w:tbl>
    <w:p w14:paraId="27667821"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64AACB7F" w14:textId="77777777" w:rsidTr="005C00A5">
        <w:tc>
          <w:tcPr>
            <w:tcW w:w="2250" w:type="dxa"/>
          </w:tcPr>
          <w:p w14:paraId="211B62A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32A38FC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47CED41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3202FB07" w14:textId="77777777" w:rsidTr="005C00A5">
        <w:tc>
          <w:tcPr>
            <w:tcW w:w="2250" w:type="dxa"/>
          </w:tcPr>
          <w:p w14:paraId="074DA4E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48BAE1C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Unaddressed Concentration Risk</w:t>
            </w:r>
          </w:p>
        </w:tc>
        <w:tc>
          <w:tcPr>
            <w:tcW w:w="5300" w:type="dxa"/>
          </w:tcPr>
          <w:p w14:paraId="4474057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Aggregate third-party AI concentration risk is not addressed</w:t>
            </w:r>
          </w:p>
        </w:tc>
      </w:tr>
    </w:tbl>
    <w:p w14:paraId="37650FF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B232B9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4F4BE8B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E2AA7E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Address aggregate third-party concentration risk by encouraging diversification of partners and thorough assessments of potential vulnerabilities associated with reliance on a limited number of third-party AI providers. Establish guidelines for the maximum percentage of AI-related services that can be provided by a single third-party entity, and develop contingency plans for transitioning to alternative providers if necessary.</w:t>
      </w:r>
    </w:p>
    <w:p w14:paraId="35789F24"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6F7DE77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Conduct regular assessments of the organization's third-party AI provider portfolio to identify potential concentration risks, and develop strategies for mitigating these risks, such as establishing backup providers or investing in internal AI development capabilities. Communicate the importance of third-party diversification to relevant stakeholders, </w:t>
      </w:r>
      <w:r w:rsidRPr="00963E47">
        <w:rPr>
          <w:rFonts w:ascii="Aptos" w:eastAsia="Aptos" w:hAnsi="Aptos" w:cs="Times New Roman"/>
          <w:noProof/>
          <w:color w:val="auto"/>
          <w:kern w:val="2"/>
          <w:sz w:val="20"/>
          <w:szCs w:val="20"/>
          <w14:ligatures w14:val="standardContextual"/>
        </w:rPr>
        <w:lastRenderedPageBreak/>
        <w:t>including procurement and IT teams, and provide guidance on how to effectively manage concentration risk in the context of AI.</w:t>
      </w:r>
    </w:p>
    <w:p w14:paraId="4C25B3B2"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D6B8A0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019C257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E56DD3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Policy and Framework for Managing Third-Party Concentration</w:t>
      </w:r>
    </w:p>
    <w:p w14:paraId="45705DC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policies requiring diversification strategies and risk assessments to prevent excessive reliance on a few AI providers.</w:t>
      </w:r>
    </w:p>
    <w:p w14:paraId="02CB148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3DE77F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Approved policies outlining diversification targets and limits.</w:t>
      </w:r>
    </w:p>
    <w:p w14:paraId="48AC6C0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Procedures for identifying and evaluating reliance levels on key providers.</w:t>
      </w:r>
    </w:p>
    <w:p w14:paraId="19B88B8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management frameworks incorporating concentration risk metrics.</w:t>
      </w:r>
    </w:p>
    <w:p w14:paraId="57CE7F9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approval documentation for diversification strategies.</w:t>
      </w:r>
    </w:p>
    <w:p w14:paraId="28023FE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95ACF5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Partner Diversification and Dependency Mapping</w:t>
      </w:r>
    </w:p>
    <w:p w14:paraId="2BD14CE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an inventory and mapping of AI providers to identify concentration levels and dependencies, supporting effective diversification planning.</w:t>
      </w:r>
    </w:p>
    <w:p w14:paraId="1780A73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D9BCCA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Third-party provider inventory with dependency metrics.</w:t>
      </w:r>
    </w:p>
    <w:p w14:paraId="1D06530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Analytical reports highlighting concentration risks.</w:t>
      </w:r>
    </w:p>
    <w:p w14:paraId="16ABBD7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Visual maps or heatmaps of reliance on providers.</w:t>
      </w:r>
    </w:p>
    <w:p w14:paraId="558F244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Management summaries recommending diversification actions.</w:t>
      </w:r>
    </w:p>
    <w:p w14:paraId="6F6F0F7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2B1C62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Due Diligence and Vulnerability Assessments for Key Providers</w:t>
      </w:r>
    </w:p>
    <w:p w14:paraId="490C031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Perform comprehensive assessments for high-dependency providers, evaluating vulnerabilities linked to reliance on limited sources, security posture, and operational stability.</w:t>
      </w:r>
    </w:p>
    <w:p w14:paraId="6CDE536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8337BE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Due diligence reports including dependency analysis.</w:t>
      </w:r>
    </w:p>
    <w:p w14:paraId="5A2517C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Security and operational risk assessments.</w:t>
      </w:r>
    </w:p>
    <w:p w14:paraId="5C0DCC0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Contingency or exit plans for high-risk providers.</w:t>
      </w:r>
    </w:p>
    <w:p w14:paraId="18587B1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Certification or audit results demonstrating provider resilience.</w:t>
      </w:r>
    </w:p>
    <w:p w14:paraId="1575E4D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6D8BF4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Implementation of Diversification Strategies and Limits</w:t>
      </w:r>
    </w:p>
    <w:p w14:paraId="242F095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Actively work to diversify provider relationships, set limits on reliance concentrations, and monitor adherence, adjusting based on assessment outcomes.</w:t>
      </w:r>
    </w:p>
    <w:p w14:paraId="3B85524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4B320B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Contract records with multiple providers per AI function.</w:t>
      </w:r>
    </w:p>
    <w:p w14:paraId="66FA4CD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Dashboards monitoring reliance levels against thresholds.</w:t>
      </w:r>
    </w:p>
    <w:p w14:paraId="2B63B25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Reallocation plans to reduce dependency on specific providers.</w:t>
      </w:r>
    </w:p>
    <w:p w14:paraId="2ABCCD2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Periodic management review points documenting reliance status.</w:t>
      </w:r>
    </w:p>
    <w:p w14:paraId="28182BF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25A61F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Ongoing Monitoring and Reassessment of Concentration Risks</w:t>
      </w:r>
    </w:p>
    <w:p w14:paraId="206C268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Continuously monitor reliance and diversification effectiveness, updating assessments and strategies based on market changes, provider performance, and emerging vulnerabilities.</w:t>
      </w:r>
    </w:p>
    <w:p w14:paraId="700EE9E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730FD9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Regular dependence and risk review reports.</w:t>
      </w:r>
    </w:p>
    <w:p w14:paraId="7D7E6C0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logs or provider performance issues affecting reliance.</w:t>
      </w:r>
    </w:p>
    <w:p w14:paraId="7603AD1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dependency maps reflecting strategic shifts.</w:t>
      </w:r>
    </w:p>
    <w:p w14:paraId="06138C0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on mitigation actions taken and their outcomes.</w:t>
      </w:r>
    </w:p>
    <w:p w14:paraId="36F04941"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3B37127D"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4ACD110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3812847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01CF3B09" w14:textId="77777777" w:rsidTr="005C00A5">
        <w:tc>
          <w:tcPr>
            <w:tcW w:w="1170" w:type="dxa"/>
          </w:tcPr>
          <w:p w14:paraId="3971BEE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5BB5515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55FDB9D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5BD94D9D" w14:textId="77777777" w:rsidTr="005C00A5">
        <w:tc>
          <w:tcPr>
            <w:tcW w:w="1170" w:type="dxa"/>
          </w:tcPr>
          <w:p w14:paraId="0618782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GV-6.1.9</w:t>
            </w:r>
          </w:p>
        </w:tc>
        <w:tc>
          <w:tcPr>
            <w:tcW w:w="2160" w:type="dxa"/>
          </w:tcPr>
          <w:p w14:paraId="73C6264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Third-Party AI Compliance Monitoring</w:t>
            </w:r>
          </w:p>
        </w:tc>
        <w:tc>
          <w:tcPr>
            <w:tcW w:w="6740" w:type="dxa"/>
          </w:tcPr>
          <w:p w14:paraId="13B6F51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strengthens its monitoring and auditing processes for third-party AI partners by integrating AI-specific compliance obligations related to data management and security standards, while establishing mechanisms to address any AI-related issues identified.</w:t>
            </w:r>
          </w:p>
          <w:p w14:paraId="6CE4F108" w14:textId="77777777" w:rsidR="00963E47" w:rsidRPr="00963E47" w:rsidRDefault="00963E47" w:rsidP="004C3837">
            <w:pPr>
              <w:keepNext/>
              <w:rPr>
                <w:rFonts w:ascii="Aptos" w:hAnsi="Aptos" w:cs="Times New Roman"/>
                <w:b/>
                <w:bCs/>
                <w:color w:val="000000"/>
                <w:sz w:val="20"/>
                <w:szCs w:val="20"/>
              </w:rPr>
            </w:pPr>
          </w:p>
          <w:p w14:paraId="25FFA7E9" w14:textId="77777777" w:rsidR="00963E47" w:rsidRPr="00963E47" w:rsidRDefault="00963E47" w:rsidP="004C3837">
            <w:pPr>
              <w:keepNext/>
              <w:rPr>
                <w:rFonts w:ascii="Aptos" w:hAnsi="Aptos" w:cs="Times New Roman"/>
                <w:b/>
                <w:bCs/>
                <w:color w:val="000000"/>
                <w:sz w:val="20"/>
                <w:szCs w:val="20"/>
              </w:rPr>
            </w:pPr>
            <w:hyperlink r:id="rId88" w:anchor="govern-6-1" w:history="1">
              <w:r w:rsidRPr="00963E47">
                <w:rPr>
                  <w:rFonts w:ascii="Aptos" w:hAnsi="Aptos" w:cs="Times New Roman"/>
                  <w:color w:val="000000"/>
                  <w:sz w:val="20"/>
                  <w:szCs w:val="20"/>
                  <w:u w:val="single"/>
                </w:rPr>
                <w:t>Link to NIST AI RMF Playbook</w:t>
              </w:r>
            </w:hyperlink>
          </w:p>
        </w:tc>
      </w:tr>
    </w:tbl>
    <w:p w14:paraId="3A83742D"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00CAAA7"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60FBAD5F"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0E804557" w14:textId="77777777" w:rsidTr="005C00A5">
        <w:trPr>
          <w:tblHeader/>
        </w:trPr>
        <w:tc>
          <w:tcPr>
            <w:tcW w:w="2160" w:type="dxa"/>
            <w:shd w:val="clear" w:color="auto" w:fill="CCDCDC"/>
            <w:vAlign w:val="center"/>
          </w:tcPr>
          <w:p w14:paraId="3236F426"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01411918"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396C658B"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3FD5BFE4" w14:textId="77777777" w:rsidTr="005C00A5">
        <w:tc>
          <w:tcPr>
            <w:tcW w:w="2160" w:type="dxa"/>
            <w:shd w:val="clear" w:color="auto" w:fill="CCDCDC"/>
          </w:tcPr>
          <w:p w14:paraId="69F0D04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5672298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4B0DB3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45DC771A" w14:textId="77777777" w:rsidTr="005C00A5">
        <w:tc>
          <w:tcPr>
            <w:tcW w:w="2160" w:type="dxa"/>
            <w:shd w:val="clear" w:color="auto" w:fill="CCDCDC"/>
          </w:tcPr>
          <w:p w14:paraId="062F669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63809E9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585166A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1A75FE83" w14:textId="77777777" w:rsidTr="005C00A5">
        <w:tc>
          <w:tcPr>
            <w:tcW w:w="2160" w:type="dxa"/>
            <w:shd w:val="clear" w:color="auto" w:fill="CCDCDC"/>
          </w:tcPr>
          <w:p w14:paraId="35D1F72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5302D99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F6395C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have strengthened their monitoring and auditing processes for third-party AI partners by integrating AI-specific compliance obligations related to data management and security standards. They have also established mechanisms to address any AI-related issues identified, although these practices may not yet be fully consistent across all third-party AI partnerships.</w:t>
            </w:r>
          </w:p>
        </w:tc>
      </w:tr>
      <w:tr w:rsidR="00963E47" w:rsidRPr="00963E47" w14:paraId="1553DDA0" w14:textId="77777777" w:rsidTr="005C00A5">
        <w:tc>
          <w:tcPr>
            <w:tcW w:w="2160" w:type="dxa"/>
            <w:shd w:val="clear" w:color="auto" w:fill="CCDCDC"/>
          </w:tcPr>
          <w:p w14:paraId="3BB1ADC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2A654C8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B3542E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strengthen monitoring and auditing processes for third-party AI partners by integrating AI-specific compliance obligation, which is fully integrated into the organization's overall third-party risk management processes. These practices are consistently implemented, regularly reviewed and updated based on emerging risks and best practices, and are supported by robust AI-specific monitoring and auditing frameworks, issue resolution protocols, and metrics that track their impact on ensuring third-party AI partners' compliance with data management and security standards.</w:t>
            </w:r>
          </w:p>
        </w:tc>
      </w:tr>
    </w:tbl>
    <w:p w14:paraId="4D6A10D3"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1637EB72" w14:textId="77777777" w:rsidTr="005C00A5">
        <w:tc>
          <w:tcPr>
            <w:tcW w:w="2250" w:type="dxa"/>
          </w:tcPr>
          <w:p w14:paraId="7914565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1C41A38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1D2B03A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7EB33B7E" w14:textId="77777777" w:rsidTr="005C00A5">
        <w:tc>
          <w:tcPr>
            <w:tcW w:w="2250" w:type="dxa"/>
          </w:tcPr>
          <w:p w14:paraId="7A503CB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7336438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Insufficient Partner Monitoring</w:t>
            </w:r>
          </w:p>
        </w:tc>
        <w:tc>
          <w:tcPr>
            <w:tcW w:w="5300" w:type="dxa"/>
          </w:tcPr>
          <w:p w14:paraId="03CA307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Monitoring and auditing of third-party AI partners is insufficient</w:t>
            </w:r>
          </w:p>
        </w:tc>
      </w:tr>
    </w:tbl>
    <w:p w14:paraId="3CFE5C4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527651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535EE86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B0642E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Strengthen monitoring and auditing processes for third-party AI partners by integrating AI-specific compliance obligations related to data management and security standards. Develop a standardized audit checklist that includes criteria related to AI governance, such as model validation, bias testing, and transparency requirements.</w:t>
      </w:r>
    </w:p>
    <w:p w14:paraId="3A40A9ED"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DC3AA0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clear protocols for conducting audits, including roles and responsibilities, audit methodologies, and reporting requirements. Use the results of audits to identify areas for improvement and establish corrective action plans as needed. Create mechanisms for addressing any AI-related issues identified during audits, such as escalation procedures and communication protocols. Regularly review and update monitoring and auditing processes to ensure they remain effective and aligned with emerging best practices in AI risk management.</w:t>
      </w:r>
    </w:p>
    <w:p w14:paraId="365FEDCC"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932779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lastRenderedPageBreak/>
        <w:t xml:space="preserve">Example Controls and Evidence: </w:t>
      </w:r>
    </w:p>
    <w:p w14:paraId="402386F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DFDB62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Incorporation of AI-Specific Compliance Criteria into Monitoring and Audits</w:t>
      </w:r>
    </w:p>
    <w:p w14:paraId="7940E84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audit checklists and monitoring criteria that explicitly include AI-related data governance, security, privacy, and bias mitigation standards.</w:t>
      </w:r>
    </w:p>
    <w:p w14:paraId="4A1ADE6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3D2F8B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checklists with AI-specific items aligned to organizational policies and standards.</w:t>
      </w:r>
    </w:p>
    <w:p w14:paraId="4F9BB85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Compliance frameworks referencing AI data handling and security controls.</w:t>
      </w:r>
    </w:p>
    <w:p w14:paraId="23FC3FE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on adherence to AI-specific obligations during audits.</w:t>
      </w:r>
    </w:p>
    <w:p w14:paraId="1F2CF17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materials for auditors on AI compliance focus areas.</w:t>
      </w:r>
    </w:p>
    <w:p w14:paraId="1A37321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288DB5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Data and Model Transparency and Validation Mechanisms</w:t>
      </w:r>
    </w:p>
    <w:p w14:paraId="6752992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procedures to verify that data management, model transparency, and decision-making processes meet compliance standards throughout the AI lifecycle.</w:t>
      </w:r>
    </w:p>
    <w:p w14:paraId="66CA482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93E077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provenance and model interpretability assessment reports.</w:t>
      </w:r>
    </w:p>
    <w:p w14:paraId="5BB0FBC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validation activities, such as bias testing and fairness audits.</w:t>
      </w:r>
    </w:p>
    <w:p w14:paraId="2FB8E1A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Model explainability reports or model cards.</w:t>
      </w:r>
    </w:p>
    <w:p w14:paraId="62B6B3D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periodic review checks confirming ongoing compliance.</w:t>
      </w:r>
    </w:p>
    <w:p w14:paraId="161F157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186D9C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Issue Detection, Logging, and Escalation Processes</w:t>
      </w:r>
    </w:p>
    <w:p w14:paraId="6D5CC06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mechanisms for continuous monitoring, incident detection, and logging of AI-related issues—such as bias, safety, or privacy breaches—and define escalation procedures.</w:t>
      </w:r>
    </w:p>
    <w:p w14:paraId="1A4E93A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3832BE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Real-time monitoring dashboards highlighting compliance deviations or risks.</w:t>
      </w:r>
    </w:p>
    <w:p w14:paraId="6A39477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logs detailing issues with root cause analyses.</w:t>
      </w:r>
    </w:p>
    <w:p w14:paraId="3278742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Alerts and notification records for AI issues requiring escalation.</w:t>
      </w:r>
    </w:p>
    <w:p w14:paraId="520DE68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Escalation and corrective action documentation.</w:t>
      </w:r>
    </w:p>
    <w:p w14:paraId="7A51660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FC472C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Mechanisms for Issue Resolution and Corrective Actions</w:t>
      </w:r>
    </w:p>
    <w:p w14:paraId="4E746B4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Define and document processes for addressing AI-related issues, including root cause analysis, remediation, and preventing recurrence, with oversight mechanisms.</w:t>
      </w:r>
    </w:p>
    <w:p w14:paraId="6343551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924EB5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Corrective action plans with timelines and responsible owners.</w:t>
      </w:r>
    </w:p>
    <w:p w14:paraId="0866209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Follow-up audits or reviews confirming issue resolution effectiveness.</w:t>
      </w:r>
    </w:p>
    <w:p w14:paraId="50FDC1A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issue management meetings and decision approvals.</w:t>
      </w:r>
    </w:p>
    <w:p w14:paraId="31FA503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systems or processes post-issue.</w:t>
      </w:r>
    </w:p>
    <w:p w14:paraId="6AE3810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4D9D4D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Ongoing Training and Updates on AI Compliance Standards</w:t>
      </w:r>
    </w:p>
    <w:p w14:paraId="23C71A2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Provide regular training to audit and monitoring teams on AI-specific compliance obligations, emerging standards, and best practices, updating procedures based on lessons learned.</w:t>
      </w:r>
    </w:p>
    <w:p w14:paraId="2842AF5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14D9BC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session agendas, attendance records, and certifications.</w:t>
      </w:r>
    </w:p>
    <w:p w14:paraId="395D44A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audit checklists and protocols incorporating latest standards.</w:t>
      </w:r>
    </w:p>
    <w:p w14:paraId="4A20B3E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surveys evaluating training effectiveness.</w:t>
      </w:r>
    </w:p>
    <w:p w14:paraId="63A3A0C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documented from issue resolution and audit findings, informing training updates.</w:t>
      </w:r>
    </w:p>
    <w:p w14:paraId="175CD588"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5F787BF3"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2C38064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7C56767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149F61B8" w14:textId="77777777" w:rsidTr="005C00A5">
        <w:tc>
          <w:tcPr>
            <w:tcW w:w="1170" w:type="dxa"/>
          </w:tcPr>
          <w:p w14:paraId="1C0B797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7F3E9F2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206D1A8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003487B6" w14:textId="77777777" w:rsidTr="005C00A5">
        <w:tc>
          <w:tcPr>
            <w:tcW w:w="1170" w:type="dxa"/>
          </w:tcPr>
          <w:p w14:paraId="41749DE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GV-6.1.10</w:t>
            </w:r>
          </w:p>
        </w:tc>
        <w:tc>
          <w:tcPr>
            <w:tcW w:w="2160" w:type="dxa"/>
          </w:tcPr>
          <w:p w14:paraId="31DB248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Third-Party AI Incident Protocols</w:t>
            </w:r>
          </w:p>
        </w:tc>
        <w:tc>
          <w:tcPr>
            <w:tcW w:w="6740" w:type="dxa"/>
          </w:tcPr>
          <w:p w14:paraId="3F16097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modifies its protocols for handling incidents or breaches related to third-party AI risks to include provisions for addressing data provenance issues, secondary data use, and other third-party data-related vulnerabilities. These protocols should encompass prompt reporting, investigation, impact assessment, and remediation, with an emphasis on contractual enforcement and negotiation strategies.</w:t>
            </w:r>
          </w:p>
          <w:p w14:paraId="4B75142F" w14:textId="77777777" w:rsidR="00963E47" w:rsidRPr="00963E47" w:rsidRDefault="00963E47" w:rsidP="004C3837">
            <w:pPr>
              <w:keepNext/>
              <w:rPr>
                <w:rFonts w:ascii="Aptos" w:hAnsi="Aptos" w:cs="Times New Roman"/>
                <w:b/>
                <w:bCs/>
                <w:color w:val="000000"/>
                <w:sz w:val="20"/>
                <w:szCs w:val="20"/>
              </w:rPr>
            </w:pPr>
          </w:p>
          <w:p w14:paraId="65942AA2" w14:textId="77777777" w:rsidR="00963E47" w:rsidRPr="00963E47" w:rsidRDefault="00963E47" w:rsidP="004C3837">
            <w:pPr>
              <w:keepNext/>
              <w:rPr>
                <w:rFonts w:ascii="Aptos" w:hAnsi="Aptos" w:cs="Times New Roman"/>
                <w:b/>
                <w:bCs/>
                <w:color w:val="000000"/>
                <w:sz w:val="20"/>
                <w:szCs w:val="20"/>
              </w:rPr>
            </w:pPr>
            <w:hyperlink r:id="rId89" w:anchor="govern-6-1" w:history="1">
              <w:r w:rsidRPr="00963E47">
                <w:rPr>
                  <w:rFonts w:ascii="Aptos" w:hAnsi="Aptos" w:cs="Times New Roman"/>
                  <w:color w:val="000000"/>
                  <w:sz w:val="20"/>
                  <w:szCs w:val="20"/>
                  <w:u w:val="single"/>
                </w:rPr>
                <w:t>Link to NIST AI RMF Playbook</w:t>
              </w:r>
            </w:hyperlink>
          </w:p>
        </w:tc>
      </w:tr>
    </w:tbl>
    <w:p w14:paraId="7A46F215"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EC20CD7"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457343AF"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11B5D307" w14:textId="77777777" w:rsidTr="005C00A5">
        <w:trPr>
          <w:tblHeader/>
        </w:trPr>
        <w:tc>
          <w:tcPr>
            <w:tcW w:w="2160" w:type="dxa"/>
            <w:shd w:val="clear" w:color="auto" w:fill="CCDCDC"/>
            <w:vAlign w:val="center"/>
          </w:tcPr>
          <w:p w14:paraId="71F87786"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640E3F8C"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11A8BF0B"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2345168E" w14:textId="77777777" w:rsidTr="005C00A5">
        <w:tc>
          <w:tcPr>
            <w:tcW w:w="2160" w:type="dxa"/>
            <w:shd w:val="clear" w:color="auto" w:fill="CCDCDC"/>
          </w:tcPr>
          <w:p w14:paraId="076D78B5"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0DBC5DF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0E6DBF0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3AA795AB" w14:textId="77777777" w:rsidTr="005C00A5">
        <w:tc>
          <w:tcPr>
            <w:tcW w:w="2160" w:type="dxa"/>
            <w:shd w:val="clear" w:color="auto" w:fill="CCDCDC"/>
          </w:tcPr>
          <w:p w14:paraId="2C7EF7D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1DF7AE8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1F04C3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163BBCF4" w14:textId="77777777" w:rsidTr="005C00A5">
        <w:tc>
          <w:tcPr>
            <w:tcW w:w="2160" w:type="dxa"/>
            <w:shd w:val="clear" w:color="auto" w:fill="CCDCDC"/>
          </w:tcPr>
          <w:p w14:paraId="4A259ED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204C1A5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29A585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have modified their protocols for handling incidents or breaches related to third-party AI risks to ensure they encompass AI-specific scenarios. These protocols include prompt reporting, investigation, impact assessment, remediation, and transparent communication with affected stakeholders, although their implementation may not yet be fully consistent across all third-party AI partnerships.</w:t>
            </w:r>
          </w:p>
        </w:tc>
      </w:tr>
      <w:tr w:rsidR="00963E47" w:rsidRPr="00963E47" w14:paraId="2A06ED97" w14:textId="77777777" w:rsidTr="005C00A5">
        <w:tc>
          <w:tcPr>
            <w:tcW w:w="2160" w:type="dxa"/>
            <w:shd w:val="clear" w:color="auto" w:fill="CCDCDC"/>
          </w:tcPr>
          <w:p w14:paraId="0CCC8AB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1DF2A9E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16C124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modify protocols for handling incidents or breaches related to third-party AI risks to ensure they encompass AI-specific scenarios. This is fully integrated into the organization's overall incident response and breach management processes. These protocols are consistently implemented, regularly reviewed and updated based on emerging threats and best practices, and are supported by robust AI-specific incident response playbooks, communication templates, and metrics that track their impact on effectively managing third-party AI incidents and breaches.</w:t>
            </w:r>
          </w:p>
        </w:tc>
      </w:tr>
    </w:tbl>
    <w:p w14:paraId="66D5769F"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79B6F806" w14:textId="77777777" w:rsidTr="005C00A5">
        <w:tc>
          <w:tcPr>
            <w:tcW w:w="2250" w:type="dxa"/>
          </w:tcPr>
          <w:p w14:paraId="2634A30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4C5EAC2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66FFADA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3BB5A731" w14:textId="77777777" w:rsidTr="005C00A5">
        <w:tc>
          <w:tcPr>
            <w:tcW w:w="2250" w:type="dxa"/>
          </w:tcPr>
          <w:p w14:paraId="7B55FC2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2CB68B3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Lack of Third-Party Incident Protocols</w:t>
            </w:r>
          </w:p>
        </w:tc>
        <w:tc>
          <w:tcPr>
            <w:tcW w:w="5300" w:type="dxa"/>
          </w:tcPr>
          <w:p w14:paraId="7208190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Protocols for handling incidents related to third-party AI risks are lacking</w:t>
            </w:r>
          </w:p>
        </w:tc>
      </w:tr>
    </w:tbl>
    <w:p w14:paraId="42DBE7B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955BE1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396B157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C2308D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Modify protocols for handling incidents or breaches related to third-party AI risks to address AI-specific scenarios, including data provenance issues, secondary data use, and model failures. Develop a standardized incident response plan that includes procedures for identifying, containing, and mitigating AI-related incidents, such as data breaches or model failures.</w:t>
      </w:r>
    </w:p>
    <w:p w14:paraId="4715EF33"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2F8656F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Establish clear roles and responsibilities for incident response, including coordination with third-party partners as needed. Ensure incident response protocols include prompt reporting to relevant stakeholders, including regulatory authorities and affected individuals, and transparent communication about the nature and impact of the incident. </w:t>
      </w:r>
      <w:r w:rsidRPr="00963E47">
        <w:rPr>
          <w:rFonts w:ascii="Aptos" w:eastAsia="Aptos" w:hAnsi="Aptos" w:cs="Times New Roman"/>
          <w:noProof/>
          <w:color w:val="auto"/>
          <w:kern w:val="2"/>
          <w:sz w:val="20"/>
          <w:szCs w:val="20"/>
          <w14:ligatures w14:val="standardContextual"/>
        </w:rPr>
        <w:lastRenderedPageBreak/>
        <w:t>Incorporate contractual provisions and negotiation strategies to address data rights and protections in vendor contracts.</w:t>
      </w:r>
    </w:p>
    <w:p w14:paraId="4FC3EB1F"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2A1FDB7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Conduct thorough investigations to identify the root cause of incidents and develop corrective action plans to prevent similar incidents from occurring in the future. Regularly review and update incident response protocols to ensure they remain effective and aligned with emerging best practices in AI risk management.</w:t>
      </w:r>
    </w:p>
    <w:p w14:paraId="2333C1A5"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1398A71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The organization should leverage industry groups and sector-wide negotiations to secure better protections and favorable terms in AI vendor contracts, particularly related to data rights, audit rights, and risk mitigation clauses.</w:t>
      </w:r>
    </w:p>
    <w:p w14:paraId="624FEB02"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EF7A60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6DA8855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510936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Protocol Revision and Formalization</w:t>
      </w:r>
    </w:p>
    <w:p w14:paraId="17F2C76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and formalize updated incident response protocols that explicitly incorporate handling of data provenance problems, unauthorized data use, and third-party data risks, with clear procedures and responsibilities.</w:t>
      </w:r>
    </w:p>
    <w:p w14:paraId="57D7B7A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9ADF66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Revised incident handling procedures including data-specific clauses.</w:t>
      </w:r>
    </w:p>
    <w:p w14:paraId="71D1F09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Approved protocol documentation with version control and review dates.</w:t>
      </w:r>
    </w:p>
    <w:p w14:paraId="1E075BF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Flowcharts depicting new response steps related to data issues.</w:t>
      </w:r>
    </w:p>
    <w:p w14:paraId="1B5F284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Staff training records on updated protocols.</w:t>
      </w:r>
    </w:p>
    <w:p w14:paraId="2C98418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8175BF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Contractual and Negotiation Strategies for Data-Related Vulnerabilities</w:t>
      </w:r>
    </w:p>
    <w:p w14:paraId="6330173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Ensure protocols specify contractual requirements for data provenance assurance, data use limitations, and breach response measures, with provisions for enforcement and renegotiation where necessary.</w:t>
      </w:r>
    </w:p>
    <w:p w14:paraId="46F7052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D8C714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Sample contract clauses or amendments addressing data provenance and use.</w:t>
      </w:r>
    </w:p>
    <w:p w14:paraId="5FE32DD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Negotiation documentation or correspondence enforcing data rights and responsibilities.</w:t>
      </w:r>
    </w:p>
    <w:p w14:paraId="2961E0D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Escalation provisions for data-related breach failures.</w:t>
      </w:r>
    </w:p>
    <w:p w14:paraId="2AFBE5E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compliance checks executed against contractual obligations.</w:t>
      </w:r>
    </w:p>
    <w:p w14:paraId="1CB0DA6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7B6FCA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Prompt Reporting, Investigation, and Impact Assessment Processes</w:t>
      </w:r>
    </w:p>
    <w:p w14:paraId="52067F3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Define procedures for rapid detection, reporting, and investigation of data provenance or secondary data use breaches, including impact evaluations and stakeholder notification.</w:t>
      </w:r>
    </w:p>
    <w:p w14:paraId="5E4B027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EAABD3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logs with timestamps and initial reports specific to data issues.</w:t>
      </w:r>
    </w:p>
    <w:p w14:paraId="7729B7F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Investigation reports analyzing root causes and scope of impact.</w:t>
      </w:r>
    </w:p>
    <w:p w14:paraId="1683D94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Impact assessment documentation guiding remediation priorities.</w:t>
      </w:r>
    </w:p>
    <w:p w14:paraId="5B340C9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Notification templates and communication logs for affected stakeholders.</w:t>
      </w:r>
    </w:p>
    <w:p w14:paraId="76D4618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CAEACB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Remediation and Corrective Action Plans Specific to Data Vulnerabilities</w:t>
      </w:r>
    </w:p>
    <w:p w14:paraId="6424001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protocols for timely remediation, including data correction, system fixes, contractual remedies, and preventive measures to mitigate future vulnerabilities.</w:t>
      </w:r>
    </w:p>
    <w:p w14:paraId="5424E4A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66584A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Corrective action plans with assigned responsibilities and deadlines.</w:t>
      </w:r>
    </w:p>
    <w:p w14:paraId="1F9F09A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Remediation validation reports confirming issue resolution.</w:t>
      </w:r>
    </w:p>
    <w:p w14:paraId="3341553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data handling procedures post-incident.</w:t>
      </w:r>
    </w:p>
    <w:p w14:paraId="6C6EA56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reflecting protocol modifications.</w:t>
      </w:r>
    </w:p>
    <w:p w14:paraId="6BCD11E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534938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Review and Enforcement of Data Risk Protocols</w:t>
      </w:r>
    </w:p>
    <w:p w14:paraId="3D0C55F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review incident protocols, enforcement mechanisms, and contractual clauses to adapt to evolving data vulnerabilities and emerging standards, incorporating lessons learned from past breaches.</w:t>
      </w:r>
    </w:p>
    <w:p w14:paraId="1D4AE03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C885EA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and reports evaluating protocol effectiveness.</w:t>
      </w:r>
    </w:p>
    <w:p w14:paraId="76A3B06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documentation from data incident cases.</w:t>
      </w:r>
    </w:p>
    <w:p w14:paraId="00B3AF7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Revised contractual templates and enforcement procedures.</w:t>
      </w:r>
    </w:p>
    <w:p w14:paraId="08605EA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updates reflecting new data risk handling strategies.</w:t>
      </w:r>
    </w:p>
    <w:p w14:paraId="741BD308"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6A7BBF3F"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2864B45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3A667ED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63B861F7" w14:textId="77777777" w:rsidTr="005C00A5">
        <w:tc>
          <w:tcPr>
            <w:tcW w:w="1170" w:type="dxa"/>
          </w:tcPr>
          <w:p w14:paraId="091DAC4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5267821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67F6020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578F1127" w14:textId="77777777" w:rsidTr="005C00A5">
        <w:tc>
          <w:tcPr>
            <w:tcW w:w="1170" w:type="dxa"/>
          </w:tcPr>
          <w:p w14:paraId="33932D0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GV-6.1.11</w:t>
            </w:r>
          </w:p>
        </w:tc>
        <w:tc>
          <w:tcPr>
            <w:tcW w:w="2160" w:type="dxa"/>
          </w:tcPr>
          <w:p w14:paraId="303244E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Third-Party Training and Resources</w:t>
            </w:r>
          </w:p>
        </w:tc>
        <w:tc>
          <w:tcPr>
            <w:tcW w:w="6740" w:type="dxa"/>
          </w:tcPr>
          <w:p w14:paraId="1389F49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revises its training and resources for personnel managing third-party relationships to include AI-related content, focusing on the nuances of due diligence, contract negotiation, and risk assessment in the context of AI. This training is regularly updated to reflect changes in AI policy and industry best practices.</w:t>
            </w:r>
          </w:p>
          <w:p w14:paraId="2E79E255" w14:textId="77777777" w:rsidR="00963E47" w:rsidRPr="00963E47" w:rsidRDefault="00963E47" w:rsidP="004C3837">
            <w:pPr>
              <w:keepNext/>
              <w:rPr>
                <w:rFonts w:ascii="Aptos" w:hAnsi="Aptos" w:cs="Times New Roman"/>
                <w:b/>
                <w:bCs/>
                <w:color w:val="000000"/>
                <w:sz w:val="20"/>
                <w:szCs w:val="20"/>
              </w:rPr>
            </w:pPr>
          </w:p>
          <w:p w14:paraId="14ECB2AB" w14:textId="77777777" w:rsidR="00963E47" w:rsidRPr="00963E47" w:rsidRDefault="00963E47" w:rsidP="004C3837">
            <w:pPr>
              <w:keepNext/>
              <w:rPr>
                <w:rFonts w:ascii="Aptos" w:hAnsi="Aptos" w:cs="Times New Roman"/>
                <w:b/>
                <w:bCs/>
                <w:color w:val="000000"/>
                <w:sz w:val="20"/>
                <w:szCs w:val="20"/>
              </w:rPr>
            </w:pPr>
            <w:hyperlink r:id="rId90" w:anchor="govern-6-1" w:history="1">
              <w:r w:rsidRPr="00963E47">
                <w:rPr>
                  <w:rFonts w:ascii="Aptos" w:hAnsi="Aptos" w:cs="Times New Roman"/>
                  <w:color w:val="000000"/>
                  <w:sz w:val="20"/>
                  <w:szCs w:val="20"/>
                  <w:u w:val="single"/>
                </w:rPr>
                <w:t>Link to NIST AI RMF Playbook</w:t>
              </w:r>
            </w:hyperlink>
          </w:p>
        </w:tc>
      </w:tr>
    </w:tbl>
    <w:p w14:paraId="2691E680"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6449477"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50007C83"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7D687F08" w14:textId="77777777" w:rsidTr="005C00A5">
        <w:trPr>
          <w:tblHeader/>
        </w:trPr>
        <w:tc>
          <w:tcPr>
            <w:tcW w:w="2160" w:type="dxa"/>
            <w:shd w:val="clear" w:color="auto" w:fill="CCDCDC"/>
            <w:vAlign w:val="center"/>
          </w:tcPr>
          <w:p w14:paraId="3DB57AEB"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76394E3A"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0F7B0481"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3633EFCB" w14:textId="77777777" w:rsidTr="005C00A5">
        <w:tc>
          <w:tcPr>
            <w:tcW w:w="2160" w:type="dxa"/>
            <w:shd w:val="clear" w:color="auto" w:fill="CCDCDC"/>
          </w:tcPr>
          <w:p w14:paraId="2CDE62A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6A7A4C6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0D1A85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1F6F8BE0" w14:textId="77777777" w:rsidTr="005C00A5">
        <w:tc>
          <w:tcPr>
            <w:tcW w:w="2160" w:type="dxa"/>
            <w:shd w:val="clear" w:color="auto" w:fill="CCDCDC"/>
          </w:tcPr>
          <w:p w14:paraId="0182FEA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197070E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09A87A7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4588E775" w14:textId="77777777" w:rsidTr="005C00A5">
        <w:tc>
          <w:tcPr>
            <w:tcW w:w="2160" w:type="dxa"/>
            <w:shd w:val="clear" w:color="auto" w:fill="CCDCDC"/>
          </w:tcPr>
          <w:p w14:paraId="1555E1A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1ABDF07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03BEB09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have revised their training and resources for personnel managing third-party relationships to include AI-related content. This training focuses on the nuances of due diligence, contract negotiation, and risk assessment in the context of AI, and is regularly updated to reflect changes in AI policy and industry best practices, although its implementation may not yet be fully consistent across all relevant personnel.</w:t>
            </w:r>
          </w:p>
        </w:tc>
      </w:tr>
      <w:tr w:rsidR="00963E47" w:rsidRPr="00963E47" w14:paraId="6C63BA3D" w14:textId="77777777" w:rsidTr="005C00A5">
        <w:tc>
          <w:tcPr>
            <w:tcW w:w="2160" w:type="dxa"/>
            <w:shd w:val="clear" w:color="auto" w:fill="CCDCDC"/>
          </w:tcPr>
          <w:p w14:paraId="302452D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7C8B412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55015D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revise training and resources for personnel managing third-party relationships to include AI-related content. This is fully integrated into the organization's overall learning and development strategy. This training is consistently implemented, regularly reviewed and updated based on changes in AI policy and industry best practices, and is supported by robust AI-specific training curricula, delivery methods, and metrics that track its impact on equipping personnel with the necessary skills to effectively manage AI-related third-party relationships.</w:t>
            </w:r>
          </w:p>
        </w:tc>
      </w:tr>
    </w:tbl>
    <w:p w14:paraId="48ECB922"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0E53BC48" w14:textId="77777777" w:rsidTr="005C00A5">
        <w:tc>
          <w:tcPr>
            <w:tcW w:w="2250" w:type="dxa"/>
          </w:tcPr>
          <w:p w14:paraId="3C873AA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lastRenderedPageBreak/>
              <w:t>AI Principle</w:t>
            </w:r>
          </w:p>
        </w:tc>
        <w:tc>
          <w:tcPr>
            <w:tcW w:w="2520" w:type="dxa"/>
          </w:tcPr>
          <w:p w14:paraId="2AE2B2D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55F40AE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338A236F" w14:textId="77777777" w:rsidTr="005C00A5">
        <w:tc>
          <w:tcPr>
            <w:tcW w:w="2250" w:type="dxa"/>
          </w:tcPr>
          <w:p w14:paraId="3D6AC0A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436D2D0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Lacking of AI-Related Training Content</w:t>
            </w:r>
          </w:p>
        </w:tc>
        <w:tc>
          <w:tcPr>
            <w:tcW w:w="5300" w:type="dxa"/>
          </w:tcPr>
          <w:p w14:paraId="4E65D43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Training for managing third-party relationships doesn't include AI-related content</w:t>
            </w:r>
          </w:p>
        </w:tc>
      </w:tr>
    </w:tbl>
    <w:p w14:paraId="557E25A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3783B3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1684468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B92A6E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Revise training and resources for personnel managing third-party relationships to include AI-related content, focusing on the nuances of due diligence, contract negotiation, and risk assessment in the context of AI. Develop specialized training modules that cover topics such as intellectual property considerations for AI, data management best practices, and responsible AI development principles.</w:t>
      </w:r>
    </w:p>
    <w:p w14:paraId="741A8B91"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9691FC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Engage with subject matter experts, such as legal counsel and data privacy specialists, to ensure the training content is comprehensive and accurate. Deliver training through a variety of methods, such as in-person workshops, online courses, and job aids, to ensure personnel have the knowledge and skills needed to effectively manage AI-related third-party risks. Regularly review and update training content to ensure it remains current and relevant as AI technologies and best practices evolve.</w:t>
      </w:r>
    </w:p>
    <w:p w14:paraId="10F5EB7E"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558097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5D6F885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ACDA22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AI-Specific Training Content and Resources</w:t>
      </w:r>
    </w:p>
    <w:p w14:paraId="5DD3AA3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Create and maintain tailored training modules, guidelines, and reference materials focusing on AI-specific aspects such as data risks, vendor assessment, and contractual provisions.</w:t>
      </w:r>
    </w:p>
    <w:p w14:paraId="1C368C6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3B40AC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training curricula including modules on AI risk management, due diligence, and contract clauses.</w:t>
      </w:r>
    </w:p>
    <w:p w14:paraId="5D0E4E3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Reference manuals highlighting AI-specific risks, data issues, and compliance standards.</w:t>
      </w:r>
    </w:p>
    <w:p w14:paraId="08DB1FE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E-learning platforms housing AI-focused training resources.</w:t>
      </w:r>
    </w:p>
    <w:p w14:paraId="5963697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training materials reflecting recent policy changes.</w:t>
      </w:r>
    </w:p>
    <w:p w14:paraId="55D1A27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6529DD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 Review and Refresh of Training Materials</w:t>
      </w:r>
    </w:p>
    <w:p w14:paraId="0A7D856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Schedule periodic reviews of training content and resources to incorporate emerging AI risks, new standards, and lessons learned from practices and incidents.</w:t>
      </w:r>
    </w:p>
    <w:p w14:paraId="0C7309B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448C11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with documented updates and improvements.</w:t>
      </w:r>
    </w:p>
    <w:p w14:paraId="66257D9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surveys evaluating training relevance and clarity.</w:t>
      </w:r>
    </w:p>
    <w:p w14:paraId="475077C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revisions incorporating policy updates and industry best practices.</w:t>
      </w:r>
    </w:p>
    <w:p w14:paraId="750EF5C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update memos or change logs.</w:t>
      </w:r>
    </w:p>
    <w:p w14:paraId="59F8159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D60CED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Practical Training and Scenario Exercises</w:t>
      </w:r>
    </w:p>
    <w:p w14:paraId="25EB120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Include practical exercises, case studies, and scenario-based training that simulate real-world third-party AI management challenges, emphasizing due diligence and contractual negotiations.</w:t>
      </w:r>
    </w:p>
    <w:p w14:paraId="461F51D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A92660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Scenario scripts and case study documents used in training sessions.</w:t>
      </w:r>
    </w:p>
    <w:p w14:paraId="1D61606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Workshop or simulation attendance records and feedback.</w:t>
      </w:r>
    </w:p>
    <w:p w14:paraId="3BBD2AC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Post-exercise evaluations measuring participant understanding and application.</w:t>
      </w:r>
    </w:p>
    <w:p w14:paraId="631F3E2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completion certificates with assessment outcomes.</w:t>
      </w:r>
    </w:p>
    <w:p w14:paraId="40A055E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20C62C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into Onboarding and Ongoing Development</w:t>
      </w:r>
    </w:p>
    <w:p w14:paraId="10370AD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Incorporate AI-specific third-party risk management training into onboarding programs for relevant staff and into ongoing professional development curricula.</w:t>
      </w:r>
    </w:p>
    <w:p w14:paraId="2AA6E48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F9A828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onboarding checklists referencing AI training modules.</w:t>
      </w:r>
    </w:p>
    <w:p w14:paraId="458F8E8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LMS records showing module completion over time.</w:t>
      </w:r>
    </w:p>
    <w:p w14:paraId="2F5B9E1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Development plans aligned to evolving AI policies and industry standards.</w:t>
      </w:r>
    </w:p>
    <w:p w14:paraId="68CBE7E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Internal communications on training milestones.</w:t>
      </w:r>
    </w:p>
    <w:p w14:paraId="718BD703"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CC48F5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Improvement of Training Based on Industry Trends and Lessons Learned</w:t>
      </w:r>
    </w:p>
    <w:p w14:paraId="3BBBE32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update training programs with insights from industry developments, regulatory changes, and lessons learned from incidents, ensuring ongoing relevance and effectiveness.</w:t>
      </w:r>
    </w:p>
    <w:p w14:paraId="32074F1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D7267C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reports incorporated into training updates.</w:t>
      </w:r>
    </w:p>
    <w:p w14:paraId="0904BE4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Industry alerts and best practice references integrated into curricula.</w:t>
      </w:r>
    </w:p>
    <w:p w14:paraId="1605448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feedback from training assessments used to improve content.</w:t>
      </w:r>
    </w:p>
    <w:p w14:paraId="6321A2A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Scheduled revision records and approval documentation.</w:t>
      </w:r>
    </w:p>
    <w:p w14:paraId="1C6933A3"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27" w:name="_Toc214874772"/>
      <w:r w:rsidRPr="00963E47">
        <w:rPr>
          <w:rFonts w:ascii="Aptos" w:eastAsia="Aptos" w:hAnsi="Aptos" w:cs="Times New Roman"/>
          <w:b/>
          <w:bCs/>
          <w:noProof/>
          <w:color w:val="35256B"/>
          <w:kern w:val="2"/>
          <w:sz w:val="24"/>
          <w14:ligatures w14:val="standardContextual"/>
        </w:rPr>
        <w:t>GOVERN / Establishing Third-Party Risk Management for the AI System / Establishing Contingency Plans for Critical Third Parties</w:t>
      </w:r>
      <w:bookmarkEnd w:id="27"/>
      <w:r w:rsidRPr="00963E47">
        <w:rPr>
          <w:rFonts w:ascii="Aptos" w:eastAsia="Aptos" w:hAnsi="Aptos" w:cs="Times New Roman"/>
          <w:b/>
          <w:bCs/>
          <w:noProof/>
          <w:color w:val="35256B"/>
          <w:kern w:val="2"/>
          <w:sz w:val="24"/>
          <w14:ligatures w14:val="standardContextual"/>
        </w:rPr>
        <w:t xml:space="preserve"> </w:t>
      </w:r>
    </w:p>
    <w:p w14:paraId="0AEEC7B0"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056F6BC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1E85832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1BF2D17B" w14:textId="77777777" w:rsidTr="005C00A5">
        <w:tc>
          <w:tcPr>
            <w:tcW w:w="1170" w:type="dxa"/>
          </w:tcPr>
          <w:p w14:paraId="030590A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078AA7C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6D52C8E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2231825D" w14:textId="77777777" w:rsidTr="005C00A5">
        <w:tc>
          <w:tcPr>
            <w:tcW w:w="1170" w:type="dxa"/>
          </w:tcPr>
          <w:p w14:paraId="4D5B187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GV-6.2.1</w:t>
            </w:r>
          </w:p>
        </w:tc>
        <w:tc>
          <w:tcPr>
            <w:tcW w:w="2160" w:type="dxa"/>
          </w:tcPr>
          <w:p w14:paraId="3AC5D98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Third-Party AI Contingency Plans</w:t>
            </w:r>
          </w:p>
        </w:tc>
        <w:tc>
          <w:tcPr>
            <w:tcW w:w="6740" w:type="dxa"/>
          </w:tcPr>
          <w:p w14:paraId="5337038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develops or updates existing contingency plans for potential failures or incidents in high-risk third-party AI systems and data, defining roles and responsibilities for key stakeholders (e.g., IT, legal, communications, senior leaders) and outlining specific response steps (e.g., system isolation, data recovery, public relations). These plans should also consider emerging risk transfer mechanisms such as AI insurance policies or special provisions in cyber insurance tailored to AI risks.</w:t>
            </w:r>
          </w:p>
          <w:p w14:paraId="008E688C" w14:textId="77777777" w:rsidR="00963E47" w:rsidRPr="00963E47" w:rsidRDefault="00963E47" w:rsidP="004C3837">
            <w:pPr>
              <w:keepNext/>
              <w:rPr>
                <w:rFonts w:ascii="Aptos" w:hAnsi="Aptos" w:cs="Times New Roman"/>
                <w:b/>
                <w:bCs/>
                <w:color w:val="000000"/>
                <w:sz w:val="20"/>
                <w:szCs w:val="20"/>
              </w:rPr>
            </w:pPr>
          </w:p>
          <w:p w14:paraId="724D7FEC" w14:textId="77777777" w:rsidR="00963E47" w:rsidRPr="00963E47" w:rsidRDefault="00963E47" w:rsidP="004C3837">
            <w:pPr>
              <w:keepNext/>
              <w:rPr>
                <w:rFonts w:ascii="Aptos" w:hAnsi="Aptos" w:cs="Times New Roman"/>
                <w:b/>
                <w:bCs/>
                <w:color w:val="000000"/>
                <w:sz w:val="20"/>
                <w:szCs w:val="20"/>
              </w:rPr>
            </w:pPr>
            <w:hyperlink r:id="rId91" w:anchor="govern-6-2" w:history="1">
              <w:r w:rsidRPr="00963E47">
                <w:rPr>
                  <w:rFonts w:ascii="Aptos" w:hAnsi="Aptos" w:cs="Times New Roman"/>
                  <w:color w:val="000000"/>
                  <w:sz w:val="20"/>
                  <w:szCs w:val="20"/>
                  <w:u w:val="single"/>
                </w:rPr>
                <w:t>Link to NIST AI RMF Playbook</w:t>
              </w:r>
            </w:hyperlink>
          </w:p>
        </w:tc>
      </w:tr>
    </w:tbl>
    <w:p w14:paraId="6062F1F0"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EE88151"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48B5E74D"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736F3E6A" w14:textId="77777777" w:rsidTr="005C00A5">
        <w:trPr>
          <w:tblHeader/>
        </w:trPr>
        <w:tc>
          <w:tcPr>
            <w:tcW w:w="2160" w:type="dxa"/>
            <w:shd w:val="clear" w:color="auto" w:fill="CCDCDC"/>
            <w:vAlign w:val="center"/>
          </w:tcPr>
          <w:p w14:paraId="05775DE0"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4F59193D"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282A2236"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455A9A03" w14:textId="77777777" w:rsidTr="005C00A5">
        <w:tc>
          <w:tcPr>
            <w:tcW w:w="2160" w:type="dxa"/>
            <w:shd w:val="clear" w:color="auto" w:fill="CCDCDC"/>
          </w:tcPr>
          <w:p w14:paraId="0DBA6FA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445B33C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9DD999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49891063" w14:textId="77777777" w:rsidTr="005C00A5">
        <w:tc>
          <w:tcPr>
            <w:tcW w:w="2160" w:type="dxa"/>
            <w:shd w:val="clear" w:color="auto" w:fill="CCDCDC"/>
          </w:tcPr>
          <w:p w14:paraId="3FD342A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26B1BBA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B795A4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minimal stage start developing basic contingency plans for high-risk third-party AI systems, focusing on essential response steps and stakeholder roles to address potential failures or incidents.</w:t>
            </w:r>
          </w:p>
        </w:tc>
      </w:tr>
      <w:tr w:rsidR="00963E47" w:rsidRPr="00963E47" w14:paraId="04BF8F2A" w14:textId="77777777" w:rsidTr="005C00A5">
        <w:tc>
          <w:tcPr>
            <w:tcW w:w="2160" w:type="dxa"/>
            <w:shd w:val="clear" w:color="auto" w:fill="CCDCDC"/>
          </w:tcPr>
          <w:p w14:paraId="2A46817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6DE110A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E49153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have developed contingency plans for potential failures or incidents in high-risk third-party AI systems and data. These plans define roles and responsibilities for key stakeholders and outline specific response steps, although their implementation may not yet be fully consistent across all high-risk third-party AI partnerships.</w:t>
            </w:r>
          </w:p>
        </w:tc>
      </w:tr>
      <w:tr w:rsidR="00963E47" w:rsidRPr="00963E47" w14:paraId="756F3F2E" w14:textId="77777777" w:rsidTr="005C00A5">
        <w:tc>
          <w:tcPr>
            <w:tcW w:w="2160" w:type="dxa"/>
            <w:shd w:val="clear" w:color="auto" w:fill="CCDCDC"/>
          </w:tcPr>
          <w:p w14:paraId="43E3E9F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1992986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7EE20D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embedded stage, organizations develop contingency plans for potential failures or incidents in high-risk third-party AI systems and data. This is fully integrated into the organization's overall business continuity and disaster recovery processes. These plans are consistently maintained, regularly reviewed and updated based on emerging threats and best practices, and are supported by robust stakeholder training, simulation exercises, and metrics that track their </w:t>
            </w:r>
            <w:r w:rsidRPr="00963E47">
              <w:rPr>
                <w:rFonts w:ascii="Aptos" w:hAnsi="Aptos" w:cs="Times New Roman"/>
                <w:noProof/>
                <w:color w:val="auto"/>
                <w:sz w:val="20"/>
                <w:szCs w:val="20"/>
              </w:rPr>
              <w:lastRenderedPageBreak/>
              <w:t>impact on ensuring effective response to high-risk third-party AI failures or incidents.</w:t>
            </w:r>
          </w:p>
        </w:tc>
      </w:tr>
    </w:tbl>
    <w:p w14:paraId="47D7CECE"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604760E3" w14:textId="77777777" w:rsidTr="005C00A5">
        <w:tc>
          <w:tcPr>
            <w:tcW w:w="2250" w:type="dxa"/>
          </w:tcPr>
          <w:p w14:paraId="3D25A1D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67BF336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2D242FB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103930EA" w14:textId="77777777" w:rsidTr="005C00A5">
        <w:tc>
          <w:tcPr>
            <w:tcW w:w="2250" w:type="dxa"/>
          </w:tcPr>
          <w:p w14:paraId="2D5CC36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5AC0FF3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Inadequate Contingency Plans</w:t>
            </w:r>
          </w:p>
        </w:tc>
        <w:tc>
          <w:tcPr>
            <w:tcW w:w="5300" w:type="dxa"/>
          </w:tcPr>
          <w:p w14:paraId="390BAEA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Contingency plans for failures in third-party AI systems are inadequate</w:t>
            </w:r>
          </w:p>
        </w:tc>
      </w:tr>
    </w:tbl>
    <w:p w14:paraId="7D16437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A2730D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2C8A088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6758A5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or update existing comprehensive contingency plans that outline the specific steps to be taken in the event of an incident to effectively handle failures or incidents in high-risk third-party AI systems and data. Start by identifying the key stakeholders who will be involved in the response, such as IT, legal, communications, and senior leaders, and clearly define their roles and responsibilities.</w:t>
      </w:r>
    </w:p>
    <w:p w14:paraId="26482184"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83A817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Incorporate considerations around emerging risk transfer mechanisms such as AI insurance policies or special provisions in cyber insurance tailored to AI risks. Develop detailed response procedures for different types of incidents, such as system failures or data breaches, and ensure these procedures are well-documented and easily accessible to all relevant personnel. Conduct regular training and simulations to ensure all stakeholders are prepared to execute their roles in the event of an incident. Regularly review and update contingency plans to ensure they remain effective and aligned with the organization's overall risk management strategy.</w:t>
      </w:r>
    </w:p>
    <w:p w14:paraId="3786B5FC"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6005E0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17236E4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54AAE2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Formal Contingency and Response Plans</w:t>
      </w:r>
    </w:p>
    <w:p w14:paraId="5D07DA8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Create comprehensive, documented contingency plans that address high-risk AI and data incidents, specifying roles, responsibilities, and response procedures aligned with organizational standards.</w:t>
      </w:r>
    </w:p>
    <w:p w14:paraId="1156FDA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14EBC2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Approved contingency plan documents with scope, roles, and detailed response steps.</w:t>
      </w:r>
    </w:p>
    <w:p w14:paraId="5493EF2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Process flowcharts illustrating response actions such as system isolation, data recovery, and public communication.</w:t>
      </w:r>
    </w:p>
    <w:p w14:paraId="4A4A17E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Response checklists tailored for AI-specific incidents.</w:t>
      </w:r>
    </w:p>
    <w:p w14:paraId="17842BB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Regular review and version-controlled updates of plans.</w:t>
      </w:r>
    </w:p>
    <w:p w14:paraId="448D34A3"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8293D6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Clear Roles and Responsibilities for Key Stakeholders</w:t>
      </w:r>
    </w:p>
    <w:p w14:paraId="6125CA1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Define and communicate specific roles for IT, legal, communications, senior leadership, and external partners in incident response, with escalation procedures and authorization points.</w:t>
      </w:r>
    </w:p>
    <w:p w14:paraId="01C6082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533A46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RACI matrices or responsibility assignment charts.</w:t>
      </w:r>
    </w:p>
    <w:p w14:paraId="49379E6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Role-specific procedures or playbooks.</w:t>
      </w:r>
    </w:p>
    <w:p w14:paraId="75C5883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and awareness sessions documenting roles.</w:t>
      </w:r>
    </w:p>
    <w:p w14:paraId="3608D21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Decision authority matrices signed off by senior leadership.</w:t>
      </w:r>
    </w:p>
    <w:p w14:paraId="0B71C53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6A742D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Specific Response Steps and Action Procedures</w:t>
      </w:r>
    </w:p>
    <w:p w14:paraId="79BC21F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Outline step-by-step procedures for incident containment, data recovery, legal review, communication, and external reporting, including criteria for escalation.</w:t>
      </w:r>
    </w:p>
    <w:p w14:paraId="41702E9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7B733B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response workflows and playbooks.</w:t>
      </w:r>
    </w:p>
    <w:p w14:paraId="1A48A2F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Communication templates for internal briefing and public relations.</w:t>
      </w:r>
    </w:p>
    <w:p w14:paraId="6F9FC3C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Checklists for system shutdown, data isolation, and impact assessment.</w:t>
      </w:r>
    </w:p>
    <w:p w14:paraId="5F25928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records on executing response steps.</w:t>
      </w:r>
    </w:p>
    <w:p w14:paraId="3F73804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D0D6DA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Consideration of Emerging Risk Transfer Mechanisms</w:t>
      </w:r>
    </w:p>
    <w:p w14:paraId="1734602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Incorporate provisions for AI-specific risk transfer tools such as specialized insurance policies, including criteria for activation, claims procedures, and coordination with risk transfer providers.</w:t>
      </w:r>
    </w:p>
    <w:p w14:paraId="4F5AAD9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4C31EE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Draft or signed policies for AI or cyber risk insurance coverage.</w:t>
      </w:r>
    </w:p>
    <w:p w14:paraId="2C85469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transfer assessment reports and decision records.</w:t>
      </w:r>
    </w:p>
    <w:p w14:paraId="0FF2751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Contractual clauses in insurance policies addressing AI-specific scenarios.</w:t>
      </w:r>
    </w:p>
    <w:p w14:paraId="638393F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Coordination protocols with brokers or insurers during incident management.</w:t>
      </w:r>
    </w:p>
    <w:p w14:paraId="49D0D1B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B0AF30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 Testing, Review, and Continuous Improvement</w:t>
      </w:r>
    </w:p>
    <w:p w14:paraId="1E1B778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Periodically test and review contingency plans through simulated exercises, incorporating lessons learned, changes in AI risks, and evolving risk transfer strategies.</w:t>
      </w:r>
    </w:p>
    <w:p w14:paraId="1EC4E08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1E6E2F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Exercise reports, debriefs, and improvement action plans.</w:t>
      </w:r>
    </w:p>
    <w:p w14:paraId="119D75C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contingency plans reflecting lessons learned.</w:t>
      </w:r>
    </w:p>
    <w:p w14:paraId="60BCCDB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Schedule and records of simulation exercises.</w:t>
      </w:r>
    </w:p>
    <w:p w14:paraId="462C64E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Management review and approval records for plan updates.</w:t>
      </w:r>
    </w:p>
    <w:p w14:paraId="3026FA8F"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62670C39"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264CE37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6EBF104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53653AE8" w14:textId="77777777" w:rsidTr="005C00A5">
        <w:tc>
          <w:tcPr>
            <w:tcW w:w="1170" w:type="dxa"/>
          </w:tcPr>
          <w:p w14:paraId="32DFD7D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50685CE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4EC0BED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3F28076F" w14:textId="77777777" w:rsidTr="005C00A5">
        <w:tc>
          <w:tcPr>
            <w:tcW w:w="1170" w:type="dxa"/>
          </w:tcPr>
          <w:p w14:paraId="6D91AE1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GV-6.2.2</w:t>
            </w:r>
          </w:p>
        </w:tc>
        <w:tc>
          <w:tcPr>
            <w:tcW w:w="2160" w:type="dxa"/>
          </w:tcPr>
          <w:p w14:paraId="08D0CA6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Failure and Incident Communication Protocols</w:t>
            </w:r>
          </w:p>
        </w:tc>
        <w:tc>
          <w:tcPr>
            <w:tcW w:w="6740" w:type="dxa"/>
          </w:tcPr>
          <w:p w14:paraId="4CF28D3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establishes communication protocols to enable timely, accurate, and consistent notification of relevant stakeholders (e.g., customers, regulators, media) in the event of failures or incidents. These protocols utilize predefined templates, approval processes, and designated spokespeople. Regular tabletop or simulation exercises should be conducted to test and refine communication readiness.</w:t>
            </w:r>
          </w:p>
          <w:p w14:paraId="10214E9B" w14:textId="77777777" w:rsidR="00963E47" w:rsidRPr="00963E47" w:rsidRDefault="00963E47" w:rsidP="004C3837">
            <w:pPr>
              <w:keepNext/>
              <w:rPr>
                <w:rFonts w:ascii="Aptos" w:hAnsi="Aptos" w:cs="Times New Roman"/>
                <w:b/>
                <w:bCs/>
                <w:color w:val="000000"/>
                <w:sz w:val="20"/>
                <w:szCs w:val="20"/>
              </w:rPr>
            </w:pPr>
          </w:p>
          <w:p w14:paraId="68D143EF" w14:textId="77777777" w:rsidR="00963E47" w:rsidRPr="00963E47" w:rsidRDefault="00963E47" w:rsidP="004C3837">
            <w:pPr>
              <w:keepNext/>
              <w:rPr>
                <w:rFonts w:ascii="Aptos" w:hAnsi="Aptos" w:cs="Times New Roman"/>
                <w:b/>
                <w:bCs/>
                <w:color w:val="000000"/>
                <w:sz w:val="20"/>
                <w:szCs w:val="20"/>
              </w:rPr>
            </w:pPr>
            <w:hyperlink r:id="rId92" w:anchor="govern-6-2" w:history="1">
              <w:r w:rsidRPr="00963E47">
                <w:rPr>
                  <w:rFonts w:ascii="Aptos" w:hAnsi="Aptos" w:cs="Times New Roman"/>
                  <w:color w:val="000000"/>
                  <w:sz w:val="20"/>
                  <w:szCs w:val="20"/>
                  <w:u w:val="single"/>
                </w:rPr>
                <w:t>Link to NIST AI RMF Playbook</w:t>
              </w:r>
            </w:hyperlink>
          </w:p>
        </w:tc>
      </w:tr>
    </w:tbl>
    <w:p w14:paraId="7DB1FE78"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07C36EF"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285433AF"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10B4782C" w14:textId="77777777" w:rsidTr="005C00A5">
        <w:trPr>
          <w:tblHeader/>
        </w:trPr>
        <w:tc>
          <w:tcPr>
            <w:tcW w:w="2160" w:type="dxa"/>
            <w:shd w:val="clear" w:color="auto" w:fill="CCDCDC"/>
            <w:vAlign w:val="center"/>
          </w:tcPr>
          <w:p w14:paraId="414F97A4"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25794AF7"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393DBE26"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1BDD6FD2" w14:textId="77777777" w:rsidTr="005C00A5">
        <w:tc>
          <w:tcPr>
            <w:tcW w:w="2160" w:type="dxa"/>
            <w:shd w:val="clear" w:color="auto" w:fill="CCDCDC"/>
          </w:tcPr>
          <w:p w14:paraId="7672E495"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30B8159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12176F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4DFA4D6" w14:textId="77777777" w:rsidTr="005C00A5">
        <w:tc>
          <w:tcPr>
            <w:tcW w:w="2160" w:type="dxa"/>
            <w:shd w:val="clear" w:color="auto" w:fill="CCDCDC"/>
          </w:tcPr>
          <w:p w14:paraId="1917847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36416D0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0701387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37A365A4" w14:textId="77777777" w:rsidTr="005C00A5">
        <w:tc>
          <w:tcPr>
            <w:tcW w:w="2160" w:type="dxa"/>
            <w:shd w:val="clear" w:color="auto" w:fill="CCDCDC"/>
          </w:tcPr>
          <w:p w14:paraId="22C398C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44C81D5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C1AB52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have established communication protocols to enable timely, accurate, and consistent notification of relevant stakeholders in the event of failures or incidents. These protocols utilize predefined templates, approval processes, and designated spokespeople, although their implementation may not yet be fully consistent across all high-risk third-party AI partnerships.</w:t>
            </w:r>
          </w:p>
        </w:tc>
      </w:tr>
      <w:tr w:rsidR="00963E47" w:rsidRPr="00963E47" w14:paraId="346B95CB" w14:textId="77777777" w:rsidTr="005C00A5">
        <w:tc>
          <w:tcPr>
            <w:tcW w:w="2160" w:type="dxa"/>
            <w:shd w:val="clear" w:color="auto" w:fill="CCDCDC"/>
          </w:tcPr>
          <w:p w14:paraId="127F165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30884E8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838C1B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embedded stage, organizations establish communication protocols for notifying relevant stakeholders in the event of failures or incidents. This is fully integrated into the organization's overall crisis communication and stakeholder management processes. These protocols are consistently maintained, regularly reviewed and updated based on stakeholder feedback and best practices, and are supported by robust stakeholder mapping, message testing, and metrics that </w:t>
            </w:r>
            <w:r w:rsidRPr="00963E47">
              <w:rPr>
                <w:rFonts w:ascii="Aptos" w:hAnsi="Aptos" w:cs="Times New Roman"/>
                <w:noProof/>
                <w:color w:val="auto"/>
                <w:sz w:val="20"/>
                <w:szCs w:val="20"/>
              </w:rPr>
              <w:lastRenderedPageBreak/>
              <w:t>track their impact on ensuring effective and consistent communication during high-risk third-party AI failures or incidents.</w:t>
            </w:r>
          </w:p>
        </w:tc>
      </w:tr>
    </w:tbl>
    <w:p w14:paraId="1E5E5534"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12A93B8E" w14:textId="77777777" w:rsidTr="005C00A5">
        <w:tc>
          <w:tcPr>
            <w:tcW w:w="2250" w:type="dxa"/>
          </w:tcPr>
          <w:p w14:paraId="23F7782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67C9E00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46A3BD7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6DEDA32A" w14:textId="77777777" w:rsidTr="005C00A5">
        <w:tc>
          <w:tcPr>
            <w:tcW w:w="2250" w:type="dxa"/>
          </w:tcPr>
          <w:p w14:paraId="015E739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1F84C91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Inadequate Failure and Incident Communications</w:t>
            </w:r>
          </w:p>
        </w:tc>
        <w:tc>
          <w:tcPr>
            <w:tcW w:w="5300" w:type="dxa"/>
          </w:tcPr>
          <w:p w14:paraId="44222B8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Communication protocols for failures or incidents in AI systems are inadequate</w:t>
            </w:r>
          </w:p>
        </w:tc>
      </w:tr>
    </w:tbl>
    <w:p w14:paraId="509969C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87D053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5F3EC33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5D4B8F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clear communication protocols to enable timely, accurate, and consistent notification of relevant stakeholders in the event of failures or incidents related to high-risk third-party AI systems. Develop predefined templates for different types of communications, such as customer notifications, regulatory filings, and media statements, and ensure these templates are reviewed and approved by legal and communications teams.</w:t>
      </w:r>
    </w:p>
    <w:p w14:paraId="4CC9230A"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B5216C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Identify designated spokespeople who will be responsible for delivering communications, and provide them with appropriate training and support. Establish approval processes for all communications related to incidents, and ensure these processes are well-documented and understood by all relevant personnel. Incorporate tabletop or simulation exercises periodically to test and refine the communication process. Regularly review and update communication protocols to ensure they remain effective and aligned with the organization's overall crisis management strategy.</w:t>
      </w:r>
    </w:p>
    <w:p w14:paraId="774038C3"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5CE8FB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106B671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35DFB6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Formal Communication Protocols</w:t>
      </w:r>
    </w:p>
    <w:p w14:paraId="47834EE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Create documented protocols that specify notification procedures, stakeholder scopes, messaging templates, approval processes, and roles including designated spokespeople.</w:t>
      </w:r>
    </w:p>
    <w:p w14:paraId="1377BB2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352C37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Approved communication policies and procedures tailored for incidents.</w:t>
      </w:r>
    </w:p>
    <w:p w14:paraId="4920B9D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Templates and scripts for internal and external notifications.</w:t>
      </w:r>
    </w:p>
    <w:p w14:paraId="078552D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Flowcharts highlighting approval workflows and escalation points.</w:t>
      </w:r>
    </w:p>
    <w:p w14:paraId="20C768E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Role and responsibility matrices for spokespeople and communicators.</w:t>
      </w:r>
    </w:p>
    <w:p w14:paraId="1D114B1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B7AF9B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Clear Criteria and Trigger Events for Communication</w:t>
      </w:r>
    </w:p>
    <w:p w14:paraId="77CAB01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Define triggers and thresholds for initiating communications, distinguishing between incident severity levels and stakeholder groups requiring notification.</w:t>
      </w:r>
    </w:p>
    <w:p w14:paraId="35D1DDD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F391EA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Criteria documents with incident severity matrices.</w:t>
      </w:r>
    </w:p>
    <w:p w14:paraId="5D59F5C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Notification checklists linked to incident types and impact thresholds.</w:t>
      </w:r>
    </w:p>
    <w:p w14:paraId="5F37094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Decision trees guiding stakeholder prioritization and timing.</w:t>
      </w:r>
    </w:p>
    <w:p w14:paraId="5D6C63F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initial incident assessments with trigger evaluations.</w:t>
      </w:r>
    </w:p>
    <w:p w14:paraId="22435C1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D3086A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Implementation of Approval and Validation Processes</w:t>
      </w:r>
    </w:p>
    <w:p w14:paraId="19AB1D5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formal approval workflows to review, validate, and authorize communication content before dissemination.</w:t>
      </w:r>
    </w:p>
    <w:p w14:paraId="5490AC6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D32CE8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Sign-off logs for messaging templates and release approval.</w:t>
      </w:r>
    </w:p>
    <w:p w14:paraId="312AB69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communication approval records, including stakeholder review comments.</w:t>
      </w:r>
    </w:p>
    <w:p w14:paraId="4EAC722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 control for communication scripts and templates.</w:t>
      </w:r>
    </w:p>
    <w:p w14:paraId="48A37F0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trails of approval workflows and adjustments.</w:t>
      </w:r>
    </w:p>
    <w:p w14:paraId="434D395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49D738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Test, Simulation, and Refinement of Communication Readiness</w:t>
      </w:r>
    </w:p>
    <w:p w14:paraId="2764FED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regular tabletop exercises and simulations to evaluate the effectiveness, timeliness, and clarity of communication protocols, refining as needed.</w:t>
      </w:r>
    </w:p>
    <w:p w14:paraId="68917C4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059D1D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Exercise plans, agendas, and participation logs.</w:t>
      </w:r>
    </w:p>
    <w:p w14:paraId="00D4E0D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simulation reports, including performance evaluations.</w:t>
      </w:r>
    </w:p>
    <w:p w14:paraId="01C2F5A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After-action review documents with identified gaps and improvement actions.</w:t>
      </w:r>
    </w:p>
    <w:p w14:paraId="2F577F3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protocols and templates following exercises.</w:t>
      </w:r>
    </w:p>
    <w:p w14:paraId="4AB8E52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23C6EF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Monitoring and Improvement of Communication Processes</w:t>
      </w:r>
    </w:p>
    <w:p w14:paraId="5378B3E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review communication performance metrics, stakeholder feedback, and incident response lessons to enhance readiness and protocol effectiveness.</w:t>
      </w:r>
    </w:p>
    <w:p w14:paraId="589B2A3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3AE824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Performance dashboards tracking notification timeliness and accuracy.</w:t>
      </w:r>
    </w:p>
    <w:p w14:paraId="68C7B30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satisfaction surveys regarding communication clarity and transparency.</w:t>
      </w:r>
    </w:p>
    <w:p w14:paraId="502C155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reports from exercises and real incidents.</w:t>
      </w:r>
    </w:p>
    <w:p w14:paraId="463AB55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protocol updates and process improvement activities.</w:t>
      </w:r>
    </w:p>
    <w:p w14:paraId="554BC08B"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56266A96"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1AD3F16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4FDFFDD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1FDA26EC" w14:textId="77777777" w:rsidTr="005C00A5">
        <w:tc>
          <w:tcPr>
            <w:tcW w:w="1170" w:type="dxa"/>
          </w:tcPr>
          <w:p w14:paraId="5F1AE92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266EEC7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0872314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3527B82C" w14:textId="77777777" w:rsidTr="005C00A5">
        <w:tc>
          <w:tcPr>
            <w:tcW w:w="1170" w:type="dxa"/>
          </w:tcPr>
          <w:p w14:paraId="0F13FE4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GV-6.2.3</w:t>
            </w:r>
          </w:p>
        </w:tc>
        <w:tc>
          <w:tcPr>
            <w:tcW w:w="2160" w:type="dxa"/>
          </w:tcPr>
          <w:p w14:paraId="0D0FD69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SLAs and Contracts with AI Vendors</w:t>
            </w:r>
          </w:p>
        </w:tc>
        <w:tc>
          <w:tcPr>
            <w:tcW w:w="6740" w:type="dxa"/>
          </w:tcPr>
          <w:p w14:paraId="33A954E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establishes service level agreements (SLAs) and contractual provisions with high-risk third-party AI providers, defining obligations, liabilities, remedies, performance metrics (e.g., uptime, error rates), incident reporting requirements, and corrective action procedures. Contracts should include provisions addressing specific risks, such as indemnities or coverage related to AI-related damages, and consider negotiations around AI insurance and risk transfer. These agreements are regularly reviewed and updated.</w:t>
            </w:r>
          </w:p>
          <w:p w14:paraId="022ACBCF" w14:textId="77777777" w:rsidR="00963E47" w:rsidRPr="00963E47" w:rsidRDefault="00963E47" w:rsidP="004C3837">
            <w:pPr>
              <w:keepNext/>
              <w:rPr>
                <w:rFonts w:ascii="Aptos" w:hAnsi="Aptos" w:cs="Times New Roman"/>
                <w:b/>
                <w:bCs/>
                <w:color w:val="000000"/>
                <w:sz w:val="20"/>
                <w:szCs w:val="20"/>
              </w:rPr>
            </w:pPr>
          </w:p>
          <w:p w14:paraId="3ED965EB" w14:textId="77777777" w:rsidR="00963E47" w:rsidRPr="00963E47" w:rsidRDefault="00963E47" w:rsidP="004C3837">
            <w:pPr>
              <w:keepNext/>
              <w:rPr>
                <w:rFonts w:ascii="Aptos" w:hAnsi="Aptos" w:cs="Times New Roman"/>
                <w:b/>
                <w:bCs/>
                <w:color w:val="000000"/>
                <w:sz w:val="20"/>
                <w:szCs w:val="20"/>
              </w:rPr>
            </w:pPr>
            <w:hyperlink r:id="rId93" w:anchor="govern-6-2" w:history="1">
              <w:r w:rsidRPr="00963E47">
                <w:rPr>
                  <w:rFonts w:ascii="Aptos" w:hAnsi="Aptos" w:cs="Times New Roman"/>
                  <w:color w:val="000000"/>
                  <w:sz w:val="20"/>
                  <w:szCs w:val="20"/>
                  <w:u w:val="single"/>
                </w:rPr>
                <w:t>Link to NIST AI RMF Playbook</w:t>
              </w:r>
            </w:hyperlink>
          </w:p>
        </w:tc>
      </w:tr>
    </w:tbl>
    <w:p w14:paraId="4FD14B9F"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B4EF239"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0EAF37EC"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0BD2916F" w14:textId="77777777" w:rsidTr="005C00A5">
        <w:trPr>
          <w:tblHeader/>
        </w:trPr>
        <w:tc>
          <w:tcPr>
            <w:tcW w:w="2160" w:type="dxa"/>
            <w:shd w:val="clear" w:color="auto" w:fill="CCDCDC"/>
            <w:vAlign w:val="center"/>
          </w:tcPr>
          <w:p w14:paraId="73010996"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09D9A9D2"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7E54872C"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68A516D6" w14:textId="77777777" w:rsidTr="005C00A5">
        <w:tc>
          <w:tcPr>
            <w:tcW w:w="2160" w:type="dxa"/>
            <w:shd w:val="clear" w:color="auto" w:fill="CCDCDC"/>
          </w:tcPr>
          <w:p w14:paraId="2821F8E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3A56D53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03E7F4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2B028160" w14:textId="77777777" w:rsidTr="005C00A5">
        <w:tc>
          <w:tcPr>
            <w:tcW w:w="2160" w:type="dxa"/>
            <w:shd w:val="clear" w:color="auto" w:fill="CCDCDC"/>
          </w:tcPr>
          <w:p w14:paraId="206A065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1E82992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339C9E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0B8B419" w14:textId="77777777" w:rsidTr="005C00A5">
        <w:tc>
          <w:tcPr>
            <w:tcW w:w="2160" w:type="dxa"/>
            <w:shd w:val="clear" w:color="auto" w:fill="CCDCDC"/>
          </w:tcPr>
          <w:p w14:paraId="1A2A020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589CFC0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97D231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have established SLAs and contractual provisions with high-risk third-party AI providers. These agreements define obligations, liabilities, remedies, performance metrics, incident reporting requirements, and corrective action procedures, and are regularly reviewed and updated, although their implementation may not yet be fully consistent across all high-risk third-party AI partnerships.</w:t>
            </w:r>
          </w:p>
        </w:tc>
      </w:tr>
      <w:tr w:rsidR="00963E47" w:rsidRPr="00963E47" w14:paraId="6EC3987A" w14:textId="77777777" w:rsidTr="005C00A5">
        <w:tc>
          <w:tcPr>
            <w:tcW w:w="2160" w:type="dxa"/>
            <w:shd w:val="clear" w:color="auto" w:fill="CCDCDC"/>
          </w:tcPr>
          <w:p w14:paraId="78E2157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145F911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14CEA4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embedded stage, organizations establish SLAs and contractual provisions with high-risk third-party AI providers that are fully integrated into the organization's overall vendor management and contract lifecycle management processes. These agreements are consistently maintained, regularly reviewed and updated based on </w:t>
            </w:r>
            <w:r w:rsidRPr="00963E47">
              <w:rPr>
                <w:rFonts w:ascii="Aptos" w:hAnsi="Aptos" w:cs="Times New Roman"/>
                <w:noProof/>
                <w:color w:val="auto"/>
                <w:sz w:val="20"/>
                <w:szCs w:val="20"/>
              </w:rPr>
              <w:lastRenderedPageBreak/>
              <w:t>performance data and best practices, and are supported by robust contract templates, negotiation protocols, and metrics that track their impact on ensuring clear expectations and accountability for high-risk third-party AI providers.</w:t>
            </w:r>
          </w:p>
        </w:tc>
      </w:tr>
    </w:tbl>
    <w:p w14:paraId="60BD6A7E"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24151FD1" w14:textId="77777777" w:rsidTr="005C00A5">
        <w:tc>
          <w:tcPr>
            <w:tcW w:w="2250" w:type="dxa"/>
          </w:tcPr>
          <w:p w14:paraId="5DAB4C7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0FA0A81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215DBC7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629F6D0F" w14:textId="77777777" w:rsidTr="005C00A5">
        <w:tc>
          <w:tcPr>
            <w:tcW w:w="2250" w:type="dxa"/>
          </w:tcPr>
          <w:p w14:paraId="597259E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12F10AD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Insufficient SLAs and Contracts with Providers</w:t>
            </w:r>
          </w:p>
        </w:tc>
        <w:tc>
          <w:tcPr>
            <w:tcW w:w="5300" w:type="dxa"/>
          </w:tcPr>
          <w:p w14:paraId="44393B2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SLAs and contracts with third-party AI providers are insufficient or not regularly reviewed</w:t>
            </w:r>
          </w:p>
        </w:tc>
      </w:tr>
    </w:tbl>
    <w:p w14:paraId="1927B82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3CFC87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754A6E7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37BF6D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service level agreements (SLAs) and contractual provisions with high-risk third-party AI providers to clearly define obligations, liabilities, remedies, and performance expectations. Work with legal and procurement teams to develop standardized contract templates that include provisions related to incident reporting, corrective action procedures, and performance metrics such as uptime and error rates.</w:t>
      </w:r>
    </w:p>
    <w:p w14:paraId="05BA420C"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5847DF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Ensure these templates are reviewed and updated regularly to reflect changes in the regulatory landscape and industry best practices. Conduct thorough due diligence on potential third-party providers to ensure they have the necessary capabilities and controls in place to meet the organization's performance and risk management requirements. Regularly monitor third-party performance against established metrics, and take prompt action to address any issues or concerns that arise.</w:t>
      </w:r>
    </w:p>
    <w:p w14:paraId="56E0F14D"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E95F3E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Consider including provisions addressing AI-specific risks, such as indemnities and coverage related to AI-related damages, and incorporate negotiation strategies around AI insurance and risk transfer in contract templates.</w:t>
      </w:r>
    </w:p>
    <w:p w14:paraId="29BA07EF"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0CF25B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05E647F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E6416A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Standard Contract Templates and SLAs</w:t>
      </w:r>
    </w:p>
    <w:p w14:paraId="10C55CB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Create and maintain contract templates that include AI-specific obligations, liability clauses, performance metrics, incident reporting, and risk transfer provisions aligned with organizational standards.</w:t>
      </w:r>
    </w:p>
    <w:p w14:paraId="7E8352F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F12B03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Approved contract templates with embedded AI-specific clauses.</w:t>
      </w:r>
    </w:p>
    <w:p w14:paraId="5AFDEEF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SLA templates detailing uptime, error rates, and escalation procedures.</w:t>
      </w:r>
    </w:p>
    <w:p w14:paraId="5AC639A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Standard indemnity and insurance coverage clauses tailored for AI risks.</w:t>
      </w:r>
    </w:p>
    <w:p w14:paraId="019F6C8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templates reflecting latest policies and standards.</w:t>
      </w:r>
    </w:p>
    <w:p w14:paraId="5C143AB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F1E0C2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Specification of AI-Specific Obligations and Performance Metrics</w:t>
      </w:r>
    </w:p>
    <w:p w14:paraId="0EC4E88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Clearly specify in contracts the expectations for AI system performance, availability, error tolerance, and incident management, aligned with organizational risk appetite.</w:t>
      </w:r>
    </w:p>
    <w:p w14:paraId="3319F51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5DB351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Contract annexes or schedules detailing KPIs and metrics.</w:t>
      </w:r>
    </w:p>
    <w:p w14:paraId="45916C4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and reporting requirements included in contractual clauses.</w:t>
      </w:r>
    </w:p>
    <w:p w14:paraId="76F2E7D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Penalty or incentive structures linked to performance outcomes.</w:t>
      </w:r>
    </w:p>
    <w:p w14:paraId="5FB4B7A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negotiations around metrics and thresholds.</w:t>
      </w:r>
    </w:p>
    <w:p w14:paraId="32F5B95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7D4F3C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Inclusion of Liabilities, Remedies, and Risk Transfer Provisions</w:t>
      </w:r>
    </w:p>
    <w:p w14:paraId="5F98448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Incorporate contractual provisions that define liabilities, indemnities, damages, and remedies related to AI-specific risks, including provisions for insurance coverage and risk transfer mechanisms.</w:t>
      </w:r>
    </w:p>
    <w:p w14:paraId="6F8A9E5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3E9C75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Clauses covering damages, indemnities, and warranties.</w:t>
      </w:r>
    </w:p>
    <w:p w14:paraId="2A9092E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Insurance clauses addressing AI-related damages or breaches.</w:t>
      </w:r>
    </w:p>
    <w:p w14:paraId="0760299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Negotiation records and signed agreements on risk transfer strategies.</w:t>
      </w:r>
    </w:p>
    <w:p w14:paraId="0F27795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Evidence of risk assessments informing contractual risk-sharing.</w:t>
      </w:r>
    </w:p>
    <w:p w14:paraId="7867CEE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17895B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Incident Reporting and Corrective Actions Protocols</w:t>
      </w:r>
    </w:p>
    <w:p w14:paraId="4A151AD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clear contractual obligations for incident reporting timelines, investigation cooperation, and corrective action procedures, with escalation steps for high-severity issues.</w:t>
      </w:r>
    </w:p>
    <w:p w14:paraId="26B3D09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B56484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response and reporting clauses with defined timelines.</w:t>
      </w:r>
    </w:p>
    <w:p w14:paraId="181FF60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logs and communication records confirming compliance.</w:t>
      </w:r>
    </w:p>
    <w:p w14:paraId="1D2E5EC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Corrective and remedial action plans linked to contractual requirements.</w:t>
      </w:r>
    </w:p>
    <w:p w14:paraId="16F607C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contractual compliance reviews.</w:t>
      </w:r>
    </w:p>
    <w:p w14:paraId="7794315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B3568E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 Review, Update, and Optimization of Contracts</w:t>
      </w:r>
    </w:p>
    <w:p w14:paraId="1B05B29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Periodically review and update contractual provisions to reflect new risks, regulatory developments, lessons learned, and evolving organizational policies, including negotiations around AI insurance and risk transfer.</w:t>
      </w:r>
    </w:p>
    <w:p w14:paraId="44A13AC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8598C2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Contract review schedules and update logs.</w:t>
      </w:r>
    </w:p>
    <w:p w14:paraId="1E63CC6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Amendments or addendums reflecting new agreements or changes.</w:t>
      </w:r>
    </w:p>
    <w:p w14:paraId="75A46EE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review meeting minutes documenting updates.</w:t>
      </w:r>
    </w:p>
    <w:p w14:paraId="403F0FD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legal, procurement, and risk management teams on contract effectiveness.</w:t>
      </w:r>
    </w:p>
    <w:p w14:paraId="4E50BF58"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0AC96AF0"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6C18361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77E0772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46B45E5C" w14:textId="77777777" w:rsidTr="005C00A5">
        <w:tc>
          <w:tcPr>
            <w:tcW w:w="1170" w:type="dxa"/>
          </w:tcPr>
          <w:p w14:paraId="79473E9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3D38648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37760BE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4A2D5EB1" w14:textId="77777777" w:rsidTr="005C00A5">
        <w:tc>
          <w:tcPr>
            <w:tcW w:w="1170" w:type="dxa"/>
          </w:tcPr>
          <w:p w14:paraId="1094D26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GV-6.2.4</w:t>
            </w:r>
          </w:p>
        </w:tc>
        <w:tc>
          <w:tcPr>
            <w:tcW w:w="2160" w:type="dxa"/>
          </w:tcPr>
          <w:p w14:paraId="3858913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Monitoring and Early Warning Systems</w:t>
            </w:r>
          </w:p>
        </w:tc>
        <w:tc>
          <w:tcPr>
            <w:tcW w:w="6740" w:type="dxa"/>
          </w:tcPr>
          <w:p w14:paraId="38C8802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implements logging, monitoring, and early warning systems to detect potential failures, anomalies, or breaches in high-risk third-party AI systems, triggering investigations and responses. Regular audits and assessments drive compliance and identify areas for risk management improvement.</w:t>
            </w:r>
          </w:p>
          <w:p w14:paraId="7EE8BAA5" w14:textId="77777777" w:rsidR="00963E47" w:rsidRPr="00963E47" w:rsidRDefault="00963E47" w:rsidP="004C3837">
            <w:pPr>
              <w:keepNext/>
              <w:rPr>
                <w:rFonts w:ascii="Aptos" w:hAnsi="Aptos" w:cs="Times New Roman"/>
                <w:b/>
                <w:bCs/>
                <w:color w:val="000000"/>
                <w:sz w:val="20"/>
                <w:szCs w:val="20"/>
              </w:rPr>
            </w:pPr>
          </w:p>
          <w:p w14:paraId="414D366A" w14:textId="77777777" w:rsidR="00963E47" w:rsidRPr="00963E47" w:rsidRDefault="00963E47" w:rsidP="004C3837">
            <w:pPr>
              <w:keepNext/>
              <w:rPr>
                <w:rFonts w:ascii="Aptos" w:hAnsi="Aptos" w:cs="Times New Roman"/>
                <w:b/>
                <w:bCs/>
                <w:color w:val="000000"/>
                <w:sz w:val="20"/>
                <w:szCs w:val="20"/>
              </w:rPr>
            </w:pPr>
            <w:hyperlink r:id="rId94" w:anchor="govern-6-2" w:history="1">
              <w:r w:rsidRPr="00963E47">
                <w:rPr>
                  <w:rFonts w:ascii="Aptos" w:hAnsi="Aptos" w:cs="Times New Roman"/>
                  <w:color w:val="000000"/>
                  <w:sz w:val="20"/>
                  <w:szCs w:val="20"/>
                  <w:u w:val="single"/>
                </w:rPr>
                <w:t>Link to NIST AI RMF Playbook</w:t>
              </w:r>
            </w:hyperlink>
          </w:p>
        </w:tc>
      </w:tr>
    </w:tbl>
    <w:p w14:paraId="49969281"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07F2F6A"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1A4AB31A"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5D973B3F" w14:textId="77777777" w:rsidTr="005C00A5">
        <w:trPr>
          <w:tblHeader/>
        </w:trPr>
        <w:tc>
          <w:tcPr>
            <w:tcW w:w="2160" w:type="dxa"/>
            <w:shd w:val="clear" w:color="auto" w:fill="CCDCDC"/>
            <w:vAlign w:val="center"/>
          </w:tcPr>
          <w:p w14:paraId="3EC5ABC3"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405B1DF9"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0299B3E6"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509DD60C" w14:textId="77777777" w:rsidTr="005C00A5">
        <w:tc>
          <w:tcPr>
            <w:tcW w:w="2160" w:type="dxa"/>
            <w:shd w:val="clear" w:color="auto" w:fill="CCDCDC"/>
          </w:tcPr>
          <w:p w14:paraId="0DC8BEA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6947B4B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EEC76F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0AF12437" w14:textId="77777777" w:rsidTr="005C00A5">
        <w:tc>
          <w:tcPr>
            <w:tcW w:w="2160" w:type="dxa"/>
            <w:shd w:val="clear" w:color="auto" w:fill="CCDCDC"/>
          </w:tcPr>
          <w:p w14:paraId="52297A3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1C42E42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D387BC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5C1B9FB" w14:textId="77777777" w:rsidTr="005C00A5">
        <w:tc>
          <w:tcPr>
            <w:tcW w:w="2160" w:type="dxa"/>
            <w:shd w:val="clear" w:color="auto" w:fill="CCDCDC"/>
          </w:tcPr>
          <w:p w14:paraId="6006F7D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065E02B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5F9AEEA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have implemented logging, monitoring, and early warning systems to detect potential failures, anomalies, or breaches in high-risk third-party AI systems. These systems trigger investigations and responses, and regular audits and assessments are conducted to drive compliance and identify areas for risk management improvement, although their implementation may not yet be fully consistent across all high-risk third-party AI partnerships.</w:t>
            </w:r>
          </w:p>
        </w:tc>
      </w:tr>
      <w:tr w:rsidR="00963E47" w:rsidRPr="00963E47" w14:paraId="7F8DCAFF" w14:textId="77777777" w:rsidTr="005C00A5">
        <w:tc>
          <w:tcPr>
            <w:tcW w:w="2160" w:type="dxa"/>
            <w:shd w:val="clear" w:color="auto" w:fill="CCDCDC"/>
          </w:tcPr>
          <w:p w14:paraId="0408B91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5DB05D5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1FA048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embedded stage, organizations implement logging, monitoring, and early warning systems for high-risk third-party AI systems that are fully integrated into the organization's overall security operations and </w:t>
            </w:r>
            <w:r w:rsidRPr="00963E47">
              <w:rPr>
                <w:rFonts w:ascii="Aptos" w:hAnsi="Aptos" w:cs="Times New Roman"/>
                <w:noProof/>
                <w:color w:val="auto"/>
                <w:sz w:val="20"/>
                <w:szCs w:val="20"/>
              </w:rPr>
              <w:lastRenderedPageBreak/>
              <w:t>continuous monitoring processes. These systems are consistently maintained, regularly reviewed and updated based on emerging threats and best practices, and are supported by robust AI-specific monitoring rules, investigation playbooks, and metrics that track their impact on proactively detecting and responding to potential failures, anomalies, or breaches in high-risk third-party AI systems.</w:t>
            </w:r>
          </w:p>
        </w:tc>
      </w:tr>
    </w:tbl>
    <w:p w14:paraId="7DB18BCC"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5170EF1D" w14:textId="77777777" w:rsidTr="005C00A5">
        <w:tc>
          <w:tcPr>
            <w:tcW w:w="2250" w:type="dxa"/>
          </w:tcPr>
          <w:p w14:paraId="1F4D185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6BAC2FA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47ACF64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367367C4" w14:textId="77777777" w:rsidTr="005C00A5">
        <w:tc>
          <w:tcPr>
            <w:tcW w:w="2250" w:type="dxa"/>
          </w:tcPr>
          <w:p w14:paraId="749205E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20F924A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Failure to Detect Incidents</w:t>
            </w:r>
          </w:p>
        </w:tc>
        <w:tc>
          <w:tcPr>
            <w:tcW w:w="5300" w:type="dxa"/>
          </w:tcPr>
          <w:p w14:paraId="10FF8A9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Monitoring systems fail to detect incidents in third-party AI systems</w:t>
            </w:r>
          </w:p>
        </w:tc>
      </w:tr>
    </w:tbl>
    <w:p w14:paraId="04609F8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9D5936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6185A71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F673BA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Implement robust logging, monitoring, and early warning systems to detect potential failures, anomalies, or incidents in high-risk third-party AI systems. Collaborate with IT and security teams to identify the specific data points and indicators that should be monitored, and establish thresholds for triggering alerts and investigations.</w:t>
      </w:r>
    </w:p>
    <w:p w14:paraId="16682E8B"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5CE38C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Ensure monitoring systems are properly configured and maintained, and that alerts are promptly investigated and addressed. Conduct regular audits and assessments of third-party systems to ensure they are in compliance with established security and performance requirements, and identify areas for improvement. Use the results of these audits and assessments to inform ongoing risk management activities and drive continuous improvement in the organization's third-party risk management practices.</w:t>
      </w:r>
    </w:p>
    <w:p w14:paraId="4365F40D"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9507FE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60485B7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2EA098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Deployment of Logging and Monitoring Infrastructure</w:t>
      </w:r>
    </w:p>
    <w:p w14:paraId="777C27F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technical logging, real-time monitoring, and alerting systems tailored to high-risk AI solutions, capturing relevant performance, security, and anomaly data.</w:t>
      </w:r>
    </w:p>
    <w:p w14:paraId="71169AE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B417E2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System architectures and deployment diagrams detailing logging and monitoring points.</w:t>
      </w:r>
    </w:p>
    <w:p w14:paraId="6A90E60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Log repositories with timestamped records of performance, security events, and anomalies.</w:t>
      </w:r>
    </w:p>
    <w:p w14:paraId="53D6325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dashboards with real-time telemetry and alert configurations.</w:t>
      </w:r>
    </w:p>
    <w:p w14:paraId="5B557D6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Alert and notification logs triggered by predefined thresholds.</w:t>
      </w:r>
    </w:p>
    <w:p w14:paraId="79B9D8A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9B9438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Early Warning and Anomaly Detection Mechanisms</w:t>
      </w:r>
    </w:p>
    <w:p w14:paraId="0360693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and tune anomaly detection models and rules that identify deviations signaling potential failures or breaches, with automated alerting capabilities.</w:t>
      </w:r>
    </w:p>
    <w:p w14:paraId="24B0136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1E6374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Anomaly detection algorithm descriptions and tuning records.</w:t>
      </w:r>
    </w:p>
    <w:p w14:paraId="47E29FB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Alert rule definitions and threshold documentation.</w:t>
      </w:r>
    </w:p>
    <w:p w14:paraId="5C1606E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logs showing early warning triggers and escalation.</w:t>
      </w:r>
    </w:p>
    <w:p w14:paraId="5414649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Metrics on false positives/negatives and detection accuracy.</w:t>
      </w:r>
    </w:p>
    <w:p w14:paraId="2D642BC2"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6EF73B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Investigation and Response Procedures</w:t>
      </w:r>
    </w:p>
    <w:p w14:paraId="5B36FCD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Define protocols for prompt investigation, root cause analysis, and containment actions following warning alerts or detected incidents.</w:t>
      </w:r>
    </w:p>
    <w:p w14:paraId="678E70F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E916C2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response playbooks specific to AI system anomalies or breaches.</w:t>
      </w:r>
    </w:p>
    <w:p w14:paraId="0BF00B7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investigation timelines, root cause analyses, and corrective measures.</w:t>
      </w:r>
    </w:p>
    <w:p w14:paraId="12F567A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Evidence of communication within response teams.</w:t>
      </w:r>
    </w:p>
    <w:p w14:paraId="6B96D9D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Post-incident review reports.</w:t>
      </w:r>
    </w:p>
    <w:p w14:paraId="1531162F"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72CB85B"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 Audits and Compliance Assessments</w:t>
      </w:r>
    </w:p>
    <w:p w14:paraId="29A9462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Schedule periodic audits and assessments to verify the effectiveness of logging, monitoring, and early warning systems, ensuring compliance with policies and evolving standards.</w:t>
      </w:r>
    </w:p>
    <w:p w14:paraId="5DF486B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8E0870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schedules and scope documents.</w:t>
      </w:r>
    </w:p>
    <w:p w14:paraId="28A7DC2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reports evaluating logs, alerts, and response timeliness.</w:t>
      </w:r>
    </w:p>
    <w:p w14:paraId="4AB56CC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Compliance checklists assessing system capabilities against standards.</w:t>
      </w:r>
    </w:p>
    <w:p w14:paraId="2D1AF95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Remediation plans addressing gaps identified in audits.</w:t>
      </w:r>
    </w:p>
    <w:p w14:paraId="7EDD544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BF70C6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Improvement of Detection and Response Capabilities</w:t>
      </w:r>
    </w:p>
    <w:p w14:paraId="1FA462F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audit findings and incident learnings to refine monitoring, detection algorithms, and response processes, maintaining high preparedness levels.</w:t>
      </w:r>
    </w:p>
    <w:p w14:paraId="0075DF3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5005AD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detection models or rules based on recent incidents.</w:t>
      </w:r>
    </w:p>
    <w:p w14:paraId="39AA474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Improvements documented in response process procedures.</w:t>
      </w:r>
    </w:p>
    <w:p w14:paraId="547DF55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records for responders on new detection and mitigation techniques.</w:t>
      </w:r>
    </w:p>
    <w:p w14:paraId="7F39F66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logs influencing system and protocol enhancements.</w:t>
      </w:r>
    </w:p>
    <w:p w14:paraId="6DAF9C0C"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28" w:name="_Toc214874773"/>
      <w:r w:rsidRPr="00963E47">
        <w:rPr>
          <w:rFonts w:ascii="Aptos" w:eastAsia="Aptos" w:hAnsi="Aptos" w:cs="Times New Roman"/>
          <w:b/>
          <w:bCs/>
          <w:noProof/>
          <w:color w:val="35256B"/>
          <w:kern w:val="2"/>
          <w:sz w:val="24"/>
          <w14:ligatures w14:val="standardContextual"/>
        </w:rPr>
        <w:t>MAP / Understanding the Operating Context / Defining the Operating Context</w:t>
      </w:r>
      <w:bookmarkEnd w:id="28"/>
      <w:r w:rsidRPr="00963E47">
        <w:rPr>
          <w:rFonts w:ascii="Aptos" w:eastAsia="Aptos" w:hAnsi="Aptos" w:cs="Times New Roman"/>
          <w:b/>
          <w:bCs/>
          <w:noProof/>
          <w:color w:val="35256B"/>
          <w:kern w:val="2"/>
          <w:sz w:val="24"/>
          <w14:ligatures w14:val="standardContextual"/>
        </w:rPr>
        <w:t xml:space="preserve"> </w:t>
      </w:r>
    </w:p>
    <w:p w14:paraId="05025A4B"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464EB24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541B49F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197CD2D1" w14:textId="77777777" w:rsidTr="005C00A5">
        <w:tc>
          <w:tcPr>
            <w:tcW w:w="1170" w:type="dxa"/>
          </w:tcPr>
          <w:p w14:paraId="35F1EE6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1D531B6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184E937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63689514" w14:textId="77777777" w:rsidTr="005C00A5">
        <w:tc>
          <w:tcPr>
            <w:tcW w:w="1170" w:type="dxa"/>
          </w:tcPr>
          <w:p w14:paraId="64B05C7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MP-1.1.1</w:t>
            </w:r>
          </w:p>
        </w:tc>
        <w:tc>
          <w:tcPr>
            <w:tcW w:w="2160" w:type="dxa"/>
          </w:tcPr>
          <w:p w14:paraId="5CD71D9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Purpose and Context Documentation</w:t>
            </w:r>
          </w:p>
        </w:tc>
        <w:tc>
          <w:tcPr>
            <w:tcW w:w="6740" w:type="dxa"/>
          </w:tcPr>
          <w:p w14:paraId="4396E8B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identifies and documents the AI system’s purpose, context, beneficial uses, user types and expectations, relevant laws, norms, and prospective deployment settings.</w:t>
            </w:r>
          </w:p>
          <w:p w14:paraId="0F6AC3E6" w14:textId="77777777" w:rsidR="00963E47" w:rsidRPr="00963E47" w:rsidRDefault="00963E47" w:rsidP="004C3837">
            <w:pPr>
              <w:keepNext/>
              <w:rPr>
                <w:rFonts w:ascii="Aptos" w:hAnsi="Aptos" w:cs="Times New Roman"/>
                <w:b/>
                <w:bCs/>
                <w:color w:val="000000"/>
                <w:sz w:val="20"/>
                <w:szCs w:val="20"/>
              </w:rPr>
            </w:pPr>
          </w:p>
          <w:p w14:paraId="0DE9F4FF" w14:textId="77777777" w:rsidR="00963E47" w:rsidRPr="00963E47" w:rsidRDefault="00963E47" w:rsidP="004C3837">
            <w:pPr>
              <w:keepNext/>
              <w:rPr>
                <w:rFonts w:ascii="Aptos" w:hAnsi="Aptos" w:cs="Times New Roman"/>
                <w:b/>
                <w:bCs/>
                <w:color w:val="000000"/>
                <w:sz w:val="20"/>
                <w:szCs w:val="20"/>
              </w:rPr>
            </w:pPr>
            <w:hyperlink r:id="rId95" w:anchor="map-1-1" w:history="1">
              <w:r w:rsidRPr="00963E47">
                <w:rPr>
                  <w:rFonts w:ascii="Aptos" w:hAnsi="Aptos" w:cs="Times New Roman"/>
                  <w:color w:val="000000"/>
                  <w:sz w:val="20"/>
                  <w:szCs w:val="20"/>
                  <w:u w:val="single"/>
                </w:rPr>
                <w:t>Link to NIST AI RMF Playbook</w:t>
              </w:r>
            </w:hyperlink>
          </w:p>
        </w:tc>
      </w:tr>
    </w:tbl>
    <w:p w14:paraId="3E2C142E"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C0F027A"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26DECD07"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3D909AC9" w14:textId="77777777" w:rsidTr="005C00A5">
        <w:trPr>
          <w:tblHeader/>
        </w:trPr>
        <w:tc>
          <w:tcPr>
            <w:tcW w:w="2160" w:type="dxa"/>
            <w:shd w:val="clear" w:color="auto" w:fill="CCDCDC"/>
            <w:vAlign w:val="center"/>
          </w:tcPr>
          <w:p w14:paraId="4C6C3CB1"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6F612026"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7C1B4770"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427D3DBB" w14:textId="77777777" w:rsidTr="005C00A5">
        <w:tc>
          <w:tcPr>
            <w:tcW w:w="2160" w:type="dxa"/>
            <w:shd w:val="clear" w:color="auto" w:fill="CCDCDC"/>
          </w:tcPr>
          <w:p w14:paraId="6F8ED7A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55F4ECB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0297BC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initial stage, organizations are beginning to identify and document basic information about the AI system's purpose, context, and intended uses. The process is likely informal and high-level at this stage.</w:t>
            </w:r>
          </w:p>
        </w:tc>
      </w:tr>
      <w:tr w:rsidR="00963E47" w:rsidRPr="00963E47" w14:paraId="4642EEF3" w14:textId="77777777" w:rsidTr="005C00A5">
        <w:tc>
          <w:tcPr>
            <w:tcW w:w="2160" w:type="dxa"/>
            <w:shd w:val="clear" w:color="auto" w:fill="CCDCDC"/>
          </w:tcPr>
          <w:p w14:paraId="59B605A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3702AB0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C683EE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minimal stage have established a process for documenting key information about the AI system, but it may not be comprehensive or consistently applied across all systems.</w:t>
            </w:r>
          </w:p>
        </w:tc>
      </w:tr>
      <w:tr w:rsidR="00963E47" w:rsidRPr="00963E47" w14:paraId="319A415C" w14:textId="77777777" w:rsidTr="005C00A5">
        <w:tc>
          <w:tcPr>
            <w:tcW w:w="2160" w:type="dxa"/>
            <w:shd w:val="clear" w:color="auto" w:fill="CCDCDC"/>
          </w:tcPr>
          <w:p w14:paraId="10D5CD0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752641F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7BE10E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have a well-defined and consistently applied process for thoroughly identifying and documenting the AI system's purpose, context, uses, applicable laws/norms, and deployment settings.</w:t>
            </w:r>
          </w:p>
        </w:tc>
      </w:tr>
      <w:tr w:rsidR="00963E47" w:rsidRPr="00963E47" w14:paraId="76F6C3DB" w14:textId="77777777" w:rsidTr="005C00A5">
        <w:tc>
          <w:tcPr>
            <w:tcW w:w="2160" w:type="dxa"/>
            <w:shd w:val="clear" w:color="auto" w:fill="CCDCDC"/>
          </w:tcPr>
          <w:p w14:paraId="05CA340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393B911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D3A0C4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maintain comprehensive, standardized documentation that is regularly updated, ensuring transparency and responsible AI deployment aligned with AI Trustworthy Principles.</w:t>
            </w:r>
          </w:p>
        </w:tc>
      </w:tr>
    </w:tbl>
    <w:p w14:paraId="73C4993F"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17E0CF8F" w14:textId="77777777" w:rsidTr="005C00A5">
        <w:tc>
          <w:tcPr>
            <w:tcW w:w="2250" w:type="dxa"/>
          </w:tcPr>
          <w:p w14:paraId="58380D4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lastRenderedPageBreak/>
              <w:t>AI Principle</w:t>
            </w:r>
          </w:p>
        </w:tc>
        <w:tc>
          <w:tcPr>
            <w:tcW w:w="2520" w:type="dxa"/>
          </w:tcPr>
          <w:p w14:paraId="796265A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4EE3E54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49210DCD" w14:textId="77777777" w:rsidTr="005C00A5">
        <w:tc>
          <w:tcPr>
            <w:tcW w:w="2250" w:type="dxa"/>
          </w:tcPr>
          <w:p w14:paraId="26875BD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31DB3E7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Undocumented AI System Purpose and Context</w:t>
            </w:r>
          </w:p>
        </w:tc>
        <w:tc>
          <w:tcPr>
            <w:tcW w:w="5300" w:type="dxa"/>
          </w:tcPr>
          <w:p w14:paraId="42F842A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system purpose and context are undocumented or doesn't consider deployment settings</w:t>
            </w:r>
          </w:p>
        </w:tc>
      </w:tr>
    </w:tbl>
    <w:p w14:paraId="141B603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94709A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354A262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8A79CB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To establish a clear understanding of the AI system's context, document its intended purpose, beneficial uses, and prospective deployment settings. Engage relevant stakeholders such as business owners, end-users, and subject matter experts to gather input on the specific goals and objectives of the AI system, as well as its potential benefits. </w:t>
      </w:r>
    </w:p>
    <w:p w14:paraId="5134B2F6"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6DC2591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Analyze the legal and regulatory landscape, and identify applicable laws, regulations, and/or industry standards. Document user types, expectations, and requirements, ensuring this information is communicated clearly and is accessible to relevant parties involved in the AI system's development and deployment.</w:t>
      </w:r>
    </w:p>
    <w:p w14:paraId="53E18DE4"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F0D547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Regularly update this documentation as needed to reflect any changes, maintaining its relevance and accuracy.</w:t>
      </w:r>
    </w:p>
    <w:p w14:paraId="0D6D737B"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AF3F5E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3C2D459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FD3347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AI System Purpose and Use-Case Statement</w:t>
      </w:r>
    </w:p>
    <w:p w14:paraId="549113D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Require a formal, system-level purpose statement for every AI project that defines intended benefits, primary/secondary use-cases, business objectives, and constraints; this statement must be approved by the system owner and product sponsor before development.</w:t>
      </w:r>
    </w:p>
    <w:p w14:paraId="5CB42CE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72B5A0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Approved system purpose/use-case document or PRD.</w:t>
      </w:r>
    </w:p>
    <w:p w14:paraId="252AB78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Sign-off records from system owner, product sponsor, and relevant governance body.</w:t>
      </w:r>
    </w:p>
    <w:p w14:paraId="72CEC9B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 history showing updates when the system scope or objectives change.</w:t>
      </w:r>
    </w:p>
    <w:p w14:paraId="021C98D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Linked registry entry in the AI catalog referencing the purpose statement.</w:t>
      </w:r>
    </w:p>
    <w:p w14:paraId="1E204E9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873D29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Contextual Deployment and Environment Profile</w:t>
      </w:r>
    </w:p>
    <w:p w14:paraId="6E62021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 the operational context and deployment settings for the AI system (e.g., intended users, geographic jurisdictions, technical environment, integration points, decision autonomy level) to assess constraints and risk exposure.</w:t>
      </w:r>
    </w:p>
    <w:p w14:paraId="40F7A23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71630A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Deployment/environment profile forms detailing jurisdictions, integration architecture, user types, and autonomy level.</w:t>
      </w:r>
    </w:p>
    <w:p w14:paraId="2955645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System architecture diagrams and environment inventories tied to the profile.</w:t>
      </w:r>
    </w:p>
    <w:p w14:paraId="4BF81AA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environment-specific legal or regulatory requirements identified for each jurisdiction.</w:t>
      </w:r>
    </w:p>
    <w:p w14:paraId="082259F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Approval or review notes from operations/security teams confirming environment suitability.</w:t>
      </w:r>
    </w:p>
    <w:p w14:paraId="28E263E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01E479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Stakeholder and User Expectation Analysis</w:t>
      </w:r>
    </w:p>
    <w:p w14:paraId="74AE378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and document stakeholder mapping and user expectation analyses (including vulnerable or special-interest groups) to identify needs, likely interactions, transparency requirements, and potential harms; include documented mitigation strategies.</w:t>
      </w:r>
    </w:p>
    <w:p w14:paraId="5A966DD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801E6D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mapping documents and user personas with documented expectations and risk considerations.</w:t>
      </w:r>
    </w:p>
    <w:p w14:paraId="5C01B65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Notes or reports from stakeholder interviews, workshops, or surveys.</w:t>
      </w:r>
    </w:p>
    <w:p w14:paraId="48BD51E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Impact/risk matrices linking user expectations to mitigation strategies and owners.</w:t>
      </w:r>
    </w:p>
    <w:p w14:paraId="21FC793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showing incorporation of findings into design requirements or mitigation plans.</w:t>
      </w:r>
    </w:p>
    <w:p w14:paraId="6DC217F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A1DCC9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Legal, Normative and Regulatory Applicability Record</w:t>
      </w:r>
    </w:p>
    <w:p w14:paraId="743EE53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a documented assessment that maps applicable laws, regulations, industry norms, contractual obligations, and guidelines to the AI system and its deployment contexts, with identified compliance actions and owners.</w:t>
      </w:r>
    </w:p>
    <w:p w14:paraId="2BEC74C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949C63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Legal/regulatory applicability checklist or mapping for the system listing statutes, standards, and contractual clauses.</w:t>
      </w:r>
    </w:p>
    <w:p w14:paraId="0E45515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Assigned owner records for each identified legal/contractual obligation and planned compliance actions.</w:t>
      </w:r>
    </w:p>
    <w:p w14:paraId="144D728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Legal review memos or compliance sign-offs referencing the mapping.</w:t>
      </w:r>
    </w:p>
    <w:p w14:paraId="7A2EB62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Updates to the mapping when new jurisdictions or deployment contexts are added.</w:t>
      </w:r>
    </w:p>
    <w:p w14:paraId="6D0EB03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78BE54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Acceptable and Prohibited Use Cases and Boundary Conditions Register</w:t>
      </w:r>
    </w:p>
    <w:p w14:paraId="7CE8D6B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Publish a register for each AI system specifying acceptable uses, prohibited uses, boundary conditions, and fail-safe behavior; require owners to validate that designs and controls enforce these boundaries prior to deployment.</w:t>
      </w:r>
    </w:p>
    <w:p w14:paraId="0B834F6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78AF41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System use register entries enumerating allowed/prohibited uses and boundary conditions with owner attestations.</w:t>
      </w:r>
    </w:p>
    <w:p w14:paraId="38C415D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 plans and results demonstrating enforcement of prohibited-use controls and fail-safe scenarios.</w:t>
      </w:r>
    </w:p>
    <w:p w14:paraId="5586A50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Change-control records showing updates to acceptable uses following reviews or incidents.</w:t>
      </w:r>
    </w:p>
    <w:p w14:paraId="297517A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Communications and training materials sent to user groups describing acceptable uses and expectations.</w:t>
      </w:r>
    </w:p>
    <w:p w14:paraId="0C18C739"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2D9F849D"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5BAF49A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6EA8BA7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139D3E4F" w14:textId="77777777" w:rsidTr="005C00A5">
        <w:tc>
          <w:tcPr>
            <w:tcW w:w="1170" w:type="dxa"/>
          </w:tcPr>
          <w:p w14:paraId="5A05852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20D1E5A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2F63681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401A77EF" w14:textId="77777777" w:rsidTr="005C00A5">
        <w:tc>
          <w:tcPr>
            <w:tcW w:w="1170" w:type="dxa"/>
          </w:tcPr>
          <w:p w14:paraId="126C0B2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MP-1.1.2</w:t>
            </w:r>
          </w:p>
        </w:tc>
        <w:tc>
          <w:tcPr>
            <w:tcW w:w="2160" w:type="dxa"/>
          </w:tcPr>
          <w:p w14:paraId="55F4C8A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Impact and Stakeholder Impact Assessment</w:t>
            </w:r>
          </w:p>
        </w:tc>
        <w:tc>
          <w:tcPr>
            <w:tcW w:w="6740" w:type="dxa"/>
          </w:tcPr>
          <w:p w14:paraId="2AC3C28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considers the potential positive and negative impacts of the AI system in collaboration with a multidisciplinary set of relevant stakeholders (e.g., domain experts, human factors experts, affected communities) throughout its lifecycle.</w:t>
            </w:r>
          </w:p>
          <w:p w14:paraId="330AB6E5" w14:textId="77777777" w:rsidR="00963E47" w:rsidRPr="00963E47" w:rsidRDefault="00963E47" w:rsidP="004C3837">
            <w:pPr>
              <w:keepNext/>
              <w:rPr>
                <w:rFonts w:ascii="Aptos" w:hAnsi="Aptos" w:cs="Times New Roman"/>
                <w:b/>
                <w:bCs/>
                <w:color w:val="000000"/>
                <w:sz w:val="20"/>
                <w:szCs w:val="20"/>
              </w:rPr>
            </w:pPr>
          </w:p>
          <w:p w14:paraId="3D1740B7" w14:textId="77777777" w:rsidR="00963E47" w:rsidRPr="00963E47" w:rsidRDefault="00963E47" w:rsidP="004C3837">
            <w:pPr>
              <w:keepNext/>
              <w:rPr>
                <w:rFonts w:ascii="Aptos" w:hAnsi="Aptos" w:cs="Times New Roman"/>
                <w:b/>
                <w:bCs/>
                <w:color w:val="000000"/>
                <w:sz w:val="20"/>
                <w:szCs w:val="20"/>
              </w:rPr>
            </w:pPr>
            <w:hyperlink r:id="rId96" w:anchor="map-1-1" w:history="1">
              <w:r w:rsidRPr="00963E47">
                <w:rPr>
                  <w:rFonts w:ascii="Aptos" w:hAnsi="Aptos" w:cs="Times New Roman"/>
                  <w:color w:val="000000"/>
                  <w:sz w:val="20"/>
                  <w:szCs w:val="20"/>
                  <w:u w:val="single"/>
                </w:rPr>
                <w:t>Link to NIST AI RMF Playbook</w:t>
              </w:r>
            </w:hyperlink>
          </w:p>
        </w:tc>
      </w:tr>
    </w:tbl>
    <w:p w14:paraId="5277E24A"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C31223F"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63FBC445"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4ACECEE6" w14:textId="77777777" w:rsidTr="005C00A5">
        <w:trPr>
          <w:tblHeader/>
        </w:trPr>
        <w:tc>
          <w:tcPr>
            <w:tcW w:w="2160" w:type="dxa"/>
            <w:shd w:val="clear" w:color="auto" w:fill="CCDCDC"/>
            <w:vAlign w:val="center"/>
          </w:tcPr>
          <w:p w14:paraId="4CA56ECC"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019858E3"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4C96A899"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7659052D" w14:textId="77777777" w:rsidTr="005C00A5">
        <w:tc>
          <w:tcPr>
            <w:tcW w:w="2160" w:type="dxa"/>
            <w:shd w:val="clear" w:color="auto" w:fill="CCDCDC"/>
          </w:tcPr>
          <w:p w14:paraId="7AE4204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1CB70BA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546C0A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initial stage, organizations can prioritize inclusion of multidisciplinary perspectives (e.g., domain experts, human factors experts) in first internal and vendor meetings and in planning and design work.</w:t>
            </w:r>
          </w:p>
        </w:tc>
      </w:tr>
      <w:tr w:rsidR="00963E47" w:rsidRPr="00963E47" w14:paraId="122B14CC" w14:textId="77777777" w:rsidTr="005C00A5">
        <w:tc>
          <w:tcPr>
            <w:tcW w:w="2160" w:type="dxa"/>
            <w:shd w:val="clear" w:color="auto" w:fill="CCDCDC"/>
          </w:tcPr>
          <w:p w14:paraId="502898F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408215A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98659A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are starting to consider the AI system's potential impacts, but the assessment may be limited in scope and not consistently involve a multidisciplinary set of stakeholders.</w:t>
            </w:r>
          </w:p>
        </w:tc>
      </w:tr>
      <w:tr w:rsidR="00963E47" w:rsidRPr="00963E47" w14:paraId="39DC5370" w14:textId="77777777" w:rsidTr="005C00A5">
        <w:tc>
          <w:tcPr>
            <w:tcW w:w="2160" w:type="dxa"/>
            <w:shd w:val="clear" w:color="auto" w:fill="CCDCDC"/>
          </w:tcPr>
          <w:p w14:paraId="19C98C8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64202C1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149736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evolving stage conduct more thorough assessments of the AI system's potential impacts in collaboration with a multidisciplinary group of relevant stakeholders. The process is well-defined and consistently applied.</w:t>
            </w:r>
          </w:p>
        </w:tc>
      </w:tr>
      <w:tr w:rsidR="00963E47" w:rsidRPr="00963E47" w14:paraId="695118B6" w14:textId="77777777" w:rsidTr="005C00A5">
        <w:tc>
          <w:tcPr>
            <w:tcW w:w="2160" w:type="dxa"/>
            <w:shd w:val="clear" w:color="auto" w:fill="CCDCDC"/>
          </w:tcPr>
          <w:p w14:paraId="5479CB8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5F82AE3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3629DE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embedded stage, organizations incorporate ongoing, structured collaboration with a broad range of stakeholders into their standard </w:t>
            </w:r>
            <w:r w:rsidRPr="00963E47">
              <w:rPr>
                <w:rFonts w:ascii="Aptos" w:hAnsi="Aptos" w:cs="Times New Roman"/>
                <w:noProof/>
                <w:color w:val="auto"/>
                <w:sz w:val="20"/>
                <w:szCs w:val="20"/>
              </w:rPr>
              <w:lastRenderedPageBreak/>
              <w:t>processes, ensuring responsible and inclusive AI development aligned with AI Trustworthy Principles.</w:t>
            </w:r>
          </w:p>
        </w:tc>
      </w:tr>
    </w:tbl>
    <w:p w14:paraId="672DDDE0"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4B67A6DE" w14:textId="77777777" w:rsidTr="005C00A5">
        <w:tc>
          <w:tcPr>
            <w:tcW w:w="2250" w:type="dxa"/>
          </w:tcPr>
          <w:p w14:paraId="65A5B97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21C8AA9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2A459B6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43EE3789" w14:textId="77777777" w:rsidTr="005C00A5">
        <w:tc>
          <w:tcPr>
            <w:tcW w:w="2250" w:type="dxa"/>
          </w:tcPr>
          <w:p w14:paraId="6279746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Fair</w:t>
            </w:r>
          </w:p>
        </w:tc>
        <w:tc>
          <w:tcPr>
            <w:tcW w:w="2520" w:type="dxa"/>
          </w:tcPr>
          <w:p w14:paraId="68747B5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Insufficient Stakeholder Impact Consideration</w:t>
            </w:r>
          </w:p>
        </w:tc>
        <w:tc>
          <w:tcPr>
            <w:tcW w:w="5300" w:type="dxa"/>
          </w:tcPr>
          <w:p w14:paraId="57ADDC6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Stakeholder collaboration is insufficient in AI impact assessment</w:t>
            </w:r>
          </w:p>
        </w:tc>
      </w:tr>
    </w:tbl>
    <w:p w14:paraId="24D558D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7BEE4D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615CC0D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E5E408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Engage a multidisciplinary set of relevant stakeholders (e.g., domain experts, human factors experts, and representatives from potentially affected communities) to inform and support ongoing impact considerations of the AI system. These considerations should focus on ensuring that the AI system works as intended and adheres to principles of fairness, transparency, accountability, and safety, particularly in regulated environments.</w:t>
      </w:r>
    </w:p>
    <w:p w14:paraId="40DD9D9C"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10F4301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Use the impact consideration results to guide the design, development, deployment, and continual improvement of the AI system. This includes identifying any risks and implementing appropriate mitigation strategies. The process should be transparent, well-documented, and communicated to stakeholders, with clear criteria for consistency. Implement a follow-up mechanism after deployment to reassess impacts as the system evolves.</w:t>
      </w:r>
    </w:p>
    <w:p w14:paraId="02E64BC3"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7F5240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The primary goal is to utilize the AI system effectively to benefit customers, ensuring that the impact considerations support valid, fit-for-purpose solutions that align with regulatory requirements related to fair treatment and non-discrimination.</w:t>
      </w:r>
    </w:p>
    <w:p w14:paraId="7274C0A4"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40F541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5B1970E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A0C845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Stakeholder Engagement Plan and Forum</w:t>
      </w:r>
    </w:p>
    <w:p w14:paraId="4D3DC93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documented stakeholder engagement plan and recurring forum(s) that identify relevant internal and external stakeholders (domain experts, human factors, community representatives, civil society, regulators) and schedule consultations at key lifecycle stages to gather input on impacts and mitigation measures.</w:t>
      </w:r>
    </w:p>
    <w:p w14:paraId="565CDAB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340280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engagement plan and roster listing participants, roles, and engagement schedule.</w:t>
      </w:r>
    </w:p>
    <w:p w14:paraId="0F4C643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Agendas, minutes, and attendee lists from stakeholder forums, workshops, or consultations.</w:t>
      </w:r>
    </w:p>
    <w:p w14:paraId="00AC88D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Submitted stakeholder feedback logs and action-tracking entries showing responses and resolutions.</w:t>
      </w:r>
    </w:p>
    <w:p w14:paraId="760B50B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Communications confirming outreach to affected communities (invitations, outreach materials).</w:t>
      </w:r>
    </w:p>
    <w:p w14:paraId="2B2357F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5F17C1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Inclusive Impact Assessment Process</w:t>
      </w:r>
    </w:p>
    <w:p w14:paraId="1C313E8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Require documented impact assessments (economic, privacy, safety) that include inputs from multidisciplinary stakeholders and consider disparate impacts; assessments must be reviewed and approved before deployment.</w:t>
      </w:r>
    </w:p>
    <w:p w14:paraId="28390DF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FD9DB2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Completed impact assessment reports with sections documenting stakeholder inputs and identified impacts.</w:t>
      </w:r>
    </w:p>
    <w:p w14:paraId="53B85A6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Approval/sign-off records from a multidisciplinary review panel including external/community representatives.</w:t>
      </w:r>
    </w:p>
    <w:p w14:paraId="6270097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Mitigation plans derived from the assessment with assigned owners and status tracking.</w:t>
      </w:r>
    </w:p>
    <w:p w14:paraId="7F27E5F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Evidence of follow-up consultations with stakeholders on proposed mitigations.</w:t>
      </w:r>
    </w:p>
    <w:p w14:paraId="38AEC08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31CB5B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Participatory Design and Co-creation Activities</w:t>
      </w:r>
    </w:p>
    <w:p w14:paraId="1F73E99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Integrate participatory design methods (co-creation workshops, user testing with representative populations, lived-experience advisory panels) into design and testing phases to surface real-world impacts, usability concerns, and contextual nuances.</w:t>
      </w:r>
    </w:p>
    <w:p w14:paraId="3CD479C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3E519FA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Workshop artifacts (design prototypes, user-testing scripts), participant recruitment records, and consent forms.</w:t>
      </w:r>
    </w:p>
    <w:p w14:paraId="5C670FB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Usability and feedback reports summarizing findings from representative user groups and resulting design changes.</w:t>
      </w:r>
    </w:p>
    <w:p w14:paraId="78D2492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advisory panel recommendations and documented incorporation into design specifications.</w:t>
      </w:r>
    </w:p>
    <w:p w14:paraId="364D321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Photographs or recordings (with consent) and debrief notes from participatory sessions.</w:t>
      </w:r>
    </w:p>
    <w:p w14:paraId="4A866202"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06ACA8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Impact Monitoring with Community-Linked Feedback Channels</w:t>
      </w:r>
    </w:p>
    <w:p w14:paraId="3BE89B2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post-deployment monitoring that tracks impact indicators and provide accessible feedback channels for affected users to report harms or concerns; ensure reports trigger investigation and remediation workflows.</w:t>
      </w:r>
    </w:p>
    <w:p w14:paraId="6594CF2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8DCF16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dashboards capturing agreed impact indicators (complaints, equity metrics, misuse reports) and periodic impact reports.</w:t>
      </w:r>
    </w:p>
    <w:p w14:paraId="6F25C02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Public-facing feedback/contact mechanisms and logs of incoming reports from users.</w:t>
      </w:r>
    </w:p>
    <w:p w14:paraId="164979C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Investigation records, incident tickets, and remediation action logs tied to reported harms.</w:t>
      </w:r>
    </w:p>
    <w:p w14:paraId="1BD27B0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Periodic reports to governance bodies summarizing feedback, trends, and remediation status.</w:t>
      </w:r>
    </w:p>
    <w:p w14:paraId="74C66EF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B9B049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Community Benefit and Harm Mitigation Commitments</w:t>
      </w:r>
    </w:p>
    <w:p w14:paraId="050CFEF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Define and publish commitments to maximize community benefits and mitigate harms (e.g., compensation, access improvements, transparency measures), integrate these into project plans and contracts, and track fulfillment through KPIs.</w:t>
      </w:r>
    </w:p>
    <w:p w14:paraId="5E9EDE7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FC8672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Documented community benefit/harm mitigation plans with KPIs, owners, and timelines included in project plans.</w:t>
      </w:r>
    </w:p>
    <w:p w14:paraId="162ADFD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Contractual clauses or MOUs with community partners outlining commitments and accountability.</w:t>
      </w:r>
    </w:p>
    <w:p w14:paraId="05D9572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KPI reports demonstrating progress on benefit delivery and harm reduction (service access metrics, reduced complaint rates).</w:t>
      </w:r>
    </w:p>
    <w:p w14:paraId="7DF1412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Evidence of completed commitments (e.g., improved access features deployed, published transparency reports).</w:t>
      </w:r>
    </w:p>
    <w:p w14:paraId="2B5DEBD5"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4D2D22B8"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5799CC9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424B0F0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36220EA0" w14:textId="77777777" w:rsidTr="005C00A5">
        <w:tc>
          <w:tcPr>
            <w:tcW w:w="1170" w:type="dxa"/>
          </w:tcPr>
          <w:p w14:paraId="548C6CA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2A30950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24D262B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7E166FB4" w14:textId="77777777" w:rsidTr="005C00A5">
        <w:tc>
          <w:tcPr>
            <w:tcW w:w="1170" w:type="dxa"/>
          </w:tcPr>
          <w:p w14:paraId="5397EB8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MP-1.1.3</w:t>
            </w:r>
          </w:p>
        </w:tc>
        <w:tc>
          <w:tcPr>
            <w:tcW w:w="2160" w:type="dxa"/>
          </w:tcPr>
          <w:p w14:paraId="0633D7B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Assumptions, Risks, and TEVV Documentation</w:t>
            </w:r>
          </w:p>
        </w:tc>
        <w:tc>
          <w:tcPr>
            <w:tcW w:w="6740" w:type="dxa"/>
          </w:tcPr>
          <w:p w14:paraId="0DE64A8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identifies and documents assumptions, limitations, and potential risks throughout the AI system’s lifecycle. Testing, evaluation, verification, and validation (TEVV) requirements and system metrics to identify, monitor, and manage associated system risks are identified.</w:t>
            </w:r>
          </w:p>
          <w:p w14:paraId="56C559AE" w14:textId="77777777" w:rsidR="00963E47" w:rsidRPr="00963E47" w:rsidRDefault="00963E47" w:rsidP="004C3837">
            <w:pPr>
              <w:keepNext/>
              <w:rPr>
                <w:rFonts w:ascii="Aptos" w:hAnsi="Aptos" w:cs="Times New Roman"/>
                <w:b/>
                <w:bCs/>
                <w:color w:val="000000"/>
                <w:sz w:val="20"/>
                <w:szCs w:val="20"/>
              </w:rPr>
            </w:pPr>
          </w:p>
          <w:p w14:paraId="6C0E5D19" w14:textId="77777777" w:rsidR="00963E47" w:rsidRPr="00963E47" w:rsidRDefault="00963E47" w:rsidP="004C3837">
            <w:pPr>
              <w:keepNext/>
              <w:rPr>
                <w:rFonts w:ascii="Aptos" w:hAnsi="Aptos" w:cs="Times New Roman"/>
                <w:b/>
                <w:bCs/>
                <w:color w:val="000000"/>
                <w:sz w:val="20"/>
                <w:szCs w:val="20"/>
              </w:rPr>
            </w:pPr>
            <w:hyperlink r:id="rId97" w:anchor="map-1-1" w:history="1">
              <w:r w:rsidRPr="00963E47">
                <w:rPr>
                  <w:rFonts w:ascii="Aptos" w:hAnsi="Aptos" w:cs="Times New Roman"/>
                  <w:color w:val="000000"/>
                  <w:sz w:val="20"/>
                  <w:szCs w:val="20"/>
                  <w:u w:val="single"/>
                </w:rPr>
                <w:t>Link to NIST AI RMF Playbook</w:t>
              </w:r>
            </w:hyperlink>
          </w:p>
        </w:tc>
      </w:tr>
    </w:tbl>
    <w:p w14:paraId="3DC854B0"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965A700"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5BC47447"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12BD56AE" w14:textId="77777777" w:rsidTr="005C00A5">
        <w:trPr>
          <w:tblHeader/>
        </w:trPr>
        <w:tc>
          <w:tcPr>
            <w:tcW w:w="2160" w:type="dxa"/>
            <w:shd w:val="clear" w:color="auto" w:fill="CCDCDC"/>
            <w:vAlign w:val="center"/>
          </w:tcPr>
          <w:p w14:paraId="1AADBA5C"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15D32AD9"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611F8EFC"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24445652" w14:textId="77777777" w:rsidTr="005C00A5">
        <w:tc>
          <w:tcPr>
            <w:tcW w:w="2160" w:type="dxa"/>
            <w:shd w:val="clear" w:color="auto" w:fill="CCDCDC"/>
          </w:tcPr>
          <w:p w14:paraId="04B311B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64BBCF1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405240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initial stage, organizations acknowledge that all AI systems have assumptions and limitations, and factor that knowledge into preparations for AI adoption.</w:t>
            </w:r>
          </w:p>
        </w:tc>
      </w:tr>
      <w:tr w:rsidR="00963E47" w:rsidRPr="00963E47" w14:paraId="07B96878" w14:textId="77777777" w:rsidTr="005C00A5">
        <w:tc>
          <w:tcPr>
            <w:tcW w:w="2160" w:type="dxa"/>
            <w:shd w:val="clear" w:color="auto" w:fill="CCDCDC"/>
          </w:tcPr>
          <w:p w14:paraId="6CB0549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43AA05A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CA8184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minimal stage have started identifying some assumptions, limitations, and risks, but the process is not comprehensive or consistently applied throughout the AI lifecycle.</w:t>
            </w:r>
          </w:p>
        </w:tc>
      </w:tr>
      <w:tr w:rsidR="00963E47" w:rsidRPr="00963E47" w14:paraId="4DFFB624" w14:textId="77777777" w:rsidTr="005C00A5">
        <w:tc>
          <w:tcPr>
            <w:tcW w:w="2160" w:type="dxa"/>
            <w:shd w:val="clear" w:color="auto" w:fill="CCDCDC"/>
          </w:tcPr>
          <w:p w14:paraId="6EE96815"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0B4AD91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1769A0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evolving stage, organizations have established processes for systematically identifying and documenting assumptions, limitations, </w:t>
            </w:r>
            <w:r w:rsidRPr="00963E47">
              <w:rPr>
                <w:rFonts w:ascii="Aptos" w:hAnsi="Aptos" w:cs="Times New Roman"/>
                <w:noProof/>
                <w:color w:val="auto"/>
                <w:sz w:val="20"/>
                <w:szCs w:val="20"/>
              </w:rPr>
              <w:lastRenderedPageBreak/>
              <w:t>and risks, including those related to TEVV and metrics, at key points in the AI lifecycle.</w:t>
            </w:r>
          </w:p>
        </w:tc>
      </w:tr>
      <w:tr w:rsidR="00963E47" w:rsidRPr="00963E47" w14:paraId="5662ED26" w14:textId="77777777" w:rsidTr="005C00A5">
        <w:tc>
          <w:tcPr>
            <w:tcW w:w="2160" w:type="dxa"/>
            <w:shd w:val="clear" w:color="auto" w:fill="CCDCDC"/>
          </w:tcPr>
          <w:p w14:paraId="65FB546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4: Embedded</w:t>
            </w:r>
          </w:p>
        </w:tc>
        <w:tc>
          <w:tcPr>
            <w:tcW w:w="1350" w:type="dxa"/>
          </w:tcPr>
          <w:p w14:paraId="75E0C3C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AC3D8D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have integrated, automated processes for continuous assessment, verification, and validation, ensuring comprehensive risk management aligned with AI Trustworthy Principles.</w:t>
            </w:r>
          </w:p>
        </w:tc>
      </w:tr>
    </w:tbl>
    <w:p w14:paraId="2C30AF5C"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59416A2C" w14:textId="77777777" w:rsidTr="005C00A5">
        <w:tc>
          <w:tcPr>
            <w:tcW w:w="2250" w:type="dxa"/>
          </w:tcPr>
          <w:p w14:paraId="62C42D1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1B03C9C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7B6127D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1E6785B1" w14:textId="77777777" w:rsidTr="005C00A5">
        <w:tc>
          <w:tcPr>
            <w:tcW w:w="2250" w:type="dxa"/>
          </w:tcPr>
          <w:p w14:paraId="3D92ED8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48AF423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Undocumented Limitations and Risks</w:t>
            </w:r>
          </w:p>
        </w:tc>
        <w:tc>
          <w:tcPr>
            <w:tcW w:w="5300" w:type="dxa"/>
          </w:tcPr>
          <w:p w14:paraId="068B05B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assumptions, limitations, risks, and testing requirements are undocumented</w:t>
            </w:r>
          </w:p>
        </w:tc>
      </w:tr>
    </w:tbl>
    <w:p w14:paraId="048097F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452AF3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03183AE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3978D2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Identify and document assumptions, limitations, and potential risks associated with the AI system throughout its lifecycle. This includes assumptions about data quality, model performance, and user behavior, as well as limitations in the AI system's capabilities or context applicability. </w:t>
      </w:r>
    </w:p>
    <w:p w14:paraId="780FBD1B"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ED6A9C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Conduct a risk assessment to identify potential risks during development, testing, deployment, and use of the AI system, including testing, evaluation, verification, and validation (TEVV) and system metrics. Develop and implement risk mitigation strategies for each identified risk and monitor their effectiveness throughout the AI system's lifecycle.</w:t>
      </w:r>
    </w:p>
    <w:p w14:paraId="5C3BD93C"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7F09B77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Regularly review and update the assumptions, limitations, and risks in collaboration with relevant stakeholders as the AI system evolves and new information becomes available.</w:t>
      </w:r>
    </w:p>
    <w:p w14:paraId="32D18823"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B606A1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2CD2400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8F03B2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Assumptions and Limitations Register</w:t>
      </w:r>
    </w:p>
    <w:p w14:paraId="531AB18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a living register for each AI system that records documented assumptions, known limitations, boundary conditions, and accepted residual risks, reviewed and updated at key lifecycle milestones.</w:t>
      </w:r>
    </w:p>
    <w:p w14:paraId="421A01E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AC8D88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Assumptions &amp; limitations register entries tied to specific system versions with timestamps and owner names.</w:t>
      </w:r>
    </w:p>
    <w:p w14:paraId="0627C7C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showing updates to assumptions/limitations after design reviews, tests, or incidents.</w:t>
      </w:r>
    </w:p>
    <w:p w14:paraId="3F27E63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Review/sign-off records from system owners, product managers, and risk/legal reviewers.</w:t>
      </w:r>
    </w:p>
    <w:p w14:paraId="78B7023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Traceability matrix linking assumptions/limitations to design documents, requirements, and test cases.</w:t>
      </w:r>
    </w:p>
    <w:p w14:paraId="1FDE354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AAED18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TEVV Plan and Requirements Document</w:t>
      </w:r>
    </w:p>
    <w:p w14:paraId="0FA87DF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Produce a formal Testing, Evaluation, Verification, and Validation (TEVV) plan per system that specifies TEVV objectives, scope, test methods, acceptance criteria, datasets, metrics, test schedules, and roles/responsibilities.</w:t>
      </w:r>
    </w:p>
    <w:p w14:paraId="4DF4108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72A77D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Approved TEVV plan documents with versioning and sign-offs from QA, ML engineering, privacy, and risk owners.</w:t>
      </w:r>
    </w:p>
    <w:p w14:paraId="23451FF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 matrices mapping requirements/assumptions to specific TEVV activities and expected outcomes.</w:t>
      </w:r>
    </w:p>
    <w:p w14:paraId="2DE7456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Scheduled TEVV timelines and resource allocations recorded in project plans.</w:t>
      </w:r>
    </w:p>
    <w:p w14:paraId="1C5E6CF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Documented acceptance criteria that gate progression to production.</w:t>
      </w:r>
    </w:p>
    <w:p w14:paraId="6D88075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68D8D5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Metric Definition and Monitoring Framework</w:t>
      </w:r>
    </w:p>
    <w:p w14:paraId="4F74E1A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Define and instrument system-specific metrics (performance, calibration, fairness, robustness, drift, privacy leakage, reliability) with thresholds, alerting rules, and dashboards to support continuous risk detection and TEVV monitoring.</w:t>
      </w:r>
    </w:p>
    <w:p w14:paraId="5201BEB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27FDBC9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Metric catalogue listing defined metrics, formulas, thresholds, and responsible owners.</w:t>
      </w:r>
    </w:p>
    <w:p w14:paraId="4C396F8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dashboards and automated alert logs showing metric values, threshold breaches, and timestamps.</w:t>
      </w:r>
    </w:p>
    <w:p w14:paraId="5277A8F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Configuration records for alerting rules and escalation procedures.</w:t>
      </w:r>
    </w:p>
    <w:p w14:paraId="5399E44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Sample reports showing trend analysis and metric-driven decisions (retrain/rollback).</w:t>
      </w:r>
    </w:p>
    <w:p w14:paraId="51D805E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7678E5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TEVV Execution Records and Validation Artifacts</w:t>
      </w:r>
    </w:p>
    <w:p w14:paraId="0ACD740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Execute TEVV activities per the TEVV plan and retain validation artifacts—test datasets, scripts, execution logs, results, defect/issue tickets, and remediation evidence—that demonstrate how tests mapped to risks and acceptance criteria.</w:t>
      </w:r>
    </w:p>
    <w:p w14:paraId="06E82BA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3DE43C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 execution reports with inputs, outputs, pass/fail results, and links to datasets and scripts.</w:t>
      </w:r>
    </w:p>
    <w:p w14:paraId="50DA50E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Issue/defect trackers documenting findings, severity, assigned owners, remediation actions, and closure evidence.</w:t>
      </w:r>
    </w:p>
    <w:p w14:paraId="625D94B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Signed validation certificates or deployment gate approvals referencing completed TEVV artifacts.</w:t>
      </w:r>
    </w:p>
    <w:p w14:paraId="3B1E12A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Reproducibility artifacts (notebooks, environment manifests, random seeds) showing tests can be rerun.</w:t>
      </w:r>
    </w:p>
    <w:p w14:paraId="0BBF88E3"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DF3209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Risk-Based Periodic Reassessment and TEVV Feedback Loop</w:t>
      </w:r>
    </w:p>
    <w:p w14:paraId="0337111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a periodic reassessment process that uses TEVV results, monitoring alerts, incident analyses, and stakeholder feedback to update risk ratings, assumptions, TEVV scopes, and mitigation plans; document lessons learned and policy/process changes.</w:t>
      </w:r>
    </w:p>
    <w:p w14:paraId="7296471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A32F52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Periodic reassessment reports or risk register updates showing changes to risk ratings and updated mitigation plans.</w:t>
      </w:r>
    </w:p>
    <w:p w14:paraId="5FF302C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Lessons-learned or post-mortem documents linking TEVV findings to process or design changes.</w:t>
      </w:r>
    </w:p>
    <w:p w14:paraId="08BE559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TEVV plans or test cases created in response to monitoring/incident findings with approval records.</w:t>
      </w:r>
    </w:p>
    <w:p w14:paraId="08E5B49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Governance meeting minutes showing review of reassessments, resource decisions, and closure of remediation items.</w:t>
      </w:r>
    </w:p>
    <w:p w14:paraId="6F4E6DBB"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2ED48D74"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2B4371F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5578980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6257211E" w14:textId="77777777" w:rsidTr="005C00A5">
        <w:tc>
          <w:tcPr>
            <w:tcW w:w="1170" w:type="dxa"/>
          </w:tcPr>
          <w:p w14:paraId="0E6D295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0CD7146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323625D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6080F7F0" w14:textId="77777777" w:rsidTr="005C00A5">
        <w:tc>
          <w:tcPr>
            <w:tcW w:w="1170" w:type="dxa"/>
          </w:tcPr>
          <w:p w14:paraId="439E5E9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MP-1.1.4</w:t>
            </w:r>
          </w:p>
        </w:tc>
        <w:tc>
          <w:tcPr>
            <w:tcW w:w="2160" w:type="dxa"/>
          </w:tcPr>
          <w:p w14:paraId="2D9F361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Non-AI Alternatives Evaluation</w:t>
            </w:r>
          </w:p>
        </w:tc>
        <w:tc>
          <w:tcPr>
            <w:tcW w:w="6740" w:type="dxa"/>
          </w:tcPr>
          <w:p w14:paraId="4FEA365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considers non-AI alternatives and documents the comparative analysis and decision rationale.</w:t>
            </w:r>
          </w:p>
          <w:p w14:paraId="67348837" w14:textId="77777777" w:rsidR="00963E47" w:rsidRPr="00963E47" w:rsidRDefault="00963E47" w:rsidP="004C3837">
            <w:pPr>
              <w:keepNext/>
              <w:rPr>
                <w:rFonts w:ascii="Aptos" w:hAnsi="Aptos" w:cs="Times New Roman"/>
                <w:b/>
                <w:bCs/>
                <w:color w:val="000000"/>
                <w:sz w:val="20"/>
                <w:szCs w:val="20"/>
              </w:rPr>
            </w:pPr>
          </w:p>
          <w:p w14:paraId="655A9E8A" w14:textId="77777777" w:rsidR="00963E47" w:rsidRPr="00963E47" w:rsidRDefault="00963E47" w:rsidP="004C3837">
            <w:pPr>
              <w:keepNext/>
              <w:rPr>
                <w:rFonts w:ascii="Aptos" w:hAnsi="Aptos" w:cs="Times New Roman"/>
                <w:b/>
                <w:bCs/>
                <w:color w:val="000000"/>
                <w:sz w:val="20"/>
                <w:szCs w:val="20"/>
              </w:rPr>
            </w:pPr>
            <w:hyperlink r:id="rId98" w:anchor="map-1-1" w:history="1">
              <w:r w:rsidRPr="00963E47">
                <w:rPr>
                  <w:rFonts w:ascii="Aptos" w:hAnsi="Aptos" w:cs="Times New Roman"/>
                  <w:color w:val="000000"/>
                  <w:sz w:val="20"/>
                  <w:szCs w:val="20"/>
                  <w:u w:val="single"/>
                </w:rPr>
                <w:t>Link to NIST AI RMF Playbook</w:t>
              </w:r>
            </w:hyperlink>
          </w:p>
        </w:tc>
      </w:tr>
    </w:tbl>
    <w:p w14:paraId="4EB489EE"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F1C3DD5"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797D146E"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5C2B1AB2" w14:textId="77777777" w:rsidTr="005C00A5">
        <w:trPr>
          <w:tblHeader/>
        </w:trPr>
        <w:tc>
          <w:tcPr>
            <w:tcW w:w="2160" w:type="dxa"/>
            <w:shd w:val="clear" w:color="auto" w:fill="CCDCDC"/>
            <w:vAlign w:val="center"/>
          </w:tcPr>
          <w:p w14:paraId="4E85AA22"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78DCC306"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4832B3DE"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274CEF90" w14:textId="77777777" w:rsidTr="005C00A5">
        <w:tc>
          <w:tcPr>
            <w:tcW w:w="2160" w:type="dxa"/>
            <w:shd w:val="clear" w:color="auto" w:fill="CCDCDC"/>
          </w:tcPr>
          <w:p w14:paraId="7CAC10B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7009B4C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F6881E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initial stage, organizations acknowledge non-AI solutions may be a better fit for certain applications, and factor that knowledge into preparations for AI adoption.</w:t>
            </w:r>
          </w:p>
        </w:tc>
      </w:tr>
      <w:tr w:rsidR="00963E47" w:rsidRPr="00963E47" w14:paraId="1309A76E" w14:textId="77777777" w:rsidTr="005C00A5">
        <w:tc>
          <w:tcPr>
            <w:tcW w:w="2160" w:type="dxa"/>
            <w:shd w:val="clear" w:color="auto" w:fill="CCDCDC"/>
          </w:tcPr>
          <w:p w14:paraId="4D8F1CF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0656E54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EA7B64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minimal stage establish more formal documentation of alternatives and decision rationale to support transparency.</w:t>
            </w:r>
          </w:p>
        </w:tc>
      </w:tr>
      <w:tr w:rsidR="00963E47" w:rsidRPr="00963E47" w14:paraId="1FBB2CB2" w14:textId="77777777" w:rsidTr="005C00A5">
        <w:tc>
          <w:tcPr>
            <w:tcW w:w="2160" w:type="dxa"/>
            <w:shd w:val="clear" w:color="auto" w:fill="CCDCDC"/>
          </w:tcPr>
          <w:p w14:paraId="7468D94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7565AE4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8DC8A8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expand the analysis process to include comprehensive evaluations and systematic comparisons as AI projects become more strategic.</w:t>
            </w:r>
          </w:p>
        </w:tc>
      </w:tr>
      <w:tr w:rsidR="00963E47" w:rsidRPr="00963E47" w14:paraId="530EA105" w14:textId="77777777" w:rsidTr="005C00A5">
        <w:tc>
          <w:tcPr>
            <w:tcW w:w="2160" w:type="dxa"/>
            <w:shd w:val="clear" w:color="auto" w:fill="CCDCDC"/>
          </w:tcPr>
          <w:p w14:paraId="6AAE5F5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3E8D3D3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B71427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Organizations at the embedded stage routinely integrate non-AI alternatives into their decision workflows, with thorough </w:t>
            </w:r>
            <w:r w:rsidRPr="00963E47">
              <w:rPr>
                <w:rFonts w:ascii="Aptos" w:hAnsi="Aptos" w:cs="Times New Roman"/>
                <w:noProof/>
                <w:color w:val="auto"/>
                <w:sz w:val="20"/>
                <w:szCs w:val="20"/>
              </w:rPr>
              <w:lastRenderedPageBreak/>
              <w:t>documentation and consistent review, ensuring responsible and transparent AI deployment aligned with AI Trustworthy Principles.</w:t>
            </w:r>
          </w:p>
        </w:tc>
      </w:tr>
    </w:tbl>
    <w:p w14:paraId="734430F4"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0DD61A44" w14:textId="77777777" w:rsidTr="005C00A5">
        <w:tc>
          <w:tcPr>
            <w:tcW w:w="2250" w:type="dxa"/>
          </w:tcPr>
          <w:p w14:paraId="1A16EF5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7CE78E7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5A51C3E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79D69745" w14:textId="77777777" w:rsidTr="005C00A5">
        <w:tc>
          <w:tcPr>
            <w:tcW w:w="2250" w:type="dxa"/>
          </w:tcPr>
          <w:p w14:paraId="69BA5AE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Valid &amp; Reliable</w:t>
            </w:r>
          </w:p>
        </w:tc>
        <w:tc>
          <w:tcPr>
            <w:tcW w:w="2520" w:type="dxa"/>
          </w:tcPr>
          <w:p w14:paraId="2D3E0C3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Alternatives Not Considered</w:t>
            </w:r>
          </w:p>
        </w:tc>
        <w:tc>
          <w:tcPr>
            <w:tcW w:w="5300" w:type="dxa"/>
          </w:tcPr>
          <w:p w14:paraId="40683C1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Non-AI alternatives are not considered or documented</w:t>
            </w:r>
          </w:p>
        </w:tc>
      </w:tr>
    </w:tbl>
    <w:p w14:paraId="38762C8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895FCD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1D11DC3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139D31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Evaluate non-AI alternatives to the proposed AI system to determine if they provide more valid outcomes, considering options such as traditional rule-based systems, human decision-making processes, or other non-AI technologies. </w:t>
      </w:r>
    </w:p>
    <w:p w14:paraId="3264F506"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6618B9D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Conduct a comparative review of the AI system and its alternatives, using established criteria to assess factors such as accuracy, fairness, transparency, and accountability.</w:t>
      </w:r>
    </w:p>
    <w:p w14:paraId="5D9DBAE7"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718154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Document the results of this review, including the rationale for selecting the AI system, and communicate this information to relevant stakeholders. Regularly update the comparative review in collaboration with stakeholders as new information becomes available or the AI system evolves.</w:t>
      </w:r>
    </w:p>
    <w:p w14:paraId="41F5D53C"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F02235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60133B9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CE2E2E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Alternatives Analysis and Decision Rationale Document</w:t>
      </w:r>
    </w:p>
    <w:p w14:paraId="0727B53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Require formal documentation of non-AI and AI alternatives during project initiation, including criteria such as cost, complexity, accuracy, explainability, and risk, with explicit comparison and decision justifications.</w:t>
      </w:r>
    </w:p>
    <w:p w14:paraId="195F33F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459DE7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Completed alternatives analysis reports comparing AI and non-AI options with documented criteria and scoring.</w:t>
      </w:r>
    </w:p>
    <w:p w14:paraId="36B8D44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Decision rationale memos signed off by project sponsors, risk owners, and relevant stakeholders outlining selected options and reasoning.</w:t>
      </w:r>
    </w:p>
    <w:p w14:paraId="6BB549B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Supporting evidence such as cost estimates, performance benchmarks, and stakeholder input inform the analysis.</w:t>
      </w:r>
    </w:p>
    <w:p w14:paraId="24D8DC3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documents including updates when project scope or options change.</w:t>
      </w:r>
    </w:p>
    <w:p w14:paraId="2E85572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C6CD12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Alternative Options Review Workflow</w:t>
      </w:r>
    </w:p>
    <w:p w14:paraId="05A08D2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a structured review process involving cross-functional stakeholders (e.g., technical, legal, business) to evaluate and approve or reject the use of AI versus non-AI options, with documented approval records.</w:t>
      </w:r>
    </w:p>
    <w:p w14:paraId="7B54C02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D5D6D7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and approval checklists with documented deliberations during project initiation stages.</w:t>
      </w:r>
    </w:p>
    <w:p w14:paraId="043D567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and sign-offs from stakeholders endorsing the chosen approach.</w:t>
      </w:r>
    </w:p>
    <w:p w14:paraId="402A937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 of dissenting opinions or alternative considerations that influenced the decision.</w:t>
      </w:r>
    </w:p>
    <w:p w14:paraId="3C67B7E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logs tracking follow-up on alternative evaluations or re-assessments when project scope evolves.</w:t>
      </w:r>
    </w:p>
    <w:p w14:paraId="720644C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5893A7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Documented Criteria for AI Adoption</w:t>
      </w:r>
    </w:p>
    <w:p w14:paraId="2C93EB1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Define and document explicit criteria for considering AI, including use-case appropriateness, transparency, data availability, risk levels, and alignment with organizational values; review criteria during assessments.</w:t>
      </w:r>
    </w:p>
    <w:p w14:paraId="41AE12A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E0DF62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Criteria checklist incorporated into project charters or proposals.</w:t>
      </w:r>
    </w:p>
    <w:p w14:paraId="08A8B7B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Policy or standard referencing criteria for AI vs. non-AI decision-making.</w:t>
      </w:r>
    </w:p>
    <w:p w14:paraId="4B9DC6B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or briefing materials emphasizing the importance of comparing alternatives.</w:t>
      </w:r>
    </w:p>
    <w:p w14:paraId="7EDE553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review sessions verifying criteria application in project assessments.</w:t>
      </w:r>
    </w:p>
    <w:p w14:paraId="32790CC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8EC25C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Comparative Evaluation Framework</w:t>
      </w:r>
    </w:p>
    <w:p w14:paraId="46731EC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a standardized framework or scoring model to evaluate alternatives systematically, capturing quantitative and qualitative factors, and documenting the resulting scores and rationale for AI adoption.</w:t>
      </w:r>
    </w:p>
    <w:p w14:paraId="4971D64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F36049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Completed evaluation matrices with scores, weights, and justifications for each criterion.</w:t>
      </w:r>
    </w:p>
    <w:p w14:paraId="4659C69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review reports analyzing comparisons and highlighting key decision drivers.</w:t>
      </w:r>
    </w:p>
    <w:p w14:paraId="7D23F36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Summaries or dashboards presenting the comparative analysis outcomes.</w:t>
      </w:r>
    </w:p>
    <w:p w14:paraId="673EB0B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revisions or sensitivity analyses demonstrating robustness of the choice.</w:t>
      </w:r>
    </w:p>
    <w:p w14:paraId="6B0ED3D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2E0E99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Post-Decision Review and Justification Maintenance</w:t>
      </w:r>
    </w:p>
    <w:p w14:paraId="796F336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periodic reviews of past decisions comparing actual outcomes with the initial analysis, updating justification documentation to reflect lessons learned, and ensuring transparency and accountability.</w:t>
      </w:r>
    </w:p>
    <w:p w14:paraId="3A14E56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EB2076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reports analyzing decision outcomes versus initial rationale.</w:t>
      </w:r>
    </w:p>
    <w:p w14:paraId="1ED3940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decision records capturing lessons learned, arising risks, or changes in organizational priorities.</w:t>
      </w:r>
    </w:p>
    <w:p w14:paraId="35E18EB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feedback and audit logs confirming review effectiveness.</w:t>
      </w:r>
    </w:p>
    <w:p w14:paraId="292C6CE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Website or internal repository providing accessible history of AI vs. alternative decisions for accountability.</w:t>
      </w:r>
    </w:p>
    <w:p w14:paraId="285AA7C5"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29" w:name="_Toc214874774"/>
      <w:r w:rsidRPr="00963E47">
        <w:rPr>
          <w:rFonts w:ascii="Aptos" w:eastAsia="Aptos" w:hAnsi="Aptos" w:cs="Times New Roman"/>
          <w:b/>
          <w:bCs/>
          <w:noProof/>
          <w:color w:val="35256B"/>
          <w:kern w:val="2"/>
          <w:sz w:val="24"/>
          <w14:ligatures w14:val="standardContextual"/>
        </w:rPr>
        <w:t>MAP / Understanding the Operating Context / Bolstering Cross-Functional Perspectives on the Operating Context</w:t>
      </w:r>
      <w:bookmarkEnd w:id="29"/>
      <w:r w:rsidRPr="00963E47">
        <w:rPr>
          <w:rFonts w:ascii="Aptos" w:eastAsia="Aptos" w:hAnsi="Aptos" w:cs="Times New Roman"/>
          <w:b/>
          <w:bCs/>
          <w:noProof/>
          <w:color w:val="35256B"/>
          <w:kern w:val="2"/>
          <w:sz w:val="24"/>
          <w14:ligatures w14:val="standardContextual"/>
        </w:rPr>
        <w:t xml:space="preserve"> </w:t>
      </w:r>
    </w:p>
    <w:p w14:paraId="38E2FFD7"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777DBBA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2D962DF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3013765E" w14:textId="77777777" w:rsidTr="005C00A5">
        <w:tc>
          <w:tcPr>
            <w:tcW w:w="1170" w:type="dxa"/>
          </w:tcPr>
          <w:p w14:paraId="756D830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0549069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5D8E1DA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36130078" w14:textId="77777777" w:rsidTr="005C00A5">
        <w:tc>
          <w:tcPr>
            <w:tcW w:w="1170" w:type="dxa"/>
          </w:tcPr>
          <w:p w14:paraId="75B0B58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MP-1.2.1</w:t>
            </w:r>
          </w:p>
        </w:tc>
        <w:tc>
          <w:tcPr>
            <w:tcW w:w="2160" w:type="dxa"/>
          </w:tcPr>
          <w:p w14:paraId="17321EB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Multidisciplinary AI Impact Teams</w:t>
            </w:r>
          </w:p>
        </w:tc>
        <w:tc>
          <w:tcPr>
            <w:tcW w:w="6740" w:type="dxa"/>
          </w:tcPr>
          <w:p w14:paraId="78D2392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recruits, supports, and facilitates documented collaboration among multidisciplinary teams throughout the AI system lifecycle (from problem formulation to monitoring). This enhances comprehensive risk analysis, bias mitigation, and thorough consideration of potential impacts.</w:t>
            </w:r>
          </w:p>
          <w:p w14:paraId="33E7C771" w14:textId="77777777" w:rsidR="00963E47" w:rsidRPr="00963E47" w:rsidRDefault="00963E47" w:rsidP="004C3837">
            <w:pPr>
              <w:keepNext/>
              <w:rPr>
                <w:rFonts w:ascii="Aptos" w:hAnsi="Aptos" w:cs="Times New Roman"/>
                <w:b/>
                <w:bCs/>
                <w:color w:val="000000"/>
                <w:sz w:val="20"/>
                <w:szCs w:val="20"/>
              </w:rPr>
            </w:pPr>
          </w:p>
          <w:p w14:paraId="5DDB031B" w14:textId="77777777" w:rsidR="00963E47" w:rsidRPr="00963E47" w:rsidRDefault="00963E47" w:rsidP="004C3837">
            <w:pPr>
              <w:keepNext/>
              <w:rPr>
                <w:rFonts w:ascii="Aptos" w:hAnsi="Aptos" w:cs="Times New Roman"/>
                <w:b/>
                <w:bCs/>
                <w:color w:val="000000"/>
                <w:sz w:val="20"/>
                <w:szCs w:val="20"/>
              </w:rPr>
            </w:pPr>
            <w:hyperlink r:id="rId99" w:anchor="map-1-2" w:history="1">
              <w:r w:rsidRPr="00963E47">
                <w:rPr>
                  <w:rFonts w:ascii="Aptos" w:hAnsi="Aptos" w:cs="Times New Roman"/>
                  <w:color w:val="000000"/>
                  <w:sz w:val="20"/>
                  <w:szCs w:val="20"/>
                  <w:u w:val="single"/>
                </w:rPr>
                <w:t>Link to NIST AI RMF Playbook</w:t>
              </w:r>
            </w:hyperlink>
          </w:p>
        </w:tc>
      </w:tr>
    </w:tbl>
    <w:p w14:paraId="1205D762"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52491A3"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66F3D52E"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0295941B" w14:textId="77777777" w:rsidTr="005C00A5">
        <w:trPr>
          <w:tblHeader/>
        </w:trPr>
        <w:tc>
          <w:tcPr>
            <w:tcW w:w="2160" w:type="dxa"/>
            <w:shd w:val="clear" w:color="auto" w:fill="CCDCDC"/>
            <w:vAlign w:val="center"/>
          </w:tcPr>
          <w:p w14:paraId="3346440B"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29AD16EA"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7054DC55"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5F7E0506" w14:textId="77777777" w:rsidTr="005C00A5">
        <w:tc>
          <w:tcPr>
            <w:tcW w:w="2160" w:type="dxa"/>
            <w:shd w:val="clear" w:color="auto" w:fill="CCDCDC"/>
          </w:tcPr>
          <w:p w14:paraId="3F5F809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4DD4DDD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A4FB92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initial stage begin to recognize the importance of multidisciplinary teams and make initial efforts to recruit multidisciplinary members.</w:t>
            </w:r>
          </w:p>
        </w:tc>
      </w:tr>
      <w:tr w:rsidR="00963E47" w:rsidRPr="00963E47" w14:paraId="2383C01C" w14:textId="77777777" w:rsidTr="005C00A5">
        <w:tc>
          <w:tcPr>
            <w:tcW w:w="2160" w:type="dxa"/>
            <w:shd w:val="clear" w:color="auto" w:fill="CCDCDC"/>
          </w:tcPr>
          <w:p w14:paraId="00938F8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37F5C11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9FCD4F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recognize the importance of different perspectives and begin forming multidisciplinary teams, although team composition may not yet reflect the full range of necessary expertise.</w:t>
            </w:r>
          </w:p>
        </w:tc>
      </w:tr>
      <w:tr w:rsidR="00963E47" w:rsidRPr="00963E47" w14:paraId="5832D2CF" w14:textId="77777777" w:rsidTr="005C00A5">
        <w:tc>
          <w:tcPr>
            <w:tcW w:w="2160" w:type="dxa"/>
            <w:shd w:val="clear" w:color="auto" w:fill="CCDCDC"/>
          </w:tcPr>
          <w:p w14:paraId="106DAF9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5AF6F1C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EA62DA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evolving stage have well-defined processes for establishing multidisciplinary teams with a wide range of demographics, disciplines, experiences, and expertise to thoroughly inform AI system context and impacts.</w:t>
            </w:r>
          </w:p>
        </w:tc>
      </w:tr>
      <w:tr w:rsidR="00963E47" w:rsidRPr="00963E47" w14:paraId="7131D4F1" w14:textId="77777777" w:rsidTr="005C00A5">
        <w:tc>
          <w:tcPr>
            <w:tcW w:w="2160" w:type="dxa"/>
            <w:shd w:val="clear" w:color="auto" w:fill="CCDCDC"/>
          </w:tcPr>
          <w:p w14:paraId="30CE394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7278FA3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624EA0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systematically integrate multidisciplinary teams into ongoing AI risk analysis processes, with structured support and continuous improvement, ensuring responsible AI aligned with AI Trustworthy Principles.</w:t>
            </w:r>
          </w:p>
        </w:tc>
      </w:tr>
    </w:tbl>
    <w:p w14:paraId="1FC324AD"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4AF0F40F" w14:textId="77777777" w:rsidTr="005C00A5">
        <w:tc>
          <w:tcPr>
            <w:tcW w:w="2250" w:type="dxa"/>
          </w:tcPr>
          <w:p w14:paraId="1C62D5E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lastRenderedPageBreak/>
              <w:t>AI Principle</w:t>
            </w:r>
          </w:p>
        </w:tc>
        <w:tc>
          <w:tcPr>
            <w:tcW w:w="2520" w:type="dxa"/>
          </w:tcPr>
          <w:p w14:paraId="16B46BE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229BB81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739D32D6" w14:textId="77777777" w:rsidTr="005C00A5">
        <w:tc>
          <w:tcPr>
            <w:tcW w:w="2250" w:type="dxa"/>
          </w:tcPr>
          <w:p w14:paraId="18CFD0C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Fair</w:t>
            </w:r>
          </w:p>
        </w:tc>
        <w:tc>
          <w:tcPr>
            <w:tcW w:w="2520" w:type="dxa"/>
          </w:tcPr>
          <w:p w14:paraId="7788EFE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Ineffective AI Teams or Collaboration</w:t>
            </w:r>
          </w:p>
        </w:tc>
        <w:tc>
          <w:tcPr>
            <w:tcW w:w="5300" w:type="dxa"/>
          </w:tcPr>
          <w:p w14:paraId="5B69598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Teams are not multidisciplinary, are not effectively supported, or collaboration across disciplines is undocumented or inconsistently practiced</w:t>
            </w:r>
          </w:p>
        </w:tc>
      </w:tr>
    </w:tbl>
    <w:p w14:paraId="70B439E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D1EE81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35BA1CE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FF3E1B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Form and support multidisciplinary teams with different demographics, disciplines, and expertise (e.g., engineering, legal, external stakeholders) to ensure broad perspectives that reduce risk blind spots and thoroughly consider biases and impacts. Provide these teams with necessary resources and foster effective, documented collaboration throughout the AI system lifecycle, from problem formulation to monitoring.</w:t>
      </w:r>
    </w:p>
    <w:p w14:paraId="0A275033"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213C6DC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Prioritize establishing clear communication channels and collaboration platforms, encouraging open dialogue and psychological safety. Ensure that insights and recommendations from these collaborative efforts are carefully documented and incorporated into the AI system's design, development, and deployment. Regularly review team composition to address gaps in expertise or perspectives, and continuously monitor the effectiveness of multidisciplinary collaboration, making adjustments as needed.</w:t>
      </w:r>
    </w:p>
    <w:p w14:paraId="264C1614"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FF7CC3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70632B3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77E65E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Policy for Multidisciplinary AI Teams</w:t>
      </w:r>
    </w:p>
    <w:p w14:paraId="371919B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and communicate a formal policy emphasizing recruitment of multidisciplinary team members across demographics, disciplines, and expertise areas involved in AI projects, with clear targets and accountability measures.</w:t>
      </w:r>
    </w:p>
    <w:p w14:paraId="58FCCC3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534079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Policy documentation with specific goals for multidisciplinary team composition.</w:t>
      </w:r>
    </w:p>
    <w:p w14:paraId="6813237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Recruitment strategies and outreach programs targeting multidisciplinary groups and varied disciplines.</w:t>
      </w:r>
    </w:p>
    <w:p w14:paraId="414535C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Workforce reports and hiring records demonstrating progress toward multidisciplinary teams.</w:t>
      </w:r>
    </w:p>
    <w:p w14:paraId="172CABB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Performance reviews or accountability reports linking objectives to team development.</w:t>
      </w:r>
    </w:p>
    <w:p w14:paraId="27C493E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B6BBC0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Multidisciplinary Team Formation and Roles Documentation</w:t>
      </w:r>
    </w:p>
    <w:p w14:paraId="2F18EC4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Mandate the formation of multidisciplinary teams for AI initiatives, and maintain documentation outlining team member roles, expertise areas, and contributions to risk and impact assessments at each lifecycle stage.</w:t>
      </w:r>
    </w:p>
    <w:p w14:paraId="6A2C245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A7A4C2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Team composition records, including bios highlighting differing backgrounds, demographics, stakeholder perspectives.</w:t>
      </w:r>
    </w:p>
    <w:p w14:paraId="00C889B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Roles and responsibilities matrices documenting expertise areas aligned to risk and bias analysis activities.</w:t>
      </w:r>
    </w:p>
    <w:p w14:paraId="28586D5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and collaboration logs showing multidisciplinary team participation in reviews and risk assessments.</w:t>
      </w:r>
    </w:p>
    <w:p w14:paraId="6366F14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Team formation approval records tied to project initiation documentation.</w:t>
      </w:r>
    </w:p>
    <w:p w14:paraId="7F440EB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0F6899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Support Mechanisms for Multidisciplinary Teams</w:t>
      </w:r>
    </w:p>
    <w:p w14:paraId="3D09DF7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Provide ongoing support, training, and resources (e.g., bias awareness training, competency, stakeholder engagement workshops) to ensure team members can effectively identify and address biases and impacts.</w:t>
      </w:r>
    </w:p>
    <w:p w14:paraId="3ECDCDB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858B86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completion certificates and participation logs for bias-awareness programs.</w:t>
      </w:r>
    </w:p>
    <w:p w14:paraId="7EA6E44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Resource repositories (guidelines, toolkits) accessible to teams for cross-functional design and impact analysis.</w:t>
      </w:r>
    </w:p>
    <w:p w14:paraId="638FDBF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surveys indicating increased awareness and application of broad concepts.</w:t>
      </w:r>
    </w:p>
    <w:p w14:paraId="20F790A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Event records of workshops or forums fostering multidisciplinary dialogue and understanding.</w:t>
      </w:r>
    </w:p>
    <w:p w14:paraId="5474B69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C8DEF5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Bias and Impact Assessment Processes with multidisciplinary Inputs</w:t>
      </w:r>
    </w:p>
    <w:p w14:paraId="0C22A0D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Integrate inputs from a wide range of experts into risk and impact assessment processes, with documented analyses and mitigation strategies.</w:t>
      </w:r>
    </w:p>
    <w:p w14:paraId="2781043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B8C717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Impact assessment reports explicitly referencing contributions from multidisciplinary stakeholders and experts.</w:t>
      </w:r>
    </w:p>
    <w:p w14:paraId="75EA1C9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engagement records, including interview transcripts, focus group summaries, and consultation logs.</w:t>
      </w:r>
    </w:p>
    <w:p w14:paraId="315729A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Sign-off records from multidisciplinary reviewers endorsing bias mitigation and impact considerations.</w:t>
      </w:r>
    </w:p>
    <w:p w14:paraId="77E5445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actions taken to incorporate multidisciplinary perspectives into design or policy updates.</w:t>
      </w:r>
    </w:p>
    <w:p w14:paraId="317B3CD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FDA7E9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Monitoring and Feedback on Impact Effectiveness</w:t>
      </w:r>
    </w:p>
    <w:p w14:paraId="5C37494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Monitor the effectiveness of cross-functional efforts and impact analyses through feedback channels, regular reviews, and metrics, and adjust team composition or processes accordingly.</w:t>
      </w:r>
    </w:p>
    <w:p w14:paraId="50044F7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069540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Metrics dashboards tracking stakeholder participation and bias mitigation effectiveness.</w:t>
      </w:r>
    </w:p>
    <w:p w14:paraId="73CA966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meeting minutes and improvement plans addressing identified gaps or biases uncovered during project lifecycle.</w:t>
      </w:r>
    </w:p>
    <w:p w14:paraId="3DF87D7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feedback and survey results regarding consideration of impacts.</w:t>
      </w:r>
    </w:p>
    <w:p w14:paraId="00F1A03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process enhancements implemented in response to impact review findings.</w:t>
      </w:r>
    </w:p>
    <w:p w14:paraId="509B0B22"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30" w:name="_Toc214874775"/>
      <w:r w:rsidRPr="00963E47">
        <w:rPr>
          <w:rFonts w:ascii="Aptos" w:eastAsia="Aptos" w:hAnsi="Aptos" w:cs="Times New Roman"/>
          <w:b/>
          <w:bCs/>
          <w:noProof/>
          <w:color w:val="35256B"/>
          <w:kern w:val="2"/>
          <w:sz w:val="24"/>
          <w14:ligatures w14:val="standardContextual"/>
        </w:rPr>
        <w:t>MAP / Understanding the Operating Context / Defining the Mission and Goals</w:t>
      </w:r>
      <w:bookmarkEnd w:id="30"/>
      <w:r w:rsidRPr="00963E47">
        <w:rPr>
          <w:rFonts w:ascii="Aptos" w:eastAsia="Aptos" w:hAnsi="Aptos" w:cs="Times New Roman"/>
          <w:b/>
          <w:bCs/>
          <w:noProof/>
          <w:color w:val="35256B"/>
          <w:kern w:val="2"/>
          <w:sz w:val="24"/>
          <w14:ligatures w14:val="standardContextual"/>
        </w:rPr>
        <w:t xml:space="preserve"> </w:t>
      </w:r>
    </w:p>
    <w:p w14:paraId="6706EBF2"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0F968AF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1D5EF13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575ED7E7" w14:textId="77777777" w:rsidTr="005C00A5">
        <w:tc>
          <w:tcPr>
            <w:tcW w:w="1170" w:type="dxa"/>
          </w:tcPr>
          <w:p w14:paraId="5E5894A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074AF9E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6261A75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1AED98EF" w14:textId="77777777" w:rsidTr="005C00A5">
        <w:tc>
          <w:tcPr>
            <w:tcW w:w="1170" w:type="dxa"/>
          </w:tcPr>
          <w:p w14:paraId="6C8DA47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MP-1.3.1</w:t>
            </w:r>
          </w:p>
        </w:tc>
        <w:tc>
          <w:tcPr>
            <w:tcW w:w="2160" w:type="dxa"/>
          </w:tcPr>
          <w:p w14:paraId="10EA4FA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Alignment with Mission and Values</w:t>
            </w:r>
          </w:p>
        </w:tc>
        <w:tc>
          <w:tcPr>
            <w:tcW w:w="6740" w:type="dxa"/>
          </w:tcPr>
          <w:p w14:paraId="07FD9F8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identifies and documents the AI system’s alignment and contribution to organizational mission, values, goals (including relevant goals for AI technology), and AI  Trustworthy Principles.</w:t>
            </w:r>
          </w:p>
          <w:p w14:paraId="27DE58FC" w14:textId="77777777" w:rsidR="00963E47" w:rsidRPr="00963E47" w:rsidRDefault="00963E47" w:rsidP="004C3837">
            <w:pPr>
              <w:keepNext/>
              <w:rPr>
                <w:rFonts w:ascii="Aptos" w:hAnsi="Aptos" w:cs="Times New Roman"/>
                <w:b/>
                <w:bCs/>
                <w:color w:val="000000"/>
                <w:sz w:val="20"/>
                <w:szCs w:val="20"/>
              </w:rPr>
            </w:pPr>
          </w:p>
          <w:p w14:paraId="18088BF3" w14:textId="77777777" w:rsidR="00963E47" w:rsidRPr="00963E47" w:rsidRDefault="00963E47" w:rsidP="004C3837">
            <w:pPr>
              <w:keepNext/>
              <w:rPr>
                <w:rFonts w:ascii="Aptos" w:hAnsi="Aptos" w:cs="Times New Roman"/>
                <w:b/>
                <w:bCs/>
                <w:color w:val="000000"/>
                <w:sz w:val="20"/>
                <w:szCs w:val="20"/>
              </w:rPr>
            </w:pPr>
            <w:hyperlink r:id="rId100" w:anchor="map-1-3" w:history="1">
              <w:r w:rsidRPr="00963E47">
                <w:rPr>
                  <w:rFonts w:ascii="Aptos" w:hAnsi="Aptos" w:cs="Times New Roman"/>
                  <w:color w:val="000000"/>
                  <w:sz w:val="20"/>
                  <w:szCs w:val="20"/>
                  <w:u w:val="single"/>
                </w:rPr>
                <w:t>Link to NIST AI RMF Playbook</w:t>
              </w:r>
            </w:hyperlink>
          </w:p>
        </w:tc>
      </w:tr>
    </w:tbl>
    <w:p w14:paraId="2810D062"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81704FD"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16271908"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38310508" w14:textId="77777777" w:rsidTr="005C00A5">
        <w:trPr>
          <w:tblHeader/>
        </w:trPr>
        <w:tc>
          <w:tcPr>
            <w:tcW w:w="2160" w:type="dxa"/>
            <w:shd w:val="clear" w:color="auto" w:fill="CCDCDC"/>
            <w:vAlign w:val="center"/>
          </w:tcPr>
          <w:p w14:paraId="74F80771"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6A427B73"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1386DF4B"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591D0DF8" w14:textId="77777777" w:rsidTr="005C00A5">
        <w:tc>
          <w:tcPr>
            <w:tcW w:w="2160" w:type="dxa"/>
            <w:shd w:val="clear" w:color="auto" w:fill="CCDCDC"/>
          </w:tcPr>
          <w:p w14:paraId="4B9AD40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0DC40AE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4E1E50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initial stage, organizations are starting to consider how AI systems align with and contribute to their overall mission and goals, but the process is likely informal and high-level.</w:t>
            </w:r>
          </w:p>
        </w:tc>
      </w:tr>
      <w:tr w:rsidR="00963E47" w:rsidRPr="00963E47" w14:paraId="309C7F12" w14:textId="77777777" w:rsidTr="005C00A5">
        <w:tc>
          <w:tcPr>
            <w:tcW w:w="2160" w:type="dxa"/>
            <w:shd w:val="clear" w:color="auto" w:fill="CCDCDC"/>
          </w:tcPr>
          <w:p w14:paraId="4AADD2A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097788F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9CF4BD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minimal stage have begun documenting the AI system's alignment with mission, values, goals, and principles, but the process may not be comprehensive or consistently applied.</w:t>
            </w:r>
          </w:p>
        </w:tc>
      </w:tr>
      <w:tr w:rsidR="00963E47" w:rsidRPr="00963E47" w14:paraId="5DC051B6" w14:textId="77777777" w:rsidTr="005C00A5">
        <w:tc>
          <w:tcPr>
            <w:tcW w:w="2160" w:type="dxa"/>
            <w:shd w:val="clear" w:color="auto" w:fill="CCDCDC"/>
          </w:tcPr>
          <w:p w14:paraId="7EC3AFD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343D2D2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9F9586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have established clear processes for thoroughly assessing and documenting how each AI system aligns with and contributes to the organizational mission, values, goals, and AI  Trustworthy Principles.</w:t>
            </w:r>
          </w:p>
        </w:tc>
      </w:tr>
      <w:tr w:rsidR="00963E47" w:rsidRPr="00963E47" w14:paraId="1EFA8CFB" w14:textId="77777777" w:rsidTr="005C00A5">
        <w:tc>
          <w:tcPr>
            <w:tcW w:w="2160" w:type="dxa"/>
            <w:shd w:val="clear" w:color="auto" w:fill="CCDCDC"/>
          </w:tcPr>
          <w:p w14:paraId="360B901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74A41F3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74F79A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systematically embed this alignment into their lifecycle management, with automated tracking and continuous updates ensuring responsible AI development aligned with AI Trustworthy Principles.</w:t>
            </w:r>
          </w:p>
        </w:tc>
      </w:tr>
    </w:tbl>
    <w:p w14:paraId="0CFF2B17"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1E0E18ED" w14:textId="77777777" w:rsidTr="005C00A5">
        <w:tc>
          <w:tcPr>
            <w:tcW w:w="2250" w:type="dxa"/>
          </w:tcPr>
          <w:p w14:paraId="3424C3C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lastRenderedPageBreak/>
              <w:t>AI Principle</w:t>
            </w:r>
          </w:p>
        </w:tc>
        <w:tc>
          <w:tcPr>
            <w:tcW w:w="2520" w:type="dxa"/>
          </w:tcPr>
          <w:p w14:paraId="0177B2D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68158EA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5EF287FA" w14:textId="77777777" w:rsidTr="005C00A5">
        <w:tc>
          <w:tcPr>
            <w:tcW w:w="2250" w:type="dxa"/>
          </w:tcPr>
          <w:p w14:paraId="1DDEF7E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0DD8BDB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System Misalignment</w:t>
            </w:r>
          </w:p>
        </w:tc>
        <w:tc>
          <w:tcPr>
            <w:tcW w:w="5300" w:type="dxa"/>
          </w:tcPr>
          <w:p w14:paraId="4EF3182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system alignment with mission, values, and goals is undocumented or lacking</w:t>
            </w:r>
          </w:p>
        </w:tc>
      </w:tr>
    </w:tbl>
    <w:p w14:paraId="19576CA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9F0B6B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329E2EB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9742BE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To determine that the AI system aligns with and contributes to the organization's mission, values, goals, and AI  Trustworthy Principles, clearly document these elements. Engage with senior leadership and relevant stakeholders to gain a thorough understanding of the organization's overall direction and priorities. </w:t>
      </w:r>
    </w:p>
    <w:p w14:paraId="78C61B6E"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6317405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Review existing documentation, such as mission statements, strategic plans, and value statements to identify key themes and objectives. Conduct workshops or interviews with individuals across the organization to gather additional perspectives on how the AI system can support and advance the organization's mission and goals.</w:t>
      </w:r>
    </w:p>
    <w:p w14:paraId="0E0D6EA2"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459E27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Document the specific ways in which the AI system aligns with and contributes to these elements, ensuring this documentation is easily accessible to relevant parties involved in the AI system's development and deployment. Regularly review and update this documentation as the organization's mission and goals evolve over time to maintain its relevance and accuracy.</w:t>
      </w:r>
    </w:p>
    <w:p w14:paraId="7751D01C"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8A9BD0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42C697B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7B7AC0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Establishment of Documentation Standards for AI System Alignment</w:t>
      </w:r>
    </w:p>
    <w:p w14:paraId="3C4EC91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standards and templates for documenting how AI systems align with the organization’s mission, values, strategic goals, and AI Trustworthy Principles.</w:t>
      </w:r>
    </w:p>
    <w:p w14:paraId="3584E3E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626D98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Standardized templates capturing alignment with mission, values, and principles.</w:t>
      </w:r>
    </w:p>
    <w:p w14:paraId="5B73B8A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Guideline documents outlining documentation requirements.</w:t>
      </w:r>
    </w:p>
    <w:p w14:paraId="017FC9B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materials for teams responsible for alignment documentation.</w:t>
      </w:r>
    </w:p>
    <w:p w14:paraId="1E6B472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repository of documented AI system alignments.</w:t>
      </w:r>
    </w:p>
    <w:p w14:paraId="149587C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787804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Systematic Identification and Documentation of Alignment</w:t>
      </w:r>
    </w:p>
    <w:p w14:paraId="3450F9D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assessments to determine how each AI system supports or enhances organizational objectives, values, and AI Trustworthy Principles, then document these findings.</w:t>
      </w:r>
    </w:p>
    <w:p w14:paraId="218DD81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9A7D78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Alignment reports correlating AI features with organizational goals and values.</w:t>
      </w:r>
    </w:p>
    <w:p w14:paraId="1704227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stakeholder consultations assessing alignment.</w:t>
      </w:r>
    </w:p>
    <w:p w14:paraId="14AB39E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Evidence of review and approval of alignment documentation.</w:t>
      </w:r>
    </w:p>
    <w:p w14:paraId="07D9F4E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when systems’ alignment status or contribution is updated.</w:t>
      </w:r>
    </w:p>
    <w:p w14:paraId="4F94A6B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4CCBD2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of AI Contribution into Strategic Planning</w:t>
      </w:r>
    </w:p>
    <w:p w14:paraId="0D8178F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Incorporate AI system alignment and contribution information into strategic planning, oversight, and decision-making processes.</w:t>
      </w:r>
    </w:p>
    <w:p w14:paraId="3B0AF9A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F18EFB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Strategic planning documents referencing AI contribution assessments.</w:t>
      </w:r>
    </w:p>
    <w:p w14:paraId="6AB0E3B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Minutes from strategic review meetings discussing AI alignment.</w:t>
      </w:r>
    </w:p>
    <w:p w14:paraId="1F1DECE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linking AI system performance or impact to organizational goals.</w:t>
      </w:r>
    </w:p>
    <w:p w14:paraId="5A17386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Dashboards illustrating AI contribution to key metrics aligned with AI Trustworthy Principles.</w:t>
      </w:r>
    </w:p>
    <w:p w14:paraId="47DCC93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C2073C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Ongoing Monitoring and Updates of Alignment Documentation</w:t>
      </w:r>
    </w:p>
    <w:p w14:paraId="0407BFD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review and update documentation to reflect changes in AI systems or organizational priorities, ensuring continued alignment.</w:t>
      </w:r>
    </w:p>
    <w:p w14:paraId="385672E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678276F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Periodic review schedules and logs.</w:t>
      </w:r>
    </w:p>
    <w:p w14:paraId="131B797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documentation reflecting recent system modifications or strategic shifts.</w:t>
      </w:r>
    </w:p>
    <w:p w14:paraId="200E9A0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or audit reports identifying gaps or misalignments.</w:t>
      </w:r>
    </w:p>
    <w:p w14:paraId="6B36C37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re-assessment after major system changes or organizational initiatives.</w:t>
      </w:r>
    </w:p>
    <w:p w14:paraId="2EF4D743"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1F3001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Transparency and Communication of AI System Alignment</w:t>
      </w:r>
    </w:p>
    <w:p w14:paraId="6256D7D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Communicate AI system alignment and contribution to relevant stakeholders, reinforcing transparency and trustworthiness.</w:t>
      </w:r>
    </w:p>
    <w:p w14:paraId="38A2D4A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9C600E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Internal reports or dashboards sharing alignment status with leadership.</w:t>
      </w:r>
    </w:p>
    <w:p w14:paraId="1C1EB5F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Communication plans or newsletters explaining AI contribution to organizational goals.</w:t>
      </w:r>
    </w:p>
    <w:p w14:paraId="613819E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feedback on transparency and understanding of AI role.</w:t>
      </w:r>
    </w:p>
    <w:p w14:paraId="404683D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sessions or workshops on organizational principles and AI alignment.</w:t>
      </w:r>
    </w:p>
    <w:p w14:paraId="6C3CAF89"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6F271234"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48F2436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1110E9F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12DD85AD" w14:textId="77777777" w:rsidTr="005C00A5">
        <w:tc>
          <w:tcPr>
            <w:tcW w:w="1170" w:type="dxa"/>
          </w:tcPr>
          <w:p w14:paraId="50ED566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3C181F1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046E346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2721C9F4" w14:textId="77777777" w:rsidTr="005C00A5">
        <w:tc>
          <w:tcPr>
            <w:tcW w:w="1170" w:type="dxa"/>
          </w:tcPr>
          <w:p w14:paraId="575DF60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MP-1.3.2</w:t>
            </w:r>
          </w:p>
        </w:tc>
        <w:tc>
          <w:tcPr>
            <w:tcW w:w="2160" w:type="dxa"/>
          </w:tcPr>
          <w:p w14:paraId="4AB4E6A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Purpose and Context Review</w:t>
            </w:r>
          </w:p>
        </w:tc>
        <w:tc>
          <w:tcPr>
            <w:tcW w:w="6740" w:type="dxa"/>
          </w:tcPr>
          <w:p w14:paraId="19025D2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establishes plans to review and update the AI system’s documented purpose and context to drive ongoing alignment with the organization's evolving mission, goals, and AI  Trustworthy Principles. The organization regularly re-evaluates the business value and context of use for existing AI systems to validate alignment.</w:t>
            </w:r>
          </w:p>
          <w:p w14:paraId="0ABC8700" w14:textId="77777777" w:rsidR="00963E47" w:rsidRPr="00963E47" w:rsidRDefault="00963E47" w:rsidP="004C3837">
            <w:pPr>
              <w:keepNext/>
              <w:rPr>
                <w:rFonts w:ascii="Aptos" w:hAnsi="Aptos" w:cs="Times New Roman"/>
                <w:b/>
                <w:bCs/>
                <w:color w:val="000000"/>
                <w:sz w:val="20"/>
                <w:szCs w:val="20"/>
              </w:rPr>
            </w:pPr>
          </w:p>
          <w:p w14:paraId="7D93B8B4" w14:textId="77777777" w:rsidR="00963E47" w:rsidRPr="00963E47" w:rsidRDefault="00963E47" w:rsidP="004C3837">
            <w:pPr>
              <w:keepNext/>
              <w:rPr>
                <w:rFonts w:ascii="Aptos" w:hAnsi="Aptos" w:cs="Times New Roman"/>
                <w:b/>
                <w:bCs/>
                <w:color w:val="000000"/>
                <w:sz w:val="20"/>
                <w:szCs w:val="20"/>
              </w:rPr>
            </w:pPr>
            <w:hyperlink r:id="rId101" w:anchor="map-1-3" w:history="1">
              <w:r w:rsidRPr="00963E47">
                <w:rPr>
                  <w:rFonts w:ascii="Aptos" w:hAnsi="Aptos" w:cs="Times New Roman"/>
                  <w:color w:val="000000"/>
                  <w:sz w:val="20"/>
                  <w:szCs w:val="20"/>
                  <w:u w:val="single"/>
                </w:rPr>
                <w:t>Link to NIST AI RMF Playbook</w:t>
              </w:r>
            </w:hyperlink>
          </w:p>
        </w:tc>
      </w:tr>
    </w:tbl>
    <w:p w14:paraId="564D5328"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F7C043D"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03BB88C8"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39867113" w14:textId="77777777" w:rsidTr="005C00A5">
        <w:trPr>
          <w:tblHeader/>
        </w:trPr>
        <w:tc>
          <w:tcPr>
            <w:tcW w:w="2160" w:type="dxa"/>
            <w:shd w:val="clear" w:color="auto" w:fill="CCDCDC"/>
            <w:vAlign w:val="center"/>
          </w:tcPr>
          <w:p w14:paraId="4C7B146E"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28CBAD82"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28CC1D22"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4A83C5A1" w14:textId="77777777" w:rsidTr="005C00A5">
        <w:tc>
          <w:tcPr>
            <w:tcW w:w="2160" w:type="dxa"/>
            <w:shd w:val="clear" w:color="auto" w:fill="CCDCDC"/>
          </w:tcPr>
          <w:p w14:paraId="75ACC9E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00CB9C1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E30A05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FCD396A" w14:textId="77777777" w:rsidTr="005C00A5">
        <w:tc>
          <w:tcPr>
            <w:tcW w:w="2160" w:type="dxa"/>
            <w:shd w:val="clear" w:color="auto" w:fill="CCDCDC"/>
          </w:tcPr>
          <w:p w14:paraId="3C41944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3AE267C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AB3D3B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minimal stage begin developing basic plans to periodically review and update AI system purpose and context. They begin to establish structured review processes to ensure ongoing awareness of alignment with organizational goals.</w:t>
            </w:r>
          </w:p>
        </w:tc>
      </w:tr>
      <w:tr w:rsidR="00963E47" w:rsidRPr="00963E47" w14:paraId="18F46973" w14:textId="77777777" w:rsidTr="005C00A5">
        <w:tc>
          <w:tcPr>
            <w:tcW w:w="2160" w:type="dxa"/>
            <w:shd w:val="clear" w:color="auto" w:fill="CCDCDC"/>
          </w:tcPr>
          <w:p w14:paraId="7F208AF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1E8048D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A77974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recognize that mission and goals may evolve over time and begin establishing plans to periodically review and update AI system purpose documentation to maintain alignment.</w:t>
            </w:r>
          </w:p>
        </w:tc>
      </w:tr>
      <w:tr w:rsidR="00963E47" w:rsidRPr="00963E47" w14:paraId="4285B736" w14:textId="77777777" w:rsidTr="005C00A5">
        <w:tc>
          <w:tcPr>
            <w:tcW w:w="2160" w:type="dxa"/>
            <w:shd w:val="clear" w:color="auto" w:fill="CCDCDC"/>
          </w:tcPr>
          <w:p w14:paraId="737E19A5"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47AAC9F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E13392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automate and integrate these reviews into their lifecycle management, ensuring persistent alignment with the organization’s mission, goals, and AI  Trustworthy Principles.</w:t>
            </w:r>
          </w:p>
        </w:tc>
      </w:tr>
    </w:tbl>
    <w:p w14:paraId="1ED26544"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389129CB" w14:textId="77777777" w:rsidTr="005C00A5">
        <w:tc>
          <w:tcPr>
            <w:tcW w:w="2250" w:type="dxa"/>
          </w:tcPr>
          <w:p w14:paraId="0883A29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lastRenderedPageBreak/>
              <w:t>AI Principle</w:t>
            </w:r>
          </w:p>
        </w:tc>
        <w:tc>
          <w:tcPr>
            <w:tcW w:w="2520" w:type="dxa"/>
          </w:tcPr>
          <w:p w14:paraId="3D01603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78D5AE6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1C06D59F" w14:textId="77777777" w:rsidTr="005C00A5">
        <w:tc>
          <w:tcPr>
            <w:tcW w:w="2250" w:type="dxa"/>
          </w:tcPr>
          <w:p w14:paraId="33FD326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138280B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Insufficient Review Process</w:t>
            </w:r>
          </w:p>
        </w:tc>
        <w:tc>
          <w:tcPr>
            <w:tcW w:w="5300" w:type="dxa"/>
          </w:tcPr>
          <w:p w14:paraId="1090BF4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Process to review and update AI system's purpose and context are insufficient</w:t>
            </w:r>
          </w:p>
        </w:tc>
      </w:tr>
    </w:tbl>
    <w:p w14:paraId="4D3DEB8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B81B82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1A8220F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D3735B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Establish plans to regularly review and update the AI system's documented purpose to ensure ongoing alignment with the organization's evolving mission and goals. Determine an appropriate frequency for these reviews based on factors such as the pace of change within the organization and the AI system's criticality and potential impact. </w:t>
      </w:r>
    </w:p>
    <w:p w14:paraId="1A1477BD"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1E42415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Assign responsibility for conducting these reviews to an individual or team, ensuring they have the resources and support to effectively carry out this task. Develop a standardized process for conducting these reviews, which may include gathering input from relevant stakeholders, assessing the AI system's performance and impact, and identifying areas where the system's purpose may need updating or refinement.</w:t>
      </w:r>
    </w:p>
    <w:p w14:paraId="6ED24CFF"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14E0C60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Document any changes or updates to the AI system's purpose and communicate this information to relevant parties. Ensure that the AI system's design, testing, implementation, and deployment are updated as needed to reflect changes in its documented purpose and to maintain alignment with the organization's mission and goals.</w:t>
      </w:r>
    </w:p>
    <w:p w14:paraId="0E19C9E5"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E63176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0A84BF2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1A5152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Planning Frameworks for Reviewing AI Purpose and Context</w:t>
      </w:r>
    </w:p>
    <w:p w14:paraId="5528590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formal plans and schedules for periodically reviewing and updating the documented purpose and contextual use of AI systems to ensure continuous alignment with organizational evolution.</w:t>
      </w:r>
    </w:p>
    <w:p w14:paraId="07ECF4D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879503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Formalized review schedules and process documents outlining review frequency and scope.</w:t>
      </w:r>
    </w:p>
    <w:p w14:paraId="5106463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plans integrated into overall AI governance or lifecycle management frameworks.</w:t>
      </w:r>
    </w:p>
    <w:p w14:paraId="78C05A5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Notifications or reminders for upcoming reviews.</w:t>
      </w:r>
    </w:p>
    <w:p w14:paraId="065765F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Approval workflows for updated purpose and context documentation.</w:t>
      </w:r>
    </w:p>
    <w:p w14:paraId="61EFC052"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5B1F2D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Periodic Re-evaluation of Business Value and Use Context</w:t>
      </w:r>
    </w:p>
    <w:p w14:paraId="56BDEEE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regular assessments of AI systems to re-evaluate their business value, intended use cases, and alignment with current organizational strategies and AI Trustworthy Principles.</w:t>
      </w:r>
    </w:p>
    <w:p w14:paraId="4F831B1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3B30EE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Re-evaluation reports comparing initial purpose versus current use and value.</w:t>
      </w:r>
    </w:p>
    <w:p w14:paraId="374FB40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feedback or user surveys assessing ongoing relevance.</w:t>
      </w:r>
    </w:p>
    <w:p w14:paraId="07BAFB3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Minutes from review meetings documenting conclusions and recommended adjustments.</w:t>
      </w:r>
    </w:p>
    <w:p w14:paraId="2B44321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documentation reflecting new or revised purpose and context.</w:t>
      </w:r>
    </w:p>
    <w:p w14:paraId="72417BC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5369E0B"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Validation and Adjustment of AI Use to Evolving Organizational Goals</w:t>
      </w:r>
    </w:p>
    <w:p w14:paraId="2B59E58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Adjust AI system deployment, purpose, or scope based on validated changes in organizational strategy, operational needs, or AI Trustworthy Principles.</w:t>
      </w:r>
    </w:p>
    <w:p w14:paraId="32C794E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DA9585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request records and approval dates for purpose or scope modifications.</w:t>
      </w:r>
    </w:p>
    <w:p w14:paraId="54AEA7F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Strategic alignment reports indicating adjustments to AI use.</w:t>
      </w:r>
    </w:p>
    <w:p w14:paraId="4B6EAEE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Correspondence or meeting notes demonstrating decision-driven updates.</w:t>
      </w:r>
    </w:p>
    <w:p w14:paraId="7039D87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system documentation reflecting newly validated use cases.</w:t>
      </w:r>
    </w:p>
    <w:p w14:paraId="7633598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AFE5E5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of Review Outcomes into Governance and Oversight</w:t>
      </w:r>
    </w:p>
    <w:p w14:paraId="7B7628C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Incorporate findings and updates from purpose and context reviews into AI governance processes, oversight mechanisms, and risk management strategies.</w:t>
      </w:r>
    </w:p>
    <w:p w14:paraId="7F06B60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3F8207A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Governance committee meeting minutes discussing review outcomes.</w:t>
      </w:r>
    </w:p>
    <w:p w14:paraId="7A6D6FA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Updates to policies or oversight frameworks based on review results.</w:t>
      </w:r>
    </w:p>
    <w:p w14:paraId="53616AE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assessments linked to revised purpose and context.</w:t>
      </w:r>
    </w:p>
    <w:p w14:paraId="5B4E147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dashboards showing alignment status post-review.</w:t>
      </w:r>
    </w:p>
    <w:p w14:paraId="5D7464E2"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54F26C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Improvement and Feedback Loop for Purpose and Context Management</w:t>
      </w:r>
    </w:p>
    <w:p w14:paraId="588EFFE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feedback mechanisms to capture lessons learned from reviews and re-evaluations, driving ongoing improvements in AI purpose documentation and alignment processes.</w:t>
      </w:r>
    </w:p>
    <w:p w14:paraId="00FCEEF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267E7E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forms or post-review surveys from stakeholders.</w:t>
      </w:r>
    </w:p>
    <w:p w14:paraId="6738338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process improvements based on past review outcomes.</w:t>
      </w:r>
    </w:p>
    <w:p w14:paraId="721E9B1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documentation informing future reviews.</w:t>
      </w:r>
    </w:p>
    <w:p w14:paraId="1B31DF4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or update sessions on evolving organization priorities and how they affect AI purpose management.</w:t>
      </w:r>
    </w:p>
    <w:p w14:paraId="634ECF80"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31" w:name="_Toc214874776"/>
      <w:r w:rsidRPr="00963E47">
        <w:rPr>
          <w:rFonts w:ascii="Aptos" w:eastAsia="Aptos" w:hAnsi="Aptos" w:cs="Times New Roman"/>
          <w:b/>
          <w:bCs/>
          <w:noProof/>
          <w:color w:val="35256B"/>
          <w:kern w:val="2"/>
          <w:sz w:val="24"/>
          <w14:ligatures w14:val="standardContextual"/>
        </w:rPr>
        <w:t>MAP / Understanding the Operating Context / Defining Real-World Business Value</w:t>
      </w:r>
      <w:bookmarkEnd w:id="31"/>
      <w:r w:rsidRPr="00963E47">
        <w:rPr>
          <w:rFonts w:ascii="Aptos" w:eastAsia="Aptos" w:hAnsi="Aptos" w:cs="Times New Roman"/>
          <w:b/>
          <w:bCs/>
          <w:noProof/>
          <w:color w:val="35256B"/>
          <w:kern w:val="2"/>
          <w:sz w:val="24"/>
          <w14:ligatures w14:val="standardContextual"/>
        </w:rPr>
        <w:t xml:space="preserve"> </w:t>
      </w:r>
    </w:p>
    <w:p w14:paraId="617B4A3F"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51DC508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0C0AAF6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2666E27B" w14:textId="77777777" w:rsidTr="005C00A5">
        <w:tc>
          <w:tcPr>
            <w:tcW w:w="1170" w:type="dxa"/>
          </w:tcPr>
          <w:p w14:paraId="10F8B4A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30372C2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4FA5CAE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03DCCDE4" w14:textId="77777777" w:rsidTr="005C00A5">
        <w:tc>
          <w:tcPr>
            <w:tcW w:w="1170" w:type="dxa"/>
          </w:tcPr>
          <w:p w14:paraId="540B503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MP-1.4.1</w:t>
            </w:r>
          </w:p>
        </w:tc>
        <w:tc>
          <w:tcPr>
            <w:tcW w:w="2160" w:type="dxa"/>
          </w:tcPr>
          <w:p w14:paraId="51121FE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Business Value and Context Communication</w:t>
            </w:r>
          </w:p>
        </w:tc>
        <w:tc>
          <w:tcPr>
            <w:tcW w:w="6740" w:type="dxa"/>
          </w:tcPr>
          <w:p w14:paraId="3F5EE8C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clearly defines, documents, and communicates the business value, objectives, and intended context of use for each AI system to relevant stakeholders, promoting alignment with organizational goals and facilitating transparency and accountability in how the AI system supports operational success.</w:t>
            </w:r>
          </w:p>
          <w:p w14:paraId="371466BE" w14:textId="77777777" w:rsidR="00963E47" w:rsidRPr="00963E47" w:rsidRDefault="00963E47" w:rsidP="004C3837">
            <w:pPr>
              <w:keepNext/>
              <w:rPr>
                <w:rFonts w:ascii="Aptos" w:hAnsi="Aptos" w:cs="Times New Roman"/>
                <w:b/>
                <w:bCs/>
                <w:color w:val="000000"/>
                <w:sz w:val="20"/>
                <w:szCs w:val="20"/>
              </w:rPr>
            </w:pPr>
          </w:p>
          <w:p w14:paraId="24B66210" w14:textId="77777777" w:rsidR="00963E47" w:rsidRPr="00963E47" w:rsidRDefault="00963E47" w:rsidP="004C3837">
            <w:pPr>
              <w:keepNext/>
              <w:rPr>
                <w:rFonts w:ascii="Aptos" w:hAnsi="Aptos" w:cs="Times New Roman"/>
                <w:b/>
                <w:bCs/>
                <w:color w:val="000000"/>
                <w:sz w:val="20"/>
                <w:szCs w:val="20"/>
              </w:rPr>
            </w:pPr>
            <w:hyperlink r:id="rId102" w:anchor="map-1-4" w:history="1">
              <w:r w:rsidRPr="00963E47">
                <w:rPr>
                  <w:rFonts w:ascii="Aptos" w:hAnsi="Aptos" w:cs="Times New Roman"/>
                  <w:color w:val="000000"/>
                  <w:sz w:val="20"/>
                  <w:szCs w:val="20"/>
                  <w:u w:val="single"/>
                </w:rPr>
                <w:t>Link to NIST AI RMF Playbook</w:t>
              </w:r>
            </w:hyperlink>
          </w:p>
        </w:tc>
      </w:tr>
    </w:tbl>
    <w:p w14:paraId="48D361A5"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055CB28"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265FC408"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5F67D461" w14:textId="77777777" w:rsidTr="005C00A5">
        <w:trPr>
          <w:tblHeader/>
        </w:trPr>
        <w:tc>
          <w:tcPr>
            <w:tcW w:w="2160" w:type="dxa"/>
            <w:shd w:val="clear" w:color="auto" w:fill="CCDCDC"/>
            <w:vAlign w:val="center"/>
          </w:tcPr>
          <w:p w14:paraId="42F01C2E"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1075F02C"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178B8B33"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5C3ECB99" w14:textId="77777777" w:rsidTr="005C00A5">
        <w:tc>
          <w:tcPr>
            <w:tcW w:w="2160" w:type="dxa"/>
            <w:shd w:val="clear" w:color="auto" w:fill="CCDCDC"/>
          </w:tcPr>
          <w:p w14:paraId="2D4B779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43369F7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1913F8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initial stage, organizations begin defining and documenting the basic purpose, value, and context of each AI system.</w:t>
            </w:r>
          </w:p>
        </w:tc>
      </w:tr>
      <w:tr w:rsidR="00963E47" w:rsidRPr="00963E47" w14:paraId="156D28E0" w14:textId="77777777" w:rsidTr="005C00A5">
        <w:tc>
          <w:tcPr>
            <w:tcW w:w="2160" w:type="dxa"/>
            <w:shd w:val="clear" w:color="auto" w:fill="CCDCDC"/>
          </w:tcPr>
          <w:p w14:paraId="7015973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075691F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F297B5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have defined and documented the business value and context of use for AI systems, but the information may not be comprehensive or consistently communicated to all relevant stakeholders.</w:t>
            </w:r>
          </w:p>
        </w:tc>
      </w:tr>
      <w:tr w:rsidR="00963E47" w:rsidRPr="00963E47" w14:paraId="70B35CDA" w14:textId="77777777" w:rsidTr="005C00A5">
        <w:tc>
          <w:tcPr>
            <w:tcW w:w="2160" w:type="dxa"/>
            <w:shd w:val="clear" w:color="auto" w:fill="CCDCDC"/>
          </w:tcPr>
          <w:p w14:paraId="17C5C74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197BE27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0AABA2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evolving stage have established clear processes for thoroughly defining, documenting, and communicating the business value and context of use for each AI system to promote transparency and accountability.</w:t>
            </w:r>
          </w:p>
        </w:tc>
      </w:tr>
      <w:tr w:rsidR="00963E47" w:rsidRPr="00963E47" w14:paraId="6A1FAEDE" w14:textId="77777777" w:rsidTr="005C00A5">
        <w:tc>
          <w:tcPr>
            <w:tcW w:w="2160" w:type="dxa"/>
            <w:shd w:val="clear" w:color="auto" w:fill="CCDCDC"/>
          </w:tcPr>
          <w:p w14:paraId="2BFE015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4A875BD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5DA7DF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have automated, comprehensive processes that continuously inform stakeholders, ensuring responsible and transparent AI deployment aligned with AI Trustworthy Principles</w:t>
            </w:r>
          </w:p>
        </w:tc>
      </w:tr>
    </w:tbl>
    <w:p w14:paraId="5C846CB0"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496B4FEF" w14:textId="77777777" w:rsidTr="005C00A5">
        <w:tc>
          <w:tcPr>
            <w:tcW w:w="2250" w:type="dxa"/>
          </w:tcPr>
          <w:p w14:paraId="5F4A874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lastRenderedPageBreak/>
              <w:t>AI Principle</w:t>
            </w:r>
          </w:p>
        </w:tc>
        <w:tc>
          <w:tcPr>
            <w:tcW w:w="2520" w:type="dxa"/>
          </w:tcPr>
          <w:p w14:paraId="4935C6B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2F14BB8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04384FBD" w14:textId="77777777" w:rsidTr="005C00A5">
        <w:tc>
          <w:tcPr>
            <w:tcW w:w="2250" w:type="dxa"/>
          </w:tcPr>
          <w:p w14:paraId="34E6638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05844A5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Undefined Business Value</w:t>
            </w:r>
          </w:p>
        </w:tc>
        <w:tc>
          <w:tcPr>
            <w:tcW w:w="5300" w:type="dxa"/>
          </w:tcPr>
          <w:p w14:paraId="3F24DCD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Business value, objectives, and context of AI systems are not clearly defined</w:t>
            </w:r>
          </w:p>
        </w:tc>
      </w:tr>
    </w:tbl>
    <w:p w14:paraId="7F57CB4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61DE61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2410D9E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584025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To confirm that the business value, objectives, and context of use for each AI system are clearly defined, documented, and communicated, engage with relevant stakeholders—such as business owners, end-users, subject matter experts, and other interested parties—to gather multidisciplinary input and perspectives.</w:t>
      </w:r>
    </w:p>
    <w:p w14:paraId="245B2092"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6FD4DC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Conduct workshops or interviews to identify how the AI system is expected to deliver tangible business outcomes, such as increasing efficiency, reducing costs, or enhancing customer satisfaction. Clearly articulate these value propositions, ensuring they align with and support the organization’s overall goals and strategies.</w:t>
      </w:r>
    </w:p>
    <w:p w14:paraId="4E9D320B"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7F95A1A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Additionally, document the specific context of use, including the intended users, operational scenarios, constraints, and key assumptions. Make this documentation readily accessible to all relevant parties and communicate it through multiple channels, such as training sessions, user manuals, and internal communications. Regularly review and update this documentation to ensure ongoing accuracy and relevance, supporting transparency and alignment with organizational objectives.</w:t>
      </w:r>
    </w:p>
    <w:p w14:paraId="2A67F683"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168CDE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5CAF768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263C71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Clear Documentation for AI Business Value, Objectives, and Context</w:t>
      </w:r>
    </w:p>
    <w:p w14:paraId="58D92B8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standardized processes and templates to define and record the intended business value, objectives, and context of use for each AI system.</w:t>
      </w:r>
    </w:p>
    <w:p w14:paraId="1E6784A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459C84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Standardized documentation templates capturing purpose, value, and use cases.</w:t>
      </w:r>
    </w:p>
    <w:p w14:paraId="03640C3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Approved records of initial and updated documentation reflecting current understanding.</w:t>
      </w:r>
    </w:p>
    <w:p w14:paraId="3034EF4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materials for teams responsible for documenting AI systems.</w:t>
      </w:r>
    </w:p>
    <w:p w14:paraId="79CC15B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Centralized repository of documented purpose and context descriptions.</w:t>
      </w:r>
    </w:p>
    <w:p w14:paraId="256ACE2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D74580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Communication of AI Purpose and Goals to Stakeholders</w:t>
      </w:r>
    </w:p>
    <w:p w14:paraId="43611F6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Systematically disseminate AI system purpose, business value, objectives, and context of use to all relevant stakeholders through meetings, reports, or dashboards to ensure shared understanding.</w:t>
      </w:r>
    </w:p>
    <w:p w14:paraId="7FFE10E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0DC268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presentation slides or reports summarizing AI purpose and objectives.</w:t>
      </w:r>
    </w:p>
    <w:p w14:paraId="28BE8EA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Internal newsletters or communication channels sharing updates.</w:t>
      </w:r>
    </w:p>
    <w:p w14:paraId="3173DB2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Access logs or views of dashboards displaying AI system descriptions.</w:t>
      </w:r>
    </w:p>
    <w:p w14:paraId="44AA9D3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documenting stakeholder briefings and feedback.</w:t>
      </w:r>
    </w:p>
    <w:p w14:paraId="605E161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482DC7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Alignment with Organizational Goals and Transparency</w:t>
      </w:r>
    </w:p>
    <w:p w14:paraId="7B50356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Ensure that documentation and communication explicitly link AI system objectives to broader organizational goals, promoting transparency and accountability.</w:t>
      </w:r>
    </w:p>
    <w:p w14:paraId="4F1D22B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BC94A7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linking AI objectives to strategic goals in reports or portals.</w:t>
      </w:r>
    </w:p>
    <w:p w14:paraId="643A0FA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Maps or matrices showing alignment with organizational priorities.</w:t>
      </w:r>
    </w:p>
    <w:p w14:paraId="2277F08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trail of updates reflecting ongoing alignment efforts.</w:t>
      </w:r>
    </w:p>
    <w:p w14:paraId="6E5464D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acknowledgment or sign-off records indicating understanding and agreement.</w:t>
      </w:r>
    </w:p>
    <w:p w14:paraId="36AD12C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8B6163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 Review and Updating of Documentation and Communication</w:t>
      </w:r>
    </w:p>
    <w:p w14:paraId="6C7EFF1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Periodically review and update the documented purpose, goals, and context, and re-communicate changes to ensure ongoing alignment and clarity.</w:t>
      </w:r>
    </w:p>
    <w:p w14:paraId="5F0DF22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50F63F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and change logs for purpose and objectives documents.</w:t>
      </w:r>
    </w:p>
    <w:p w14:paraId="2A7AAB2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communication materials or stakeholder briefings.</w:t>
      </w:r>
    </w:p>
    <w:p w14:paraId="3F041E3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records indicating clarity or gaps in understanding.</w:t>
      </w:r>
    </w:p>
    <w:p w14:paraId="1C087FF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Revision records reflecting adjustments tied to organizational changes.</w:t>
      </w:r>
    </w:p>
    <w:p w14:paraId="0D223253"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3F15CD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Facilitating Transparency and Accountability through Accessible Information</w:t>
      </w:r>
    </w:p>
    <w:p w14:paraId="0D8370E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accessible, transparent records of AI system purposes and objectives to foster accountability, support audits, and enable informed decision-making across the organization.</w:t>
      </w:r>
    </w:p>
    <w:p w14:paraId="068F552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3C300C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Centralized, accessible documentation repositories or portals.</w:t>
      </w:r>
    </w:p>
    <w:p w14:paraId="2B01A7F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logs showing stakeholder access and queries.</w:t>
      </w:r>
    </w:p>
    <w:p w14:paraId="79946D4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demonstrating use of purpose and objectives for oversight and decision-making.</w:t>
      </w:r>
    </w:p>
    <w:p w14:paraId="4E30A3B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Evidence of training or awareness sessions emphasizing transparency.</w:t>
      </w:r>
    </w:p>
    <w:p w14:paraId="3B049CFC"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32" w:name="_Toc214874777"/>
      <w:r w:rsidRPr="00963E47">
        <w:rPr>
          <w:rFonts w:ascii="Aptos" w:eastAsia="Aptos" w:hAnsi="Aptos" w:cs="Times New Roman"/>
          <w:b/>
          <w:bCs/>
          <w:noProof/>
          <w:color w:val="35256B"/>
          <w:kern w:val="2"/>
          <w:sz w:val="24"/>
          <w14:ligatures w14:val="standardContextual"/>
        </w:rPr>
        <w:t>MAP / Understanding the Operating Context / Documenting Risk Tolerances</w:t>
      </w:r>
      <w:bookmarkEnd w:id="32"/>
      <w:r w:rsidRPr="00963E47">
        <w:rPr>
          <w:rFonts w:ascii="Aptos" w:eastAsia="Aptos" w:hAnsi="Aptos" w:cs="Times New Roman"/>
          <w:b/>
          <w:bCs/>
          <w:noProof/>
          <w:color w:val="35256B"/>
          <w:kern w:val="2"/>
          <w:sz w:val="24"/>
          <w14:ligatures w14:val="standardContextual"/>
        </w:rPr>
        <w:t xml:space="preserve"> </w:t>
      </w:r>
    </w:p>
    <w:p w14:paraId="3B0747AA"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21550F9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5744BF1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50BB5F5C" w14:textId="77777777" w:rsidTr="005C00A5">
        <w:tc>
          <w:tcPr>
            <w:tcW w:w="1170" w:type="dxa"/>
          </w:tcPr>
          <w:p w14:paraId="0364CDE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4D3AB40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601996C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7F6C8302" w14:textId="77777777" w:rsidTr="005C00A5">
        <w:tc>
          <w:tcPr>
            <w:tcW w:w="1170" w:type="dxa"/>
          </w:tcPr>
          <w:p w14:paraId="3F46364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MP-1.5.1</w:t>
            </w:r>
          </w:p>
        </w:tc>
        <w:tc>
          <w:tcPr>
            <w:tcW w:w="2160" w:type="dxa"/>
          </w:tcPr>
          <w:p w14:paraId="039DCE5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Risk Tolerance Definitions</w:t>
            </w:r>
          </w:p>
        </w:tc>
        <w:tc>
          <w:tcPr>
            <w:tcW w:w="6740" w:type="dxa"/>
          </w:tcPr>
          <w:p w14:paraId="5801931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defines, develops, and documents risk tolerances for AI systems, considering different risk types (e.g., financial, operational, safety, reputational), sources, and levels (e.g., from negligible to critical), with awareness and oversight from senior leadership and the board where appropriate.</w:t>
            </w:r>
          </w:p>
          <w:p w14:paraId="4F745E4D" w14:textId="77777777" w:rsidR="00963E47" w:rsidRPr="00963E47" w:rsidRDefault="00963E47" w:rsidP="004C3837">
            <w:pPr>
              <w:keepNext/>
              <w:rPr>
                <w:rFonts w:ascii="Aptos" w:hAnsi="Aptos" w:cs="Times New Roman"/>
                <w:b/>
                <w:bCs/>
                <w:color w:val="000000"/>
                <w:sz w:val="20"/>
                <w:szCs w:val="20"/>
              </w:rPr>
            </w:pPr>
          </w:p>
          <w:p w14:paraId="3E52895D" w14:textId="77777777" w:rsidR="00963E47" w:rsidRPr="00963E47" w:rsidRDefault="00963E47" w:rsidP="004C3837">
            <w:pPr>
              <w:keepNext/>
              <w:rPr>
                <w:rFonts w:ascii="Aptos" w:hAnsi="Aptos" w:cs="Times New Roman"/>
                <w:b/>
                <w:bCs/>
                <w:color w:val="000000"/>
                <w:sz w:val="20"/>
                <w:szCs w:val="20"/>
              </w:rPr>
            </w:pPr>
            <w:hyperlink r:id="rId103" w:anchor="map-1-5" w:history="1">
              <w:r w:rsidRPr="00963E47">
                <w:rPr>
                  <w:rFonts w:ascii="Aptos" w:hAnsi="Aptos" w:cs="Times New Roman"/>
                  <w:color w:val="000000"/>
                  <w:sz w:val="20"/>
                  <w:szCs w:val="20"/>
                  <w:u w:val="single"/>
                </w:rPr>
                <w:t>Link to NIST AI RMF Playbook</w:t>
              </w:r>
            </w:hyperlink>
          </w:p>
        </w:tc>
      </w:tr>
    </w:tbl>
    <w:p w14:paraId="00EAD5D9"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C1A8B85"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3167552B"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0C5FBF62" w14:textId="77777777" w:rsidTr="005C00A5">
        <w:trPr>
          <w:tblHeader/>
        </w:trPr>
        <w:tc>
          <w:tcPr>
            <w:tcW w:w="2160" w:type="dxa"/>
            <w:shd w:val="clear" w:color="auto" w:fill="CCDCDC"/>
            <w:vAlign w:val="center"/>
          </w:tcPr>
          <w:p w14:paraId="643B2E7B"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4D73190C"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5394BE92"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612A7A02" w14:textId="77777777" w:rsidTr="005C00A5">
        <w:tc>
          <w:tcPr>
            <w:tcW w:w="2160" w:type="dxa"/>
            <w:shd w:val="clear" w:color="auto" w:fill="CCDCDC"/>
          </w:tcPr>
          <w:p w14:paraId="503DCBF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6DC7D4B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63883F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66F7F5F8" w14:textId="77777777" w:rsidTr="005C00A5">
        <w:tc>
          <w:tcPr>
            <w:tcW w:w="2160" w:type="dxa"/>
            <w:shd w:val="clear" w:color="auto" w:fill="CCDCDC"/>
          </w:tcPr>
          <w:p w14:paraId="3597872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1129AB2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696EC6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have begun defining risk tolerances for AI systems, but the process may not consider the full range of risk sources and levels or be consistently documented.</w:t>
            </w:r>
          </w:p>
        </w:tc>
      </w:tr>
      <w:tr w:rsidR="00963E47" w:rsidRPr="00963E47" w14:paraId="2C02884F" w14:textId="77777777" w:rsidTr="005C00A5">
        <w:tc>
          <w:tcPr>
            <w:tcW w:w="2160" w:type="dxa"/>
            <w:shd w:val="clear" w:color="auto" w:fill="CCDCDC"/>
          </w:tcPr>
          <w:p w14:paraId="51A4210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2094060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9B6FC8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evolving stage have established clear processes for comprehensively defining and documenting risk tolerances across different risk sources and levels for each AI system.</w:t>
            </w:r>
          </w:p>
        </w:tc>
      </w:tr>
      <w:tr w:rsidR="00963E47" w:rsidRPr="00963E47" w14:paraId="5C63841F" w14:textId="77777777" w:rsidTr="005C00A5">
        <w:tc>
          <w:tcPr>
            <w:tcW w:w="2160" w:type="dxa"/>
            <w:shd w:val="clear" w:color="auto" w:fill="CCDCDC"/>
          </w:tcPr>
          <w:p w14:paraId="7833FA3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7D120C2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86A2D9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integrate these risk tolerances into their governance frameworks, with continuous oversight from the leadership and board, ensuring responsible AI risk management aligned with AI Trustworthy Principles.</w:t>
            </w:r>
          </w:p>
        </w:tc>
      </w:tr>
    </w:tbl>
    <w:p w14:paraId="70D06EAD"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6046840B" w14:textId="77777777" w:rsidTr="005C00A5">
        <w:tc>
          <w:tcPr>
            <w:tcW w:w="2250" w:type="dxa"/>
          </w:tcPr>
          <w:p w14:paraId="0732E5C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lastRenderedPageBreak/>
              <w:t>AI Principle</w:t>
            </w:r>
          </w:p>
        </w:tc>
        <w:tc>
          <w:tcPr>
            <w:tcW w:w="2520" w:type="dxa"/>
          </w:tcPr>
          <w:p w14:paraId="46A4B6D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38062F0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49F6E1DC" w14:textId="77777777" w:rsidTr="005C00A5">
        <w:tc>
          <w:tcPr>
            <w:tcW w:w="2250" w:type="dxa"/>
          </w:tcPr>
          <w:p w14:paraId="0C4480C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Explainable &amp; Interpretable</w:t>
            </w:r>
          </w:p>
        </w:tc>
        <w:tc>
          <w:tcPr>
            <w:tcW w:w="2520" w:type="dxa"/>
          </w:tcPr>
          <w:p w14:paraId="3B0DF40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Undefined AI Risk Tolerance</w:t>
            </w:r>
          </w:p>
        </w:tc>
        <w:tc>
          <w:tcPr>
            <w:tcW w:w="5300" w:type="dxa"/>
          </w:tcPr>
          <w:p w14:paraId="21580CF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system risk tolerances are undefined, undocumented, or not effectively communicated</w:t>
            </w:r>
          </w:p>
        </w:tc>
      </w:tr>
    </w:tbl>
    <w:p w14:paraId="1F43853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C5B90E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5FD412D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5E493C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To effectively define and document risk tolerances for AI systems, identify the different types of risks associated with each system, such as financial, operational, safety, and reputational risks. Engage relevant stakeholders—including business owners, risk management professionals, subject matter experts, and senior leadership or the board—to gather input on the potential risks and their relative importance.</w:t>
      </w:r>
    </w:p>
    <w:p w14:paraId="0D0738C8"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6919F63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 standardized framework for categorizing risks based on their likelihood and potential impact, using scales such as negligible, low, medium, high, and critical. Document the specific risk tolerances for each AI system within this framework, clearly specifying the acceptable level of risk for each category.</w:t>
      </w:r>
    </w:p>
    <w:p w14:paraId="2406B614"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083F5E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Ensure that the risk tolerance documentation is easily accessible to relevant parties, including leadership and governance bodies, and communicate it through various channels, such as training sessions, risk management policies, and internal communications. Regularly review and update the risk tolerance documentation to reflect changes in the AI landscape, organizational priorities, and stakeholder expectations, with oversight from senior leadership and the board as appropriate.</w:t>
      </w:r>
    </w:p>
    <w:p w14:paraId="517D9A8D"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A9EE1D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1C4A23E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34F72D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Establishment of Risk Tolerance Framework for AI Systems</w:t>
      </w:r>
    </w:p>
    <w:p w14:paraId="79F55E7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 structured framework that guides the determination of risk tolerances across various risk types, levels, and sources, ensuring comprehensiveness and relevance.</w:t>
      </w:r>
    </w:p>
    <w:p w14:paraId="5537176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D89F8E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Formalized risk tolerance policy documents for AI.</w:t>
      </w:r>
    </w:p>
    <w:p w14:paraId="711F778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Framework diagrams or matrices linking risk types, levels, and sources.</w:t>
      </w:r>
    </w:p>
    <w:p w14:paraId="5F38A72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Decision criteria or thresholds used to define tolerable versus intolerable risks.</w:t>
      </w:r>
    </w:p>
    <w:p w14:paraId="1B71061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materials for risk management and leadership teams.</w:t>
      </w:r>
    </w:p>
    <w:p w14:paraId="5A037D6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2EF3C4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Risk Tolerance Levels and Criteria</w:t>
      </w:r>
    </w:p>
    <w:p w14:paraId="3EE8316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Clearly document the approved risk tolerance levels, criteria, and thresholds for different risk categories associated with AI systems.</w:t>
      </w:r>
    </w:p>
    <w:p w14:paraId="6CBD274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F995C6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tolerance statements approved by senior management or the board.</w:t>
      </w:r>
    </w:p>
    <w:p w14:paraId="297A0A6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assessment templates incorporating tolerance levels.</w:t>
      </w:r>
    </w:p>
    <w:p w14:paraId="49EE9D8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or dashboards showing risk levels evaluated against documented thresholds.</w:t>
      </w:r>
    </w:p>
    <w:p w14:paraId="621D80F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policy updates reflecting evolving risk tolerances.</w:t>
      </w:r>
    </w:p>
    <w:p w14:paraId="20EA079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D31B64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Incorporation of Senior Leadership and Board Oversight</w:t>
      </w:r>
    </w:p>
    <w:p w14:paraId="072A586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Involve senior leadership and the board in defining, reviewing, and approving risk tolerances, ensuring strategic alignment and accountability.</w:t>
      </w:r>
    </w:p>
    <w:p w14:paraId="7E8EFB8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E54512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from risk appetite or governance discussions involving leadership and board members.</w:t>
      </w:r>
    </w:p>
    <w:p w14:paraId="13B9CFE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Approval records or sign-offs on risk tolerance documentation.</w:t>
      </w:r>
    </w:p>
    <w:p w14:paraId="5A68E9F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Communications outlining roles and responsibilities for oversight.</w:t>
      </w:r>
    </w:p>
    <w:p w14:paraId="05E492E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or presentations reporting on risk tolerances and adherence.</w:t>
      </w:r>
    </w:p>
    <w:p w14:paraId="2CE4908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78907A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 Review and Adjustment of Risk Tolerances</w:t>
      </w:r>
    </w:p>
    <w:p w14:paraId="3EF824A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Periodically reassess and update risk tolerances to reflect changes in organizational strategy, risk landscape, or operational context.</w:t>
      </w:r>
    </w:p>
    <w:p w14:paraId="50A30C5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A1D07C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and re-evaluation reports.</w:t>
      </w:r>
    </w:p>
    <w:p w14:paraId="66C00A2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documenting updates to risk tolerance levels.</w:t>
      </w:r>
    </w:p>
    <w:p w14:paraId="7053329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Board or leadership approval records for adjustments.</w:t>
      </w:r>
    </w:p>
    <w:p w14:paraId="42C9C22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12AE5A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of Risk Tolerances into Risk Management Processes</w:t>
      </w:r>
    </w:p>
    <w:p w14:paraId="75BA19E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Embed defined risk tolerances within the organization’s risk management processes, risk appetite statements, and decision-making frameworks for consistent application.</w:t>
      </w:r>
    </w:p>
    <w:p w14:paraId="7F81918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8B7FE2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management policies referencing and applying defined tolerances.</w:t>
      </w:r>
    </w:p>
    <w:p w14:paraId="359E9EA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registers or dashboards showing conformity with tolerances.</w:t>
      </w:r>
    </w:p>
    <w:p w14:paraId="213916C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sessions or communications emphasizing the importance of risk tolerances.</w:t>
      </w:r>
    </w:p>
    <w:p w14:paraId="262BAD4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or review reports verifying adherence to established risk tolerances.</w:t>
      </w:r>
    </w:p>
    <w:p w14:paraId="74A36697"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3BA39AFA"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0E7D46D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771417D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40C9D41D" w14:textId="77777777" w:rsidTr="005C00A5">
        <w:tc>
          <w:tcPr>
            <w:tcW w:w="1170" w:type="dxa"/>
          </w:tcPr>
          <w:p w14:paraId="58E2D27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10B01C5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4F3BB63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27B7004A" w14:textId="77777777" w:rsidTr="005C00A5">
        <w:tc>
          <w:tcPr>
            <w:tcW w:w="1170" w:type="dxa"/>
          </w:tcPr>
          <w:p w14:paraId="19DB339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MP-1.5.2</w:t>
            </w:r>
          </w:p>
        </w:tc>
        <w:tc>
          <w:tcPr>
            <w:tcW w:w="2160" w:type="dxa"/>
          </w:tcPr>
          <w:p w14:paraId="0957775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Design Decision Rationale Documentation</w:t>
            </w:r>
          </w:p>
        </w:tc>
        <w:tc>
          <w:tcPr>
            <w:tcW w:w="6740" w:type="dxa"/>
          </w:tcPr>
          <w:p w14:paraId="7B89D04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documents and communicates AI design decisions and risk tolerances, ensuring they align with stakeholder requirements, values, and trustworthiness principles. This process includes input from leadership and the board to support decision-making that balances risks, intended use, and organizational risk appetite.</w:t>
            </w:r>
          </w:p>
          <w:p w14:paraId="7108B3F8" w14:textId="77777777" w:rsidR="00963E47" w:rsidRPr="00963E47" w:rsidRDefault="00963E47" w:rsidP="004C3837">
            <w:pPr>
              <w:keepNext/>
              <w:rPr>
                <w:rFonts w:ascii="Aptos" w:hAnsi="Aptos" w:cs="Times New Roman"/>
                <w:b/>
                <w:bCs/>
                <w:color w:val="000000"/>
                <w:sz w:val="20"/>
                <w:szCs w:val="20"/>
              </w:rPr>
            </w:pPr>
          </w:p>
          <w:p w14:paraId="75ED327E" w14:textId="77777777" w:rsidR="00963E47" w:rsidRPr="00963E47" w:rsidRDefault="00963E47" w:rsidP="004C3837">
            <w:pPr>
              <w:keepNext/>
              <w:rPr>
                <w:rFonts w:ascii="Aptos" w:hAnsi="Aptos" w:cs="Times New Roman"/>
                <w:b/>
                <w:bCs/>
                <w:color w:val="000000"/>
                <w:sz w:val="20"/>
                <w:szCs w:val="20"/>
              </w:rPr>
            </w:pPr>
            <w:hyperlink r:id="rId104" w:anchor="map-1-5" w:history="1">
              <w:r w:rsidRPr="00963E47">
                <w:rPr>
                  <w:rFonts w:ascii="Aptos" w:hAnsi="Aptos" w:cs="Times New Roman"/>
                  <w:color w:val="000000"/>
                  <w:sz w:val="20"/>
                  <w:szCs w:val="20"/>
                  <w:u w:val="single"/>
                </w:rPr>
                <w:t>Link to NIST AI RMF Playbook</w:t>
              </w:r>
            </w:hyperlink>
          </w:p>
        </w:tc>
      </w:tr>
    </w:tbl>
    <w:p w14:paraId="3292DBBE"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704DF17"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20EF51BF"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5D2DAF10" w14:textId="77777777" w:rsidTr="005C00A5">
        <w:trPr>
          <w:tblHeader/>
        </w:trPr>
        <w:tc>
          <w:tcPr>
            <w:tcW w:w="2160" w:type="dxa"/>
            <w:shd w:val="clear" w:color="auto" w:fill="CCDCDC"/>
            <w:vAlign w:val="center"/>
          </w:tcPr>
          <w:p w14:paraId="181FBE71"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14D9B56B"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7F117E78"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65629832" w14:textId="77777777" w:rsidTr="005C00A5">
        <w:tc>
          <w:tcPr>
            <w:tcW w:w="2160" w:type="dxa"/>
            <w:shd w:val="clear" w:color="auto" w:fill="CCDCDC"/>
          </w:tcPr>
          <w:p w14:paraId="3CA1E13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2948C94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85D7BC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37990930" w14:textId="77777777" w:rsidTr="005C00A5">
        <w:tc>
          <w:tcPr>
            <w:tcW w:w="2160" w:type="dxa"/>
            <w:shd w:val="clear" w:color="auto" w:fill="CCDCDC"/>
          </w:tcPr>
          <w:p w14:paraId="1275AFA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47DF517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5D44E88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0A5C5A0B" w14:textId="77777777" w:rsidTr="005C00A5">
        <w:tc>
          <w:tcPr>
            <w:tcW w:w="2160" w:type="dxa"/>
            <w:shd w:val="clear" w:color="auto" w:fill="CCDCDC"/>
          </w:tcPr>
          <w:p w14:paraId="05024C3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44334C7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F08A98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recognize that AI system requirements may need to evolve and begin creating plans for periodically reviewing and updating them based on emerging risks and stakeholder feedback.</w:t>
            </w:r>
          </w:p>
        </w:tc>
      </w:tr>
      <w:tr w:rsidR="00963E47" w:rsidRPr="00963E47" w14:paraId="2DB0D2CA" w14:textId="77777777" w:rsidTr="005C00A5">
        <w:tc>
          <w:tcPr>
            <w:tcW w:w="2160" w:type="dxa"/>
            <w:shd w:val="clear" w:color="auto" w:fill="CCDCDC"/>
          </w:tcPr>
          <w:p w14:paraId="13F6FBE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052A0D8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955DA9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systematically integrate these processes into their decision frameworks, with ongoing alignment to stakeholder requirements, values, and AI Trustworthy Principles, supported by continuous oversight from leadership and the board to ensure responsible AI development.</w:t>
            </w:r>
          </w:p>
        </w:tc>
      </w:tr>
    </w:tbl>
    <w:p w14:paraId="73935EBB"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233D113A" w14:textId="77777777" w:rsidTr="005C00A5">
        <w:tc>
          <w:tcPr>
            <w:tcW w:w="2250" w:type="dxa"/>
          </w:tcPr>
          <w:p w14:paraId="77A6137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lastRenderedPageBreak/>
              <w:t>AI Principle</w:t>
            </w:r>
          </w:p>
        </w:tc>
        <w:tc>
          <w:tcPr>
            <w:tcW w:w="2520" w:type="dxa"/>
          </w:tcPr>
          <w:p w14:paraId="3946571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5A87B52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661B20CA" w14:textId="77777777" w:rsidTr="005C00A5">
        <w:tc>
          <w:tcPr>
            <w:tcW w:w="2250" w:type="dxa"/>
          </w:tcPr>
          <w:p w14:paraId="78CAAE2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Explainable &amp; Interpretable</w:t>
            </w:r>
          </w:p>
        </w:tc>
        <w:tc>
          <w:tcPr>
            <w:tcW w:w="2520" w:type="dxa"/>
          </w:tcPr>
          <w:p w14:paraId="1288882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Misaligned Design Decisions</w:t>
            </w:r>
          </w:p>
        </w:tc>
        <w:tc>
          <w:tcPr>
            <w:tcW w:w="5300" w:type="dxa"/>
          </w:tcPr>
          <w:p w14:paraId="1ADB320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design decisions and corresponding risk tolerances lack stakeholder alignment</w:t>
            </w:r>
          </w:p>
        </w:tc>
      </w:tr>
    </w:tbl>
    <w:p w14:paraId="39C5D4F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58759D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648FB9E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8DC5A9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Document the decision-making processes for both AI risk tolerances and system design choices, ensuring alignment with stakeholder requirements, values, and AI  Trustworthy Principles. Develop a standardized framework for evaluating and prioritizing trustworthiness aspects (e.g., accuracy, fairness, transparency, security) based on the specific context of each AI system.</w:t>
      </w:r>
    </w:p>
    <w:p w14:paraId="388C341D"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75B80DA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Consider tradeoffs among these principles and involve input from relevant stakeholders, including senior leadership and the board, to ensure decisions align with the organization’s risk appetite and strategic objectives.</w:t>
      </w:r>
    </w:p>
    <w:p w14:paraId="30F1C18D"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459B031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Document key design decisions, ranging from data selection to deployment strategies, with a clear rationale. These decisions should demonstrate how they support risk management and enhance trustworthiness.</w:t>
      </w:r>
    </w:p>
    <w:p w14:paraId="66D213B2"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244A700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Ensure documentation is easily accessible and communicated through appropriate channels. Regularly review and update this information to maintain accuracy, relevance, and alignment with evolving organizational and external requirements. Engage stakeholders continuously so that decisions reflect multiple perspectives throughout the AI lifecycle.</w:t>
      </w:r>
    </w:p>
    <w:p w14:paraId="56B97B23"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4B5D47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6EA3CE0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D23369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Establishment of Documentation Processes for AI Design Decisions and Risk Tolerances</w:t>
      </w:r>
    </w:p>
    <w:p w14:paraId="6AF0F45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and implement standardized processes and templates to document design choices, rationale, and associated risk tolerances for each AI system, ensuring traceability and accountability.</w:t>
      </w:r>
    </w:p>
    <w:p w14:paraId="38D9EEF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BB1594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Formalized templates capturing design decisions and underlying rationale.</w:t>
      </w:r>
    </w:p>
    <w:p w14:paraId="7DBA4FE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document review and approval by project teams and stakeholders.</w:t>
      </w:r>
    </w:p>
    <w:p w14:paraId="6F97643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 control logs tracking updates and changes.</w:t>
      </w:r>
    </w:p>
    <w:p w14:paraId="1DEBBCF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Centralized repository of design and risk documentation.</w:t>
      </w:r>
    </w:p>
    <w:p w14:paraId="77BC16E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5C6B1D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Stakeholder and Leadership Involvement in Decision-Making</w:t>
      </w:r>
    </w:p>
    <w:p w14:paraId="32A0975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Incorporate input from relevant stakeholders, including leadership and the board, into the documentation process to ensure design choices reflect organizational values and risk appetite.</w:t>
      </w:r>
    </w:p>
    <w:p w14:paraId="55DA941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D70D62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Minutes from stakeholder, leadership, or board review meetings.</w:t>
      </w:r>
    </w:p>
    <w:p w14:paraId="2CD48A2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Signed-off decision records demonstrating approval and input.</w:t>
      </w:r>
    </w:p>
    <w:p w14:paraId="70C5014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Communications or reports summarizing stakeholder feedback integrated into design documentation.</w:t>
      </w:r>
    </w:p>
    <w:p w14:paraId="50CE544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Approval workflows reflecting multi-level review.</w:t>
      </w:r>
    </w:p>
    <w:p w14:paraId="1684528F"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D5FE9D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Communication of Design Decisions and Risk Tolerances</w:t>
      </w:r>
    </w:p>
    <w:p w14:paraId="139B28F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Clearly communicate documented design choices and associated risk tolerances across teams, ensuring understanding and alignment with organizational values and trustworthiness principles.</w:t>
      </w:r>
    </w:p>
    <w:p w14:paraId="42802ED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A91485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Internal memos, newsletters, or dashboards sharing key decisions.</w:t>
      </w:r>
    </w:p>
    <w:p w14:paraId="42911CD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sessions or briefings on design rationale and risk considerations.</w:t>
      </w:r>
    </w:p>
    <w:p w14:paraId="540BC81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acknowledgment or feedback records indicating understanding.</w:t>
      </w:r>
    </w:p>
    <w:p w14:paraId="6307AA0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Accessible repositories with design documentation and communication logs.</w:t>
      </w:r>
    </w:p>
    <w:p w14:paraId="381233DF"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D5CB26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 Review and Updating of Design Decisions and Risk Tolerances</w:t>
      </w:r>
    </w:p>
    <w:p w14:paraId="5833E7D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Periodically review design decisions and risk tolerances to reflect evolving stakeholder requirements, organizational values, and trust principles, updating documentation accordingly.</w:t>
      </w:r>
    </w:p>
    <w:p w14:paraId="5A51EA3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39301E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and revision records.</w:t>
      </w:r>
    </w:p>
    <w:p w14:paraId="09BD683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documentation demonstrating revised design choices or risk tolerances.</w:t>
      </w:r>
    </w:p>
    <w:p w14:paraId="4253E9A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stakeholder consultation on changes.</w:t>
      </w:r>
    </w:p>
    <w:p w14:paraId="2836DC0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Follow-up approval and validation records.</w:t>
      </w:r>
    </w:p>
    <w:p w14:paraId="5BA3826F"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ACFB54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of Decision Documentation into Governance and Oversight Processes</w:t>
      </w:r>
    </w:p>
    <w:p w14:paraId="7D69BC7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Embed documentation and communication of design decisions and risk tolerances into governance frameworks, risk management practices, and oversight activities.</w:t>
      </w:r>
    </w:p>
    <w:p w14:paraId="5C709F2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796D80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Governance meeting minutes referencing design decisions and risk tolerances.</w:t>
      </w:r>
    </w:p>
    <w:p w14:paraId="20EBB46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registers or dashboards incorporating documented decisions.</w:t>
      </w:r>
    </w:p>
    <w:p w14:paraId="0D75B8E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Policies requiring traceability and communication of design choices.</w:t>
      </w:r>
    </w:p>
    <w:p w14:paraId="784340B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trails demonstrating oversight and review activities.</w:t>
      </w:r>
    </w:p>
    <w:p w14:paraId="4715D125"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33" w:name="_Toc214874778"/>
      <w:r w:rsidRPr="00963E47">
        <w:rPr>
          <w:rFonts w:ascii="Aptos" w:eastAsia="Aptos" w:hAnsi="Aptos" w:cs="Times New Roman"/>
          <w:b/>
          <w:bCs/>
          <w:noProof/>
          <w:color w:val="35256B"/>
          <w:kern w:val="2"/>
          <w:sz w:val="24"/>
          <w14:ligatures w14:val="standardContextual"/>
        </w:rPr>
        <w:t>MAP / Understanding the Operating Context / Defining and Communicating User Requirements</w:t>
      </w:r>
      <w:bookmarkEnd w:id="33"/>
      <w:r w:rsidRPr="00963E47">
        <w:rPr>
          <w:rFonts w:ascii="Aptos" w:eastAsia="Aptos" w:hAnsi="Aptos" w:cs="Times New Roman"/>
          <w:b/>
          <w:bCs/>
          <w:noProof/>
          <w:color w:val="35256B"/>
          <w:kern w:val="2"/>
          <w:sz w:val="24"/>
          <w14:ligatures w14:val="standardContextual"/>
        </w:rPr>
        <w:t xml:space="preserve"> </w:t>
      </w:r>
    </w:p>
    <w:p w14:paraId="2B05423F"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03CB418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279CCAC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6E41F038" w14:textId="77777777" w:rsidTr="005C00A5">
        <w:tc>
          <w:tcPr>
            <w:tcW w:w="1170" w:type="dxa"/>
          </w:tcPr>
          <w:p w14:paraId="451D0B9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06536A8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492A13A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389AF093" w14:textId="77777777" w:rsidTr="005C00A5">
        <w:tc>
          <w:tcPr>
            <w:tcW w:w="1170" w:type="dxa"/>
          </w:tcPr>
          <w:p w14:paraId="72A997C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MP-1.6.1</w:t>
            </w:r>
          </w:p>
        </w:tc>
        <w:tc>
          <w:tcPr>
            <w:tcW w:w="2160" w:type="dxa"/>
          </w:tcPr>
          <w:p w14:paraId="6F302B1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Requirements from Stakeholders</w:t>
            </w:r>
          </w:p>
        </w:tc>
        <w:tc>
          <w:tcPr>
            <w:tcW w:w="6740" w:type="dxa"/>
          </w:tcPr>
          <w:p w14:paraId="25F313E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engages relevant AI stakeholders (e.g., end-users, domain experts, impacted communities) to elicit and document system requirements that address AI risks and promote trustworthy characteristics (e.g., security, fairness, transparency, accountability).</w:t>
            </w:r>
          </w:p>
          <w:p w14:paraId="794FAEC7" w14:textId="77777777" w:rsidR="00963E47" w:rsidRPr="00963E47" w:rsidRDefault="00963E47" w:rsidP="004C3837">
            <w:pPr>
              <w:keepNext/>
              <w:rPr>
                <w:rFonts w:ascii="Aptos" w:hAnsi="Aptos" w:cs="Times New Roman"/>
                <w:b/>
                <w:bCs/>
                <w:color w:val="000000"/>
                <w:sz w:val="20"/>
                <w:szCs w:val="20"/>
              </w:rPr>
            </w:pPr>
          </w:p>
          <w:p w14:paraId="00F10008" w14:textId="77777777" w:rsidR="00963E47" w:rsidRPr="00963E47" w:rsidRDefault="00963E47" w:rsidP="004C3837">
            <w:pPr>
              <w:keepNext/>
              <w:rPr>
                <w:rFonts w:ascii="Aptos" w:hAnsi="Aptos" w:cs="Times New Roman"/>
                <w:b/>
                <w:bCs/>
                <w:color w:val="000000"/>
                <w:sz w:val="20"/>
                <w:szCs w:val="20"/>
              </w:rPr>
            </w:pPr>
            <w:hyperlink r:id="rId105" w:anchor="map-1-6" w:history="1">
              <w:r w:rsidRPr="00963E47">
                <w:rPr>
                  <w:rFonts w:ascii="Aptos" w:hAnsi="Aptos" w:cs="Times New Roman"/>
                  <w:color w:val="000000"/>
                  <w:sz w:val="20"/>
                  <w:szCs w:val="20"/>
                  <w:u w:val="single"/>
                </w:rPr>
                <w:t>Link to NIST AI RMF Playbook</w:t>
              </w:r>
            </w:hyperlink>
          </w:p>
        </w:tc>
      </w:tr>
    </w:tbl>
    <w:p w14:paraId="2B0BFDB0"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610166B"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3238B34E"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542F2BD2" w14:textId="77777777" w:rsidTr="005C00A5">
        <w:trPr>
          <w:tblHeader/>
        </w:trPr>
        <w:tc>
          <w:tcPr>
            <w:tcW w:w="2160" w:type="dxa"/>
            <w:shd w:val="clear" w:color="auto" w:fill="CCDCDC"/>
            <w:vAlign w:val="center"/>
          </w:tcPr>
          <w:p w14:paraId="44438629"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6D7EB007"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3033F448"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0C095C24" w14:textId="77777777" w:rsidTr="005C00A5">
        <w:tc>
          <w:tcPr>
            <w:tcW w:w="2160" w:type="dxa"/>
            <w:shd w:val="clear" w:color="auto" w:fill="CCDCDC"/>
          </w:tcPr>
          <w:p w14:paraId="30B103F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11F0D03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E700F5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initial stage, organizations recognize the importance of engaging AI stakeholders and start the process of eliciting initial requirements.</w:t>
            </w:r>
          </w:p>
        </w:tc>
      </w:tr>
      <w:tr w:rsidR="00963E47" w:rsidRPr="00963E47" w14:paraId="64BBAFCF" w14:textId="77777777" w:rsidTr="005C00A5">
        <w:tc>
          <w:tcPr>
            <w:tcW w:w="2160" w:type="dxa"/>
            <w:shd w:val="clear" w:color="auto" w:fill="CCDCDC"/>
          </w:tcPr>
          <w:p w14:paraId="5E209B4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23F1061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082CB3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have begun engaging some relevant AI stakeholders to gather system requirements, but the process may not comprehensively address AI risks and trustworthiness or be consistently documented.</w:t>
            </w:r>
          </w:p>
        </w:tc>
      </w:tr>
      <w:tr w:rsidR="00963E47" w:rsidRPr="00963E47" w14:paraId="7B5CDAF4" w14:textId="77777777" w:rsidTr="005C00A5">
        <w:tc>
          <w:tcPr>
            <w:tcW w:w="2160" w:type="dxa"/>
            <w:shd w:val="clear" w:color="auto" w:fill="CCDCDC"/>
          </w:tcPr>
          <w:p w14:paraId="0F54918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3A5F04F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A4F32C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evolving stage have established clear processes for engaging a wide range of relevant AI stakeholders to thoroughly elicit and document requirements focused on mitigating AI risks and promoting trustworthy characteristics.</w:t>
            </w:r>
          </w:p>
        </w:tc>
      </w:tr>
      <w:tr w:rsidR="00963E47" w:rsidRPr="00963E47" w14:paraId="5E0CBBD2" w14:textId="77777777" w:rsidTr="005C00A5">
        <w:tc>
          <w:tcPr>
            <w:tcW w:w="2160" w:type="dxa"/>
            <w:shd w:val="clear" w:color="auto" w:fill="CCDCDC"/>
          </w:tcPr>
          <w:p w14:paraId="3448C5D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66DAA50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CFA6BF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embed continuous, structured engagement with multidisciplinary AI stakeholders into their workflows, ensuring ongoing, stakeholder-informed development aligned with AI Trustworthy Principles.</w:t>
            </w:r>
          </w:p>
        </w:tc>
      </w:tr>
    </w:tbl>
    <w:p w14:paraId="298E4015"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397FFA79" w14:textId="77777777" w:rsidTr="005C00A5">
        <w:tc>
          <w:tcPr>
            <w:tcW w:w="2250" w:type="dxa"/>
          </w:tcPr>
          <w:p w14:paraId="513D227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lastRenderedPageBreak/>
              <w:t>AI Principle</w:t>
            </w:r>
          </w:p>
        </w:tc>
        <w:tc>
          <w:tcPr>
            <w:tcW w:w="2520" w:type="dxa"/>
          </w:tcPr>
          <w:p w14:paraId="3160425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54DCE66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65DCE0E1" w14:textId="77777777" w:rsidTr="005C00A5">
        <w:tc>
          <w:tcPr>
            <w:tcW w:w="2250" w:type="dxa"/>
          </w:tcPr>
          <w:p w14:paraId="7DB8D3D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36A4B24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Unelicited AI Stakeholder Requirements</w:t>
            </w:r>
          </w:p>
        </w:tc>
        <w:tc>
          <w:tcPr>
            <w:tcW w:w="5300" w:type="dxa"/>
          </w:tcPr>
          <w:p w14:paraId="67593F4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stakeholder system requirements that address AI risks aren't elicited or documented</w:t>
            </w:r>
          </w:p>
        </w:tc>
      </w:tr>
    </w:tbl>
    <w:p w14:paraId="65ABF50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0E3C67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0D42850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BF6FCD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To effectively elicit and document system requirements that address AI risks and promote trustworthy characteristics, engage a multidisciplinary range of relevant AI stakeholders, including end-users, domain experts, and impacted communities. Use a variety of methods to gather input, such as interviews, focus groups, surveys, and workshops, ensuring that participants can provide feedback and raise concerns. </w:t>
      </w:r>
    </w:p>
    <w:p w14:paraId="5D4DC780"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BEB50B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 standardized framework for categorizing and prioritizing system requirements based on their potential impact on AI risks and trustworthy characteristics, such as security, fairness, transparency, and accountability. Document the system requirements using clear and concise language, ensuring that this information is easily accessible to relevant parties.</w:t>
      </w:r>
    </w:p>
    <w:p w14:paraId="5D8466CD"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B68BD0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Regularly review and update the system requirements to maintain their accuracy and relevance, and communicate changes to relevant stakeholders to ensure alignment.</w:t>
      </w:r>
    </w:p>
    <w:p w14:paraId="3C27DD34"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05DE7C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0D92DAD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5E1965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Stakeholder Engagement Planning for AI Requirements Gathering</w:t>
      </w:r>
    </w:p>
    <w:p w14:paraId="4A51383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structured plans to identify and involve relevant AI Stakeholders, ensuring their input is integrated into system requirements development.</w:t>
      </w:r>
    </w:p>
    <w:p w14:paraId="28E72B3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771B98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analysis documents identifying relevant parties.</w:t>
      </w:r>
    </w:p>
    <w:p w14:paraId="70E6E34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Engagement plans and timelines outlining methods for elicitation.</w:t>
      </w:r>
    </w:p>
    <w:p w14:paraId="64AB05D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outreach and communication to involved stakeholders.</w:t>
      </w:r>
    </w:p>
    <w:p w14:paraId="100B251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collection and response documentation.</w:t>
      </w:r>
    </w:p>
    <w:p w14:paraId="169A374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5483FF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Structured Elicitation and Documentation of Requirements</w:t>
      </w:r>
    </w:p>
    <w:p w14:paraId="2FC9D88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standardized methods (e.g., interviews, workshops, surveys) to elicit system requirements from AI Stakeholders, focusing on risks and trustworthiness aspects, and systematically document these inputs.</w:t>
      </w:r>
    </w:p>
    <w:p w14:paraId="6D84233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148822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elicitation sessions, including agendas and participant lists.</w:t>
      </w:r>
    </w:p>
    <w:p w14:paraId="55B4CA7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Requirement specification documents capturing stakeholder needs and concerns.</w:t>
      </w:r>
    </w:p>
    <w:p w14:paraId="13C8CE1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Follow-up action logs for clarifications or additional input.</w:t>
      </w:r>
    </w:p>
    <w:p w14:paraId="1998166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repository of requirement documents.</w:t>
      </w:r>
    </w:p>
    <w:p w14:paraId="7A9FA45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97159C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Alignment of Requirements with AI Trustworthy Principles</w:t>
      </w:r>
    </w:p>
    <w:p w14:paraId="6C8EFB6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Ensure that elicited requirements explicitly incorporate considerations related to security, fairness, transparency, and accountability, aligning system design with trustworthiness goals.</w:t>
      </w:r>
    </w:p>
    <w:p w14:paraId="444F171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935158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Requirement checklists linked to AI Trustworthy Principles.</w:t>
      </w:r>
    </w:p>
    <w:p w14:paraId="7487F63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and approval records demonstrating requirement alignment.</w:t>
      </w:r>
    </w:p>
    <w:p w14:paraId="1EFEA1A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Requirement traceability matrices mapping stakeholder inputs to trustworthiness criteria.</w:t>
      </w:r>
    </w:p>
    <w:p w14:paraId="298D857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Evaluation reports validating the coverage of trust factors.</w:t>
      </w:r>
    </w:p>
    <w:p w14:paraId="3546571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686CE1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Validation and Approval of Requirements</w:t>
      </w:r>
    </w:p>
    <w:p w14:paraId="5C9C201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Obtain validation and formal approval from relevant stakeholders, including AI Stakeholders, to confirm that documented requirements adequately address risks and trustworthiness concerns.</w:t>
      </w:r>
    </w:p>
    <w:p w14:paraId="6C87075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133256C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Signed requirement approval signatures or electronic endorsements.</w:t>
      </w:r>
    </w:p>
    <w:p w14:paraId="0D38AC0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Validation workshop or review meeting minutes.</w:t>
      </w:r>
    </w:p>
    <w:p w14:paraId="522D1D5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or objection logs from stakeholders.</w:t>
      </w:r>
    </w:p>
    <w:p w14:paraId="27CAF89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requirement revisions following stakeholder input.</w:t>
      </w:r>
    </w:p>
    <w:p w14:paraId="30B02B0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16F616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of Requirements into System Design and Development</w:t>
      </w:r>
    </w:p>
    <w:p w14:paraId="58F9105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Incorporate elicited requirements into the design, development, and testing phases of AI systems to ensure stakeholder concerns about risks and trustworthy characteristics are systematically addressed.</w:t>
      </w:r>
    </w:p>
    <w:p w14:paraId="65F5157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644C4E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Requirement traceability matrices linked to design specifications.</w:t>
      </w:r>
    </w:p>
    <w:p w14:paraId="1743A45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Design review records referencing stakeholder requirements.</w:t>
      </w:r>
    </w:p>
    <w:p w14:paraId="1905960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Testing plans and reports confirming requirements fulfillment.</w:t>
      </w:r>
    </w:p>
    <w:p w14:paraId="065A136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management logs demonstrating requirement-based modifications.</w:t>
      </w:r>
    </w:p>
    <w:p w14:paraId="48A7A72B"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62C4F868"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397A9B2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2F9FEEA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6CB87DC8" w14:textId="77777777" w:rsidTr="005C00A5">
        <w:tc>
          <w:tcPr>
            <w:tcW w:w="1170" w:type="dxa"/>
          </w:tcPr>
          <w:p w14:paraId="2594612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4860DEA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474993D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22C87115" w14:textId="77777777" w:rsidTr="005C00A5">
        <w:tc>
          <w:tcPr>
            <w:tcW w:w="1170" w:type="dxa"/>
          </w:tcPr>
          <w:p w14:paraId="7CBE5F1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MP-1.6.2</w:t>
            </w:r>
          </w:p>
        </w:tc>
        <w:tc>
          <w:tcPr>
            <w:tcW w:w="2160" w:type="dxa"/>
          </w:tcPr>
          <w:p w14:paraId="2E52AB8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Data Interdependency and Provenance Documentation</w:t>
            </w:r>
          </w:p>
        </w:tc>
        <w:tc>
          <w:tcPr>
            <w:tcW w:w="6740" w:type="dxa"/>
          </w:tcPr>
          <w:p w14:paraId="348B407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documents the AI system's internal and external data interdependencies, including data provenance from a privacy perspective. This process identifies and assesses potential negative impacts stemming from these connections, informing risk thresholds, deployment decisions, and operational management decisions.</w:t>
            </w:r>
          </w:p>
          <w:p w14:paraId="5D35210C" w14:textId="77777777" w:rsidR="00963E47" w:rsidRPr="00963E47" w:rsidRDefault="00963E47" w:rsidP="004C3837">
            <w:pPr>
              <w:keepNext/>
              <w:rPr>
                <w:rFonts w:ascii="Aptos" w:hAnsi="Aptos" w:cs="Times New Roman"/>
                <w:b/>
                <w:bCs/>
                <w:color w:val="000000"/>
                <w:sz w:val="20"/>
                <w:szCs w:val="20"/>
              </w:rPr>
            </w:pPr>
          </w:p>
          <w:p w14:paraId="5A41A0F3" w14:textId="77777777" w:rsidR="00963E47" w:rsidRPr="00963E47" w:rsidRDefault="00963E47" w:rsidP="004C3837">
            <w:pPr>
              <w:keepNext/>
              <w:rPr>
                <w:rFonts w:ascii="Aptos" w:hAnsi="Aptos" w:cs="Times New Roman"/>
                <w:b/>
                <w:bCs/>
                <w:color w:val="000000"/>
                <w:sz w:val="20"/>
                <w:szCs w:val="20"/>
              </w:rPr>
            </w:pPr>
            <w:hyperlink r:id="rId106" w:anchor="map-1-6" w:history="1">
              <w:r w:rsidRPr="00963E47">
                <w:rPr>
                  <w:rFonts w:ascii="Aptos" w:hAnsi="Aptos" w:cs="Times New Roman"/>
                  <w:color w:val="000000"/>
                  <w:sz w:val="20"/>
                  <w:szCs w:val="20"/>
                  <w:u w:val="single"/>
                </w:rPr>
                <w:t>Link to NIST AI RMF Playbook</w:t>
              </w:r>
            </w:hyperlink>
          </w:p>
        </w:tc>
      </w:tr>
    </w:tbl>
    <w:p w14:paraId="7EA6EE32"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50CDD83"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399AD36A"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2F1F304E" w14:textId="77777777" w:rsidTr="005C00A5">
        <w:trPr>
          <w:tblHeader/>
        </w:trPr>
        <w:tc>
          <w:tcPr>
            <w:tcW w:w="2160" w:type="dxa"/>
            <w:shd w:val="clear" w:color="auto" w:fill="CCDCDC"/>
            <w:vAlign w:val="center"/>
          </w:tcPr>
          <w:p w14:paraId="03AD67C6"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2E72B760"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01F1AA4E"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215FA19B" w14:textId="77777777" w:rsidTr="005C00A5">
        <w:tc>
          <w:tcPr>
            <w:tcW w:w="2160" w:type="dxa"/>
            <w:shd w:val="clear" w:color="auto" w:fill="CCDCDC"/>
          </w:tcPr>
          <w:p w14:paraId="5A8CDC2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68E5CCE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52F1CD5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1A89275B" w14:textId="77777777" w:rsidTr="005C00A5">
        <w:tc>
          <w:tcPr>
            <w:tcW w:w="2160" w:type="dxa"/>
            <w:shd w:val="clear" w:color="auto" w:fill="CCDCDC"/>
          </w:tcPr>
          <w:p w14:paraId="6CC77BB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3BE2157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B5E44F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begin recognizing and documenting basic internal and external data interdependencies for AI systems, along with nascent privacy considerations related to data provenance. They conduct initial assessments of potential impacts and include these considerations in preliminary risk thresholds and deployment decisions.</w:t>
            </w:r>
          </w:p>
        </w:tc>
      </w:tr>
      <w:tr w:rsidR="00963E47" w:rsidRPr="00963E47" w14:paraId="302F3FEC" w14:textId="77777777" w:rsidTr="005C00A5">
        <w:tc>
          <w:tcPr>
            <w:tcW w:w="2160" w:type="dxa"/>
            <w:shd w:val="clear" w:color="auto" w:fill="CCDCDC"/>
          </w:tcPr>
          <w:p w14:paraId="1AB77D5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0C503DB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D5B3C8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systematically document internal and external data interdependencies and their potential negative impacts, with a growing focus on data provenance from a privacy perspective. This information consistently informs risk management, deployment choices, and is used to refine operational management decisions.</w:t>
            </w:r>
          </w:p>
        </w:tc>
      </w:tr>
      <w:tr w:rsidR="00963E47" w:rsidRPr="00963E47" w14:paraId="760940F3" w14:textId="77777777" w:rsidTr="005C00A5">
        <w:tc>
          <w:tcPr>
            <w:tcW w:w="2160" w:type="dxa"/>
            <w:shd w:val="clear" w:color="auto" w:fill="CCDCDC"/>
          </w:tcPr>
          <w:p w14:paraId="1FB411E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5A1EDA1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CA0F5F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systematically and continuously monitor, manage, and audit all data interdependencies and provenance for AI systems. Insights are fully integrated into risk thresholds, deployment decisions, and operational management, aligning comprehensively with organizational risk management policies and AI Trustworthy Principles, particularly concerning data privacy.</w:t>
            </w:r>
          </w:p>
        </w:tc>
      </w:tr>
    </w:tbl>
    <w:p w14:paraId="5C0D8EE8"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580AB287" w14:textId="77777777" w:rsidTr="005C00A5">
        <w:tc>
          <w:tcPr>
            <w:tcW w:w="2250" w:type="dxa"/>
          </w:tcPr>
          <w:p w14:paraId="0F30320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46FBDE8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4795C74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49C31B1A" w14:textId="77777777" w:rsidTr="005C00A5">
        <w:tc>
          <w:tcPr>
            <w:tcW w:w="2250" w:type="dxa"/>
          </w:tcPr>
          <w:p w14:paraId="2D6FC6A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3425A85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Unassessed Data Interdependencies and Provenance</w:t>
            </w:r>
          </w:p>
        </w:tc>
        <w:tc>
          <w:tcPr>
            <w:tcW w:w="5300" w:type="dxa"/>
          </w:tcPr>
          <w:p w14:paraId="23B74AF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Internal and external data interdependencies, including data provenance, are unassessed or undocumented</w:t>
            </w:r>
          </w:p>
        </w:tc>
      </w:tr>
    </w:tbl>
    <w:p w14:paraId="5CF3919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724D28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2AAC5C6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160D3F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Document the AI system's internal and external data interdependencies, including data provenance from a privacy perspective. This involves identifying and assessing potential negative impacts that may arise from how data flows, is transformed, and connects within and outside the organization. Engage relevant stakeholders, such as IT security professionals, data architects, privacy officers, legal teams, and compliance experts, to gather input on these interdependencies, provenance, and their associated risks.</w:t>
      </w:r>
    </w:p>
    <w:p w14:paraId="6AAFDB87"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7785CA7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 standardized framework for categorizing and prioritizing the risks related to these data interdependencies and provenance, utilizing this framework to inform the organization's overall risk thresholds and deployment decisions for the AI system. Document these interdependencies, their provenance, and associated risks in clear and concise language, ensuring this information is easily accessible to relevant parties.</w:t>
      </w:r>
    </w:p>
    <w:p w14:paraId="62B5442B"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F05191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Regularly review and update the documentation as needed to maintain its accuracy and relevance. Communicate any changes to relevant stakeholders to facilitate ongoing understanding, compliance with privacy regulations, and effective operational management.</w:t>
      </w:r>
    </w:p>
    <w:p w14:paraId="61A0374F"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A76B52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170F8E4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AD1103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Data Dependency Mapping</w:t>
      </w:r>
    </w:p>
    <w:p w14:paraId="51687F4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Create and maintain a comprehensive map of internal and external data dependencies related to the AI system, highlighting interactions and connections between various data sources.</w:t>
      </w:r>
    </w:p>
    <w:p w14:paraId="30E68F9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81F8FC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Dependency mapping diagrams illustrating data flow and relationships.</w:t>
      </w:r>
    </w:p>
    <w:p w14:paraId="0DDBFC7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data sources, including descriptions and access permissions.</w:t>
      </w:r>
    </w:p>
    <w:p w14:paraId="4B724BE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interactions among data sources, detailing frequency and context.</w:t>
      </w:r>
    </w:p>
    <w:p w14:paraId="7AD5FC5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artifacts of mapping updates reflecting changes over time.</w:t>
      </w:r>
    </w:p>
    <w:p w14:paraId="7E3E43E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5C0256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Data Provenance Assessment Framework</w:t>
      </w:r>
    </w:p>
    <w:p w14:paraId="2766A4B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framework for assessing data provenance that evaluates data sources and the quality of input data concerning privacy requirements.</w:t>
      </w:r>
    </w:p>
    <w:p w14:paraId="27CA26A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13A69A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Provenance assessment criteria and guidelines documents.</w:t>
      </w:r>
    </w:p>
    <w:p w14:paraId="08F4FFD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detailing evaluations conducted on data sources, including provenance analyses.</w:t>
      </w:r>
    </w:p>
    <w:p w14:paraId="3A07CDD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Logs of decisions made based on provenance assessments, including mitigation actions.</w:t>
      </w:r>
    </w:p>
    <w:p w14:paraId="586FCEA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evidencing compliance with privacy regulations related to data lineage.</w:t>
      </w:r>
    </w:p>
    <w:p w14:paraId="54579C9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01ED7A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Impact Analysis on Data Interdependencies</w:t>
      </w:r>
    </w:p>
    <w:p w14:paraId="7A43B4C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Perform regular impact analyses to evaluate potential negative effects of data interdependencies on the AI system, focusing on risks associated with privacy, security, and operational reliability.</w:t>
      </w:r>
    </w:p>
    <w:p w14:paraId="127AF5F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23B875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Impact analysis reports that outline identified risks and potential consequences.</w:t>
      </w:r>
    </w:p>
    <w:p w14:paraId="10C2B57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assessment matrices detailing the relationship between data interdependencies and their associated risks.</w:t>
      </w:r>
    </w:p>
    <w:p w14:paraId="18B8994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decision-making processes influenced by impact analyses.</w:t>
      </w:r>
    </w:p>
    <w:p w14:paraId="7CDD2D1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Follow-up documentation showing changes made to mitigate identified risks.</w:t>
      </w:r>
    </w:p>
    <w:p w14:paraId="4C1754DF"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61FCB8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Data Governance Policies</w:t>
      </w:r>
    </w:p>
    <w:p w14:paraId="7CD0A03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and implement data governance policies that outline the management of data interdependencies and provenance, ensuring compliance with applicable laws and organizational standards.</w:t>
      </w:r>
    </w:p>
    <w:p w14:paraId="6A9F161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41FBF3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governance policy documents detailing roles, responsibilities, and procedures.</w:t>
      </w:r>
    </w:p>
    <w:p w14:paraId="00F827D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materials for staff on adherence to data governance principles.</w:t>
      </w:r>
    </w:p>
    <w:p w14:paraId="4B1CD15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reports assessing compliance with established governance policies.</w:t>
      </w:r>
    </w:p>
    <w:p w14:paraId="2B981B4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policy changes, including reviews and approval processes.</w:t>
      </w:r>
    </w:p>
    <w:p w14:paraId="055C215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A78655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Monitoring of Data Interdependencies</w:t>
      </w:r>
    </w:p>
    <w:p w14:paraId="37D5A1A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continuous monitoring mechanisms to track changes in data interdependencies and provenance in real-time, enabling timely identification and response to emerging risks.</w:t>
      </w:r>
    </w:p>
    <w:p w14:paraId="19A7BA6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2A7758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Real-time monitoring dashboards with indicators of data interdependencies.</w:t>
      </w:r>
    </w:p>
    <w:p w14:paraId="7D54DA5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Alerts and notifications generated from monitoring systems regarding significant changes.</w:t>
      </w:r>
    </w:p>
    <w:p w14:paraId="3B4A1A9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documenting monitoring activities and findings over specified periods.</w:t>
      </w:r>
    </w:p>
    <w:p w14:paraId="24EA256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corrective actions taken in response to monitoring alerts.</w:t>
      </w:r>
    </w:p>
    <w:p w14:paraId="45A91258"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02318979"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41738FB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095D587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04A24066" w14:textId="77777777" w:rsidTr="005C00A5">
        <w:tc>
          <w:tcPr>
            <w:tcW w:w="1170" w:type="dxa"/>
          </w:tcPr>
          <w:p w14:paraId="5D18B1A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1764A31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0AD0BAF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0BFF7C0E" w14:textId="77777777" w:rsidTr="005C00A5">
        <w:tc>
          <w:tcPr>
            <w:tcW w:w="1170" w:type="dxa"/>
          </w:tcPr>
          <w:p w14:paraId="5F8D3D4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MP-1.6.3</w:t>
            </w:r>
          </w:p>
        </w:tc>
        <w:tc>
          <w:tcPr>
            <w:tcW w:w="2160" w:type="dxa"/>
          </w:tcPr>
          <w:p w14:paraId="4874BDC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Context-Informed Data Design</w:t>
            </w:r>
          </w:p>
        </w:tc>
        <w:tc>
          <w:tcPr>
            <w:tcW w:w="6740" w:type="dxa"/>
          </w:tcPr>
          <w:p w14:paraId="41A19E9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conducts research to understand the potential limitations of data that may affect the specific uses of the AI system, and uses this understanding, along with insights on values, contexts, and systemic and historical considerations, to inform data selection and representation in the AI system design process.</w:t>
            </w:r>
          </w:p>
          <w:p w14:paraId="704CCC48" w14:textId="77777777" w:rsidR="00963E47" w:rsidRPr="00963E47" w:rsidRDefault="00963E47" w:rsidP="004C3837">
            <w:pPr>
              <w:keepNext/>
              <w:rPr>
                <w:rFonts w:ascii="Aptos" w:hAnsi="Aptos" w:cs="Times New Roman"/>
                <w:b/>
                <w:bCs/>
                <w:color w:val="000000"/>
                <w:sz w:val="20"/>
                <w:szCs w:val="20"/>
              </w:rPr>
            </w:pPr>
          </w:p>
          <w:p w14:paraId="4D45DB6B" w14:textId="77777777" w:rsidR="00963E47" w:rsidRPr="00963E47" w:rsidRDefault="00963E47" w:rsidP="004C3837">
            <w:pPr>
              <w:keepNext/>
              <w:rPr>
                <w:rFonts w:ascii="Aptos" w:hAnsi="Aptos" w:cs="Times New Roman"/>
                <w:b/>
                <w:bCs/>
                <w:color w:val="000000"/>
                <w:sz w:val="20"/>
                <w:szCs w:val="20"/>
              </w:rPr>
            </w:pPr>
            <w:hyperlink r:id="rId107" w:anchor="map-1-6" w:history="1">
              <w:r w:rsidRPr="00963E47">
                <w:rPr>
                  <w:rFonts w:ascii="Aptos" w:hAnsi="Aptos" w:cs="Times New Roman"/>
                  <w:color w:val="000000"/>
                  <w:sz w:val="20"/>
                  <w:szCs w:val="20"/>
                  <w:u w:val="single"/>
                </w:rPr>
                <w:t>Link to NIST AI RMF Playbook</w:t>
              </w:r>
            </w:hyperlink>
          </w:p>
        </w:tc>
      </w:tr>
    </w:tbl>
    <w:p w14:paraId="6346D2F1"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F1747AF"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2B25E023"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216EE2BA" w14:textId="77777777" w:rsidTr="005C00A5">
        <w:trPr>
          <w:tblHeader/>
        </w:trPr>
        <w:tc>
          <w:tcPr>
            <w:tcW w:w="2160" w:type="dxa"/>
            <w:shd w:val="clear" w:color="auto" w:fill="CCDCDC"/>
            <w:vAlign w:val="center"/>
          </w:tcPr>
          <w:p w14:paraId="67147734"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172DF397"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58E69855"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5DB7BA70" w14:textId="77777777" w:rsidTr="005C00A5">
        <w:tc>
          <w:tcPr>
            <w:tcW w:w="2160" w:type="dxa"/>
            <w:shd w:val="clear" w:color="auto" w:fill="CCDCDC"/>
          </w:tcPr>
          <w:p w14:paraId="35FCB7F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3B2B242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0116AB5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6A19DB4E" w14:textId="77777777" w:rsidTr="005C00A5">
        <w:tc>
          <w:tcPr>
            <w:tcW w:w="2160" w:type="dxa"/>
            <w:shd w:val="clear" w:color="auto" w:fill="CCDCDC"/>
          </w:tcPr>
          <w:p w14:paraId="6C783D5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5BD72CE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8E3114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2B8EB4B0" w14:textId="77777777" w:rsidTr="005C00A5">
        <w:tc>
          <w:tcPr>
            <w:tcW w:w="2160" w:type="dxa"/>
            <w:shd w:val="clear" w:color="auto" w:fill="CCDCDC"/>
          </w:tcPr>
          <w:p w14:paraId="7CFF205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6289989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53B03FD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recognize the importance of understanding user values, contexts, and biases and begin conducting user research to inform AI system data selection and representation decisions.</w:t>
            </w:r>
          </w:p>
        </w:tc>
      </w:tr>
      <w:tr w:rsidR="00963E47" w:rsidRPr="00963E47" w14:paraId="55CF7F87" w14:textId="77777777" w:rsidTr="005C00A5">
        <w:tc>
          <w:tcPr>
            <w:tcW w:w="2160" w:type="dxa"/>
            <w:shd w:val="clear" w:color="auto" w:fill="CCDCDC"/>
          </w:tcPr>
          <w:p w14:paraId="1CB68EA5"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228B071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A9BCB3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integrate continuous research and evaluation into their data practices, ensuring responsible data use aligned with AI Trustworthy Principles.</w:t>
            </w:r>
          </w:p>
        </w:tc>
      </w:tr>
    </w:tbl>
    <w:p w14:paraId="145C3EA1"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4BE5936A" w14:textId="77777777" w:rsidTr="005C00A5">
        <w:tc>
          <w:tcPr>
            <w:tcW w:w="2250" w:type="dxa"/>
          </w:tcPr>
          <w:p w14:paraId="31DB5F2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lastRenderedPageBreak/>
              <w:t>AI Principle</w:t>
            </w:r>
          </w:p>
        </w:tc>
        <w:tc>
          <w:tcPr>
            <w:tcW w:w="2520" w:type="dxa"/>
          </w:tcPr>
          <w:p w14:paraId="47DD817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17BD154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676B6382" w14:textId="77777777" w:rsidTr="005C00A5">
        <w:tc>
          <w:tcPr>
            <w:tcW w:w="2250" w:type="dxa"/>
          </w:tcPr>
          <w:p w14:paraId="41552ED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Fair</w:t>
            </w:r>
          </w:p>
        </w:tc>
        <w:tc>
          <w:tcPr>
            <w:tcW w:w="2520" w:type="dxa"/>
          </w:tcPr>
          <w:p w14:paraId="7BF1AB3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Understood Data Limitations</w:t>
            </w:r>
          </w:p>
        </w:tc>
        <w:tc>
          <w:tcPr>
            <w:tcW w:w="5300" w:type="dxa"/>
          </w:tcPr>
          <w:p w14:paraId="01424C0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Data limitations and other insights are not researched or fully understood</w:t>
            </w:r>
          </w:p>
        </w:tc>
      </w:tr>
    </w:tbl>
    <w:p w14:paraId="1DD5708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04BE65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1AD0103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B09DBF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Conduct research to understand the potential limitations of the data that may impact the specific uses of the AI system and how it can be applied. This research may include activities such as interviews, focus groups, and surveys with a multidisciplinary range of users and stakeholders. The goal is to help stakeholders understand the values, contexts, and potential for systemic and historical influences present in the data, emphasizing nondiscrimination and fair representation.</w:t>
      </w:r>
    </w:p>
    <w:p w14:paraId="0447E34E"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4E7DBA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Use the insights gained from this research to inform how data is selected and represented in the AI system design process. Ensure that the data is representative of the intended user population and that the processes by which data is chosen support nondiscrimination and do not inadvertently perpetuate or amplify inequities. Document the user research findings and their implications for data selection and representation in clear and concise language, making this documentation easily accessible to relevant parties.</w:t>
      </w:r>
    </w:p>
    <w:p w14:paraId="5DE1CDCF"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AA176F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Regularly review and update the user research and data selection documentation to maintain its accuracy and relevance. Communicate any changes to stakeholders to ensure ongoing understanding, transparency, and compliance with nondiscrimination principles.</w:t>
      </w:r>
    </w:p>
    <w:p w14:paraId="5F5E73E4"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590E39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6277278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034A84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Research and Documentation of Data Limitations</w:t>
      </w:r>
    </w:p>
    <w:p w14:paraId="4F27BE9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Systematically investigate and document potential limitations of data sources, including biases, gaps, and contextual constraints that could impact AI system performance and fairness.</w:t>
      </w:r>
    </w:p>
    <w:p w14:paraId="42C8C10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AA1757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Research reports analyzing data quality, representativeness, and systemic biases.</w:t>
      </w:r>
    </w:p>
    <w:p w14:paraId="0F244D3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limitation assessments linked to known systemic or historical factors.</w:t>
      </w:r>
    </w:p>
    <w:p w14:paraId="7EB321E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literature review, expert consultation, or field studies conducted.</w:t>
      </w:r>
    </w:p>
    <w:p w14:paraId="39287C7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quality matrices documenting identified limitations and their implications.</w:t>
      </w:r>
    </w:p>
    <w:p w14:paraId="613C1AF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9E3CDA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Incorporation of Values, Contexts, and Systemic Considerations into Data Selection</w:t>
      </w:r>
    </w:p>
    <w:p w14:paraId="13562C0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insights on values, specific contexts, and systemic/historical factors to guide the choice and representation of data during the AI system design process.</w:t>
      </w:r>
    </w:p>
    <w:p w14:paraId="6BE4F67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9D11EB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selection criteria explicitly referencing values and contextual considerations.</w:t>
      </w:r>
    </w:p>
    <w:p w14:paraId="7693E4F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input or community engagement reports informing data choices.</w:t>
      </w:r>
    </w:p>
    <w:p w14:paraId="22C4929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Design review records showing how systemic or historical issues are addressed.</w:t>
      </w:r>
    </w:p>
    <w:p w14:paraId="6A381B7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representation models or annotations reflecting contextual factors.</w:t>
      </w:r>
    </w:p>
    <w:p w14:paraId="0583A7E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6CD682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Data Representation and Mitigation Strategies</w:t>
      </w:r>
    </w:p>
    <w:p w14:paraId="3121066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methods to represent data in ways that mitigate identified limitations, biases, or misrepresentations, aligning with intended use and values.</w:t>
      </w:r>
    </w:p>
    <w:p w14:paraId="5AFF17F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746952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Use of data balancing, augmentation, or bias correction techniques documented in development reports.</w:t>
      </w:r>
    </w:p>
    <w:p w14:paraId="39D4C4C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annotation guidelines explicitly addressing systemic considerations.</w:t>
      </w:r>
    </w:p>
    <w:p w14:paraId="328D9DF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Validation or sensitivity analyses demonstrating robustness post-mitigation.</w:t>
      </w:r>
    </w:p>
    <w:p w14:paraId="7DF21C3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showing adjustments based on research findings.</w:t>
      </w:r>
    </w:p>
    <w:p w14:paraId="4C31641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DDA896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Stakeholder Engagement and Feedback in Data Decisions</w:t>
      </w:r>
    </w:p>
    <w:p w14:paraId="63D4DD5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Engage relevant stakeholders (e.g., affected users, domain experts) in data selection and representation decisions to ensure alignment with organizational values and minimize risks.</w:t>
      </w:r>
    </w:p>
    <w:p w14:paraId="783D79D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979639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consultation records and feedback summaries.</w:t>
      </w:r>
    </w:p>
    <w:p w14:paraId="70EE49D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meetings documenting value considerations influencing data choices.</w:t>
      </w:r>
    </w:p>
    <w:p w14:paraId="0093502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Correspondence or sign-offs affirming stakeholder input incorporation.</w:t>
      </w:r>
    </w:p>
    <w:p w14:paraId="2E762DF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evaluating how systemic concerns are addressed.</w:t>
      </w:r>
    </w:p>
    <w:p w14:paraId="06CD97F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84B0DF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Monitoring and Updating of Data Understanding</w:t>
      </w:r>
    </w:p>
    <w:p w14:paraId="1264C12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revisit research on data limitations and systemic considerations to update data selection and representation strategies throughout the AI system lifecycle.</w:t>
      </w:r>
    </w:p>
    <w:p w14:paraId="3E519D6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C10B0D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Periodic research updates incorporated into design and validation documents.</w:t>
      </w:r>
    </w:p>
    <w:p w14:paraId="075D8C5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loops from deployment reflecting emerging data limitations.</w:t>
      </w:r>
    </w:p>
    <w:p w14:paraId="2ADDA3B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Reassessment reports post-deployment analyzing systemic or contextual shifts.</w:t>
      </w:r>
    </w:p>
    <w:p w14:paraId="13DEB9F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or review sessions on evolving data awareness and mitigation approaches.</w:t>
      </w:r>
    </w:p>
    <w:p w14:paraId="628FFBD6"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34" w:name="_Toc214874779"/>
      <w:r w:rsidRPr="00963E47">
        <w:rPr>
          <w:rFonts w:ascii="Aptos" w:eastAsia="Aptos" w:hAnsi="Aptos" w:cs="Times New Roman"/>
          <w:b/>
          <w:bCs/>
          <w:noProof/>
          <w:color w:val="35256B"/>
          <w:kern w:val="2"/>
          <w:sz w:val="24"/>
          <w14:ligatures w14:val="standardContextual"/>
        </w:rPr>
        <w:t>MAP / Understanding the AI System / Defining AI System Task and Methodology</w:t>
      </w:r>
      <w:bookmarkEnd w:id="34"/>
      <w:r w:rsidRPr="00963E47">
        <w:rPr>
          <w:rFonts w:ascii="Aptos" w:eastAsia="Aptos" w:hAnsi="Aptos" w:cs="Times New Roman"/>
          <w:b/>
          <w:bCs/>
          <w:noProof/>
          <w:color w:val="35256B"/>
          <w:kern w:val="2"/>
          <w:sz w:val="24"/>
          <w14:ligatures w14:val="standardContextual"/>
        </w:rPr>
        <w:t xml:space="preserve"> </w:t>
      </w:r>
    </w:p>
    <w:p w14:paraId="48BD1DCE"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1A2D323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52ED362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23CEB72E" w14:textId="77777777" w:rsidTr="005C00A5">
        <w:tc>
          <w:tcPr>
            <w:tcW w:w="1170" w:type="dxa"/>
          </w:tcPr>
          <w:p w14:paraId="7143A13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4A8D223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23663A1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43E8C2D8" w14:textId="77777777" w:rsidTr="005C00A5">
        <w:tc>
          <w:tcPr>
            <w:tcW w:w="1170" w:type="dxa"/>
          </w:tcPr>
          <w:p w14:paraId="4C56361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MP-2.1.1</w:t>
            </w:r>
          </w:p>
        </w:tc>
        <w:tc>
          <w:tcPr>
            <w:tcW w:w="2160" w:type="dxa"/>
          </w:tcPr>
          <w:p w14:paraId="22666DD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Learning and Decision Tasks</w:t>
            </w:r>
          </w:p>
        </w:tc>
        <w:tc>
          <w:tcPr>
            <w:tcW w:w="6740" w:type="dxa"/>
          </w:tcPr>
          <w:p w14:paraId="4E90CE9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defines and documents the AI system's existing and potential future learning and decision-making tasks (e.g., classification, generation, recommendation, prediction), considering fit-for-purpose, scalability and adaptability.</w:t>
            </w:r>
          </w:p>
          <w:p w14:paraId="24531A07" w14:textId="77777777" w:rsidR="00963E47" w:rsidRPr="00963E47" w:rsidRDefault="00963E47" w:rsidP="004C3837">
            <w:pPr>
              <w:keepNext/>
              <w:rPr>
                <w:rFonts w:ascii="Aptos" w:hAnsi="Aptos" w:cs="Times New Roman"/>
                <w:b/>
                <w:bCs/>
                <w:color w:val="000000"/>
                <w:sz w:val="20"/>
                <w:szCs w:val="20"/>
              </w:rPr>
            </w:pPr>
          </w:p>
          <w:p w14:paraId="231A52D7" w14:textId="77777777" w:rsidR="00963E47" w:rsidRPr="00963E47" w:rsidRDefault="00963E47" w:rsidP="004C3837">
            <w:pPr>
              <w:keepNext/>
              <w:rPr>
                <w:rFonts w:ascii="Aptos" w:hAnsi="Aptos" w:cs="Times New Roman"/>
                <w:b/>
                <w:bCs/>
                <w:color w:val="000000"/>
                <w:sz w:val="20"/>
                <w:szCs w:val="20"/>
              </w:rPr>
            </w:pPr>
            <w:hyperlink r:id="rId108" w:anchor="map-2-1" w:history="1">
              <w:r w:rsidRPr="00963E47">
                <w:rPr>
                  <w:rFonts w:ascii="Aptos" w:hAnsi="Aptos" w:cs="Times New Roman"/>
                  <w:color w:val="000000"/>
                  <w:sz w:val="20"/>
                  <w:szCs w:val="20"/>
                  <w:u w:val="single"/>
                </w:rPr>
                <w:t>Link to NIST AI RMF Playbook</w:t>
              </w:r>
            </w:hyperlink>
          </w:p>
        </w:tc>
      </w:tr>
    </w:tbl>
    <w:p w14:paraId="5387AFE9"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7745683"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6527A366"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49669D2B" w14:textId="77777777" w:rsidTr="005C00A5">
        <w:trPr>
          <w:tblHeader/>
        </w:trPr>
        <w:tc>
          <w:tcPr>
            <w:tcW w:w="2160" w:type="dxa"/>
            <w:shd w:val="clear" w:color="auto" w:fill="CCDCDC"/>
            <w:vAlign w:val="center"/>
          </w:tcPr>
          <w:p w14:paraId="3CB468A8"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701FBE62"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0CD7AF24"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6C4B043E" w14:textId="77777777" w:rsidTr="005C00A5">
        <w:tc>
          <w:tcPr>
            <w:tcW w:w="2160" w:type="dxa"/>
            <w:shd w:val="clear" w:color="auto" w:fill="CCDCDC"/>
          </w:tcPr>
          <w:p w14:paraId="00A8511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543BAA5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0035E7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initial stage begin identifying basic learning and decision-making tasks of AI systems.</w:t>
            </w:r>
          </w:p>
        </w:tc>
      </w:tr>
      <w:tr w:rsidR="00963E47" w:rsidRPr="00963E47" w14:paraId="2D7540E5" w14:textId="77777777" w:rsidTr="005C00A5">
        <w:tc>
          <w:tcPr>
            <w:tcW w:w="2160" w:type="dxa"/>
            <w:shd w:val="clear" w:color="auto" w:fill="CCDCDC"/>
          </w:tcPr>
          <w:p w14:paraId="14EEADA5"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238854C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02A2FB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have begun defining and documenting the AI system's current learning and decision-making tasks, but may not yet consider future potential tasks or scalability and adaptability factors.</w:t>
            </w:r>
          </w:p>
        </w:tc>
      </w:tr>
      <w:tr w:rsidR="00963E47" w:rsidRPr="00963E47" w14:paraId="067FF681" w14:textId="77777777" w:rsidTr="005C00A5">
        <w:tc>
          <w:tcPr>
            <w:tcW w:w="2160" w:type="dxa"/>
            <w:shd w:val="clear" w:color="auto" w:fill="CCDCDC"/>
          </w:tcPr>
          <w:p w14:paraId="06475AA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7A6C5FE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AA7E81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evolving stage have established clear processes for comprehensively defining and documenting both current and potential future AI system tasks, taking into account scalability and adaptability considerations.</w:t>
            </w:r>
          </w:p>
        </w:tc>
      </w:tr>
      <w:tr w:rsidR="00963E47" w:rsidRPr="00963E47" w14:paraId="0AAF0D84" w14:textId="77777777" w:rsidTr="005C00A5">
        <w:tc>
          <w:tcPr>
            <w:tcW w:w="2160" w:type="dxa"/>
            <w:shd w:val="clear" w:color="auto" w:fill="CCDCDC"/>
          </w:tcPr>
          <w:p w14:paraId="76206A2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549582A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6C33AA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systematically integrate detailed task documentation into lifecycle management, ensuring responsible AI development aligned with AI Trustworthy Principles.</w:t>
            </w:r>
          </w:p>
        </w:tc>
      </w:tr>
    </w:tbl>
    <w:p w14:paraId="78A62E6E"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5E26E4C3" w14:textId="77777777" w:rsidTr="005C00A5">
        <w:tc>
          <w:tcPr>
            <w:tcW w:w="2250" w:type="dxa"/>
          </w:tcPr>
          <w:p w14:paraId="1A503BF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lastRenderedPageBreak/>
              <w:t>AI Principle</w:t>
            </w:r>
          </w:p>
        </w:tc>
        <w:tc>
          <w:tcPr>
            <w:tcW w:w="2520" w:type="dxa"/>
          </w:tcPr>
          <w:p w14:paraId="1319D62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6138E14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702E3E3C" w14:textId="77777777" w:rsidTr="005C00A5">
        <w:tc>
          <w:tcPr>
            <w:tcW w:w="2250" w:type="dxa"/>
          </w:tcPr>
          <w:p w14:paraId="1522FEB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Valid &amp; Reliable</w:t>
            </w:r>
          </w:p>
        </w:tc>
        <w:tc>
          <w:tcPr>
            <w:tcW w:w="2520" w:type="dxa"/>
          </w:tcPr>
          <w:p w14:paraId="7A93295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Undefined Learning Tasks</w:t>
            </w:r>
          </w:p>
        </w:tc>
        <w:tc>
          <w:tcPr>
            <w:tcW w:w="5300" w:type="dxa"/>
          </w:tcPr>
          <w:p w14:paraId="7AA6E86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system learning and decision-making tasks are undefined or undocumented</w:t>
            </w:r>
          </w:p>
        </w:tc>
      </w:tr>
    </w:tbl>
    <w:p w14:paraId="3916720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D20E4C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61F5CAF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D7908D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To effectively define and document the AI system's existing and potential future learning and decision-making tasks, engage relevant stakeholders such as data scientists, domain experts, and business leaders to gather input on the system's intended use and capabilities. </w:t>
      </w:r>
    </w:p>
    <w:p w14:paraId="17547A58"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1EE646D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Consider the specific types of tasks the AI system is expected to perform, such as classification, generation, recommendation, or prediction, and document each task using clear and concise language. Assess the validity, scalability and adaptability of each task, considering factors such as the volume and complexity of data involved, the computational resources required, and the potential for the task to evolve or expand over time.</w:t>
      </w:r>
    </w:p>
    <w:p w14:paraId="03380A16"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17E7A40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Document the scalability and adaptability considerations for each task, ensuring this documentation is easily accessible to relevant parties. Store detailed information about specific tasks and their attributes in the model documentation within the AI inventory (see GOVERN 1.6), to avoid inventory overload and to support traceability.</w:t>
      </w:r>
    </w:p>
    <w:p w14:paraId="2C8C05DF"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12CA136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Regularly review and update the task documentation as needed to maintain its accuracy and relevance and communicate any changes to relevant stakeholders.</w:t>
      </w:r>
    </w:p>
    <w:p w14:paraId="6D564222"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13400A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6309A22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39F188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Establishment of a Documentation Framework for AI Tasks</w:t>
      </w:r>
    </w:p>
    <w:p w14:paraId="097BA7E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 structured approach and templates for documenting all AI system tasks, specifying scope, objectives, and technical descriptions, both current and future plans.</w:t>
      </w:r>
    </w:p>
    <w:p w14:paraId="67E5856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B3CF3D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Standardized templates capturing task type, objectives, inputs, outputs, and performance criteria.</w:t>
      </w:r>
    </w:p>
    <w:p w14:paraId="1C62D33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Policy documents outlining documentation standards for AI tasks.</w:t>
      </w:r>
    </w:p>
    <w:p w14:paraId="164D149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Versioned records of task descriptions aligned with system development stages.</w:t>
      </w:r>
    </w:p>
    <w:p w14:paraId="261B75C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Guidelines for identifying potential future tasks and their evaluation criteria.</w:t>
      </w:r>
    </w:p>
    <w:p w14:paraId="0682A22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C94390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Identification and Assessment of Current Tasks</w:t>
      </w:r>
    </w:p>
    <w:p w14:paraId="3D5C2FC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Inventory and evaluate existing AI tasks, assessing their purpose, fit-for-purpose, and suitability for current operational needs.</w:t>
      </w:r>
    </w:p>
    <w:p w14:paraId="14A209F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765EBD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Task inventories with detailed descriptions and performance metrics.</w:t>
      </w:r>
    </w:p>
    <w:p w14:paraId="0C14F15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Requirement and design documents corresponding to existing tasks.</w:t>
      </w:r>
    </w:p>
    <w:p w14:paraId="1A7B81D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Assessment reports confirming task relevance and fitness for current use.</w:t>
      </w:r>
    </w:p>
    <w:p w14:paraId="0F30791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review notes endorsing task deployment.</w:t>
      </w:r>
    </w:p>
    <w:p w14:paraId="51A1F70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D8E2CD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Planning for Future Tasks and Scalability</w:t>
      </w:r>
    </w:p>
    <w:p w14:paraId="625C276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Outline plans for potential new tasks, scalability, and adaptability, including technical feasibility and strategic alignment considerations.</w:t>
      </w:r>
    </w:p>
    <w:p w14:paraId="045F68D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B45C73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Roadmaps and project proposals for future AI tasks.</w:t>
      </w:r>
    </w:p>
    <w:p w14:paraId="1EF84AE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Technical feasibility studies and impact assessments.</w:t>
      </w:r>
    </w:p>
    <w:p w14:paraId="365EED3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Scalability and adaptability criteria integrated into planning and design documents.</w:t>
      </w:r>
    </w:p>
    <w:p w14:paraId="72BF3AA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Evaluation matrices for prioritizing future task development.</w:t>
      </w:r>
    </w:p>
    <w:p w14:paraId="2D39490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9B31B8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of Task Documentation into Development and Governance Processes</w:t>
      </w:r>
    </w:p>
    <w:p w14:paraId="37332A2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Embed task descriptions and assessments into development workflows, risk management practices, and oversight activities to ensure alignment and traceability.</w:t>
      </w:r>
    </w:p>
    <w:p w14:paraId="40E4475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092EC5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Task documentation linked to design artifacts and requirements.</w:t>
      </w:r>
    </w:p>
    <w:p w14:paraId="6F82985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assessments considering new or evolving tasks.</w:t>
      </w:r>
    </w:p>
    <w:p w14:paraId="001BBC7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Traceability matrices connecting tasks to organizational goals and compliance standards.</w:t>
      </w:r>
    </w:p>
    <w:p w14:paraId="431A002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Periodic review records updating task descriptions.</w:t>
      </w:r>
    </w:p>
    <w:p w14:paraId="57852A6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AB926F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Review and Refinement Based on Feedback and Changes</w:t>
      </w:r>
    </w:p>
    <w:p w14:paraId="1C1867E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review and update task definitions and assessments in response to feedback, system evolution, and changing organizational strategies.</w:t>
      </w:r>
    </w:p>
    <w:p w14:paraId="6F57267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D6C893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Scheduled review schedules with documented updates.</w:t>
      </w:r>
    </w:p>
    <w:p w14:paraId="47D9BE8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logs from users, developers, and stakeholders influencing task descriptions.</w:t>
      </w:r>
    </w:p>
    <w:p w14:paraId="076E308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management records reflecting task refinement.</w:t>
      </w:r>
    </w:p>
    <w:p w14:paraId="2947B64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from deployment and maintenance activities incorporated into future planning.</w:t>
      </w:r>
    </w:p>
    <w:p w14:paraId="3F29A853"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3C2B57C3"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65D2A4F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5D104CE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44E035F2" w14:textId="77777777" w:rsidTr="005C00A5">
        <w:tc>
          <w:tcPr>
            <w:tcW w:w="1170" w:type="dxa"/>
          </w:tcPr>
          <w:p w14:paraId="5562652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3AD0387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611384F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318D1EB2" w14:textId="77777777" w:rsidTr="005C00A5">
        <w:tc>
          <w:tcPr>
            <w:tcW w:w="1170" w:type="dxa"/>
          </w:tcPr>
          <w:p w14:paraId="68824C5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MP-2.1.2</w:t>
            </w:r>
          </w:p>
        </w:tc>
        <w:tc>
          <w:tcPr>
            <w:tcW w:w="2160" w:type="dxa"/>
          </w:tcPr>
          <w:p w14:paraId="69B6C39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Assumptions and Limitations Documentation</w:t>
            </w:r>
          </w:p>
        </w:tc>
        <w:tc>
          <w:tcPr>
            <w:tcW w:w="6740" w:type="dxa"/>
          </w:tcPr>
          <w:p w14:paraId="237AAE4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documents the assumptions and limitations associated with the AI system's existing and potential learning tasks, considering factors such as data availability, model performance, human-AI interaction, irreversibility of actions, and computational resources.</w:t>
            </w:r>
          </w:p>
          <w:p w14:paraId="347DCB7D" w14:textId="77777777" w:rsidR="00963E47" w:rsidRPr="00963E47" w:rsidRDefault="00963E47" w:rsidP="004C3837">
            <w:pPr>
              <w:keepNext/>
              <w:rPr>
                <w:rFonts w:ascii="Aptos" w:hAnsi="Aptos" w:cs="Times New Roman"/>
                <w:b/>
                <w:bCs/>
                <w:color w:val="000000"/>
                <w:sz w:val="20"/>
                <w:szCs w:val="20"/>
              </w:rPr>
            </w:pPr>
          </w:p>
          <w:p w14:paraId="58F45C7D" w14:textId="77777777" w:rsidR="00963E47" w:rsidRPr="00963E47" w:rsidRDefault="00963E47" w:rsidP="004C3837">
            <w:pPr>
              <w:keepNext/>
              <w:rPr>
                <w:rFonts w:ascii="Aptos" w:hAnsi="Aptos" w:cs="Times New Roman"/>
                <w:b/>
                <w:bCs/>
                <w:color w:val="000000"/>
                <w:sz w:val="20"/>
                <w:szCs w:val="20"/>
              </w:rPr>
            </w:pPr>
            <w:hyperlink r:id="rId109" w:anchor="map-2-1" w:history="1">
              <w:r w:rsidRPr="00963E47">
                <w:rPr>
                  <w:rFonts w:ascii="Aptos" w:hAnsi="Aptos" w:cs="Times New Roman"/>
                  <w:color w:val="000000"/>
                  <w:sz w:val="20"/>
                  <w:szCs w:val="20"/>
                  <w:u w:val="single"/>
                </w:rPr>
                <w:t>Link to NIST AI RMF Playbook</w:t>
              </w:r>
            </w:hyperlink>
          </w:p>
        </w:tc>
      </w:tr>
    </w:tbl>
    <w:p w14:paraId="0DDF731A"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04F5727"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0ECF618A"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08F47E70" w14:textId="77777777" w:rsidTr="005C00A5">
        <w:trPr>
          <w:tblHeader/>
        </w:trPr>
        <w:tc>
          <w:tcPr>
            <w:tcW w:w="2160" w:type="dxa"/>
            <w:shd w:val="clear" w:color="auto" w:fill="CCDCDC"/>
            <w:vAlign w:val="center"/>
          </w:tcPr>
          <w:p w14:paraId="44DDB3F7"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084DD37D"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2CB72433"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3E83D74A" w14:textId="77777777" w:rsidTr="005C00A5">
        <w:tc>
          <w:tcPr>
            <w:tcW w:w="2160" w:type="dxa"/>
            <w:shd w:val="clear" w:color="auto" w:fill="CCDCDC"/>
          </w:tcPr>
          <w:p w14:paraId="26A3543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62E2D7C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37C318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F815B51" w14:textId="77777777" w:rsidTr="005C00A5">
        <w:tc>
          <w:tcPr>
            <w:tcW w:w="2160" w:type="dxa"/>
            <w:shd w:val="clear" w:color="auto" w:fill="CCDCDC"/>
          </w:tcPr>
          <w:p w14:paraId="62E6F8E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51E80A5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DE1839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begin identifying and documenting core learning and decision-making tasks of AI systems.</w:t>
            </w:r>
          </w:p>
        </w:tc>
      </w:tr>
      <w:tr w:rsidR="00963E47" w:rsidRPr="00963E47" w14:paraId="28A3BA63" w14:textId="77777777" w:rsidTr="005C00A5">
        <w:tc>
          <w:tcPr>
            <w:tcW w:w="2160" w:type="dxa"/>
            <w:shd w:val="clear" w:color="auto" w:fill="CCDCDC"/>
          </w:tcPr>
          <w:p w14:paraId="0099261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0E5811C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3AE168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begin documenting the assumptions and limitations related to AI system learning tasks, taking into account factors like data availability, model performance, and computational resource constraints.</w:t>
            </w:r>
          </w:p>
        </w:tc>
      </w:tr>
      <w:tr w:rsidR="00963E47" w:rsidRPr="00963E47" w14:paraId="0A7E80B3" w14:textId="77777777" w:rsidTr="005C00A5">
        <w:tc>
          <w:tcPr>
            <w:tcW w:w="2160" w:type="dxa"/>
            <w:shd w:val="clear" w:color="auto" w:fill="CCDCDC"/>
          </w:tcPr>
          <w:p w14:paraId="2C3228B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1B5058D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46CBC3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systematically formalize and maintain comprehensive documentation, integrating it into lifecycle management to ensure responsible, adaptive AI systems aligned with AI Trustworthy Principles.</w:t>
            </w:r>
          </w:p>
        </w:tc>
      </w:tr>
    </w:tbl>
    <w:p w14:paraId="321C1557"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18DCF7F3" w14:textId="77777777" w:rsidTr="005C00A5">
        <w:tc>
          <w:tcPr>
            <w:tcW w:w="2250" w:type="dxa"/>
          </w:tcPr>
          <w:p w14:paraId="7A6B7AE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lastRenderedPageBreak/>
              <w:t>AI Principle</w:t>
            </w:r>
          </w:p>
        </w:tc>
        <w:tc>
          <w:tcPr>
            <w:tcW w:w="2520" w:type="dxa"/>
          </w:tcPr>
          <w:p w14:paraId="0857CB8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2B272C5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1940B26F" w14:textId="77777777" w:rsidTr="005C00A5">
        <w:tc>
          <w:tcPr>
            <w:tcW w:w="2250" w:type="dxa"/>
          </w:tcPr>
          <w:p w14:paraId="7020DFC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383669A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Undocumented Learning Limitations</w:t>
            </w:r>
          </w:p>
        </w:tc>
        <w:tc>
          <w:tcPr>
            <w:tcW w:w="5300" w:type="dxa"/>
          </w:tcPr>
          <w:p w14:paraId="1A7F1B2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Assumptions and limitations associated with AI learning tasks are undocumented</w:t>
            </w:r>
          </w:p>
        </w:tc>
      </w:tr>
    </w:tbl>
    <w:p w14:paraId="6209FFF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4ACECE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6908919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8C7030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Document the assumptions and limitations associated with the AI system's existing and potential learning tasks, considering factors such as data availability, model performance, human-AI interaction, irreversibility of actions, and computational resources. Engage relevant stakeholders, such as data scientists, domain experts, and IT professionals, to gather input on these assumptions and limitations. </w:t>
      </w:r>
    </w:p>
    <w:p w14:paraId="55CB4ECC"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739AD79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 standardized framework for categorizing and prioritizing the assumptions and limitations in model documentation templates based on the system's potential impact to the AI system's performance and reliability. Use this framework to guide the documentation process, considering factors such as the quality and representativeness of the available data, the accuracy and robustness of the chosen model architecture, and the scalability and efficiency of the computational resources required to support the learning tasks.</w:t>
      </w:r>
    </w:p>
    <w:p w14:paraId="164E1394"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4C51C62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Document the assumptions and limitations using clear and concise language, ensuring this documentation is easily accessible to relevant parties. Regularly review and update the assumptions and limitations documentation as needed to maintain its accuracy and relevance, and communicate changes to relevant stakeholders to ensure ongoing awareness and understanding.</w:t>
      </w:r>
    </w:p>
    <w:p w14:paraId="782B47D0"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F6EF69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4EF7CF3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3D50CD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Establishment of a Documentation Framework for Assumptions and Limitations</w:t>
      </w:r>
    </w:p>
    <w:p w14:paraId="6F5AF6E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Create standardized templates and processes for recording system assumptions and limitations, covering key factors like data quality, model capabilities, and resource constraints.</w:t>
      </w:r>
    </w:p>
    <w:p w14:paraId="0FBF422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75AAA2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Formalized templates for documenting assumptions and limitations.</w:t>
      </w:r>
    </w:p>
    <w:p w14:paraId="2C3EE3B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Guidelines outlining key areas to assess, such as data dependence, scalability, and resource needs.</w:t>
      </w:r>
    </w:p>
    <w:p w14:paraId="03B3219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records reflecting updates over project stages.</w:t>
      </w:r>
    </w:p>
    <w:p w14:paraId="0A1BD76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Checklists for reviewers to ensure completeness.</w:t>
      </w:r>
    </w:p>
    <w:p w14:paraId="69242DF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C042D8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Identification of Data-Related Assumptions and Limitations</w:t>
      </w:r>
    </w:p>
    <w:p w14:paraId="3752805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Assess and document assumptions about data quality, availability, and relevance, along with known data limitations impacting learning tasks.</w:t>
      </w:r>
    </w:p>
    <w:p w14:paraId="731322B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02873E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quality assessment reports noting gaps or biases.</w:t>
      </w:r>
    </w:p>
    <w:p w14:paraId="6AF3CE5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data sourcing, provenance, and coverage assumptions.</w:t>
      </w:r>
    </w:p>
    <w:p w14:paraId="263EF25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assessments related to data limitations affecting model accuracy.</w:t>
      </w:r>
    </w:p>
    <w:p w14:paraId="57E493D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reviews of data prerequisites.</w:t>
      </w:r>
    </w:p>
    <w:p w14:paraId="770909A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0C353D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Model Performance and Resource Constraints Documentation</w:t>
      </w:r>
    </w:p>
    <w:p w14:paraId="5074E7D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Record performance benchmarks, expected accuracy, and the impact of computational resource constraints on learning tasks and outcomes.</w:t>
      </w:r>
    </w:p>
    <w:p w14:paraId="2FEE7FB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BA759B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Performance evaluation reports comparing expected vs. observed metrics.</w:t>
      </w:r>
    </w:p>
    <w:p w14:paraId="0E28A19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hardware or cloud resource requirements and limitations.</w:t>
      </w:r>
    </w:p>
    <w:p w14:paraId="47CBB9A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Notes on model scalability and robustness considerations.</w:t>
      </w:r>
    </w:p>
    <w:p w14:paraId="6D9E246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Impact analyses documenting performance trade-offs.</w:t>
      </w:r>
    </w:p>
    <w:p w14:paraId="66E7F42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B8EBA4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of Assumptions and Limitations into Development and Validation Processes</w:t>
      </w:r>
    </w:p>
    <w:p w14:paraId="5D8C6F5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Incorporate documentation of assumptions and limitations into model development, validation, and deployment plans, ensuring transparency and informed decision-making.</w:t>
      </w:r>
    </w:p>
    <w:p w14:paraId="6F99002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BA7A8F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Design reviews referencing documented assumptions.</w:t>
      </w:r>
    </w:p>
    <w:p w14:paraId="4A08F83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Validation reports discussing limitations and potential biases.</w:t>
      </w:r>
    </w:p>
    <w:p w14:paraId="55267D6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logs linked to assumptions and their validation status.</w:t>
      </w:r>
    </w:p>
    <w:p w14:paraId="40A630E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sign-offs acknowledging understanding of limitations.</w:t>
      </w:r>
    </w:p>
    <w:p w14:paraId="42AE451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29D47E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 Review and Updating of Assumptions and Limitations</w:t>
      </w:r>
    </w:p>
    <w:p w14:paraId="56DCBD9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Periodically re-assess and update assumptions and limitations throughout the AI lifecycle, especially when data sources, model architectures, or resource availabilities change.</w:t>
      </w:r>
    </w:p>
    <w:p w14:paraId="6D612A2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39C23F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Schedule and records of review sessions.</w:t>
      </w:r>
    </w:p>
    <w:p w14:paraId="581D95B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documentation following system modifications or new data acquisitions.</w:t>
      </w:r>
    </w:p>
    <w:p w14:paraId="0205BAD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logs capturing insights from deployment and performance monitoring.</w:t>
      </w:r>
    </w:p>
    <w:p w14:paraId="30DE964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request records indicating revisions.</w:t>
      </w:r>
    </w:p>
    <w:p w14:paraId="66376A59"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76F7B949"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188C275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53CF391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5EF75495" w14:textId="77777777" w:rsidTr="005C00A5">
        <w:tc>
          <w:tcPr>
            <w:tcW w:w="1170" w:type="dxa"/>
          </w:tcPr>
          <w:p w14:paraId="4FCEB99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48B2CE9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0EAB5C0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430D4813" w14:textId="77777777" w:rsidTr="005C00A5">
        <w:tc>
          <w:tcPr>
            <w:tcW w:w="1170" w:type="dxa"/>
          </w:tcPr>
          <w:p w14:paraId="5174CD9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MP-2.1.3</w:t>
            </w:r>
          </w:p>
        </w:tc>
        <w:tc>
          <w:tcPr>
            <w:tcW w:w="2160" w:type="dxa"/>
          </w:tcPr>
          <w:p w14:paraId="0900F90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Learning Tasks Review and Updates</w:t>
            </w:r>
          </w:p>
        </w:tc>
        <w:tc>
          <w:tcPr>
            <w:tcW w:w="6740" w:type="dxa"/>
          </w:tcPr>
          <w:p w14:paraId="055F024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creates a plan for regular reviews and updates to documented learning tasks, assumptions, and limitations as the AI system evolves or as new requirements arise.</w:t>
            </w:r>
          </w:p>
          <w:p w14:paraId="28E61044" w14:textId="77777777" w:rsidR="00963E47" w:rsidRPr="00963E47" w:rsidRDefault="00963E47" w:rsidP="004C3837">
            <w:pPr>
              <w:keepNext/>
              <w:rPr>
                <w:rFonts w:ascii="Aptos" w:hAnsi="Aptos" w:cs="Times New Roman"/>
                <w:b/>
                <w:bCs/>
                <w:color w:val="000000"/>
                <w:sz w:val="20"/>
                <w:szCs w:val="20"/>
              </w:rPr>
            </w:pPr>
          </w:p>
          <w:p w14:paraId="1D0AD154" w14:textId="77777777" w:rsidR="00963E47" w:rsidRPr="00963E47" w:rsidRDefault="00963E47" w:rsidP="004C3837">
            <w:pPr>
              <w:keepNext/>
              <w:rPr>
                <w:rFonts w:ascii="Aptos" w:hAnsi="Aptos" w:cs="Times New Roman"/>
                <w:b/>
                <w:bCs/>
                <w:color w:val="000000"/>
                <w:sz w:val="20"/>
                <w:szCs w:val="20"/>
              </w:rPr>
            </w:pPr>
            <w:hyperlink r:id="rId110" w:anchor="map-2-1" w:history="1">
              <w:r w:rsidRPr="00963E47">
                <w:rPr>
                  <w:rFonts w:ascii="Aptos" w:hAnsi="Aptos" w:cs="Times New Roman"/>
                  <w:color w:val="000000"/>
                  <w:sz w:val="20"/>
                  <w:szCs w:val="20"/>
                  <w:u w:val="single"/>
                </w:rPr>
                <w:t>Link to NIST AI RMF Playbook</w:t>
              </w:r>
            </w:hyperlink>
          </w:p>
        </w:tc>
      </w:tr>
    </w:tbl>
    <w:p w14:paraId="6F92E275"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1068F5F"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23B72CDE"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7EE13C5A" w14:textId="77777777" w:rsidTr="005C00A5">
        <w:trPr>
          <w:tblHeader/>
        </w:trPr>
        <w:tc>
          <w:tcPr>
            <w:tcW w:w="2160" w:type="dxa"/>
            <w:shd w:val="clear" w:color="auto" w:fill="CCDCDC"/>
            <w:vAlign w:val="center"/>
          </w:tcPr>
          <w:p w14:paraId="45411624"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6CFB4695"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7ECFA45B"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599A5095" w14:textId="77777777" w:rsidTr="005C00A5">
        <w:tc>
          <w:tcPr>
            <w:tcW w:w="2160" w:type="dxa"/>
            <w:shd w:val="clear" w:color="auto" w:fill="CCDCDC"/>
          </w:tcPr>
          <w:p w14:paraId="21D54E4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0F2967F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2873F7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26B84E4" w14:textId="77777777" w:rsidTr="005C00A5">
        <w:tc>
          <w:tcPr>
            <w:tcW w:w="2160" w:type="dxa"/>
            <w:shd w:val="clear" w:color="auto" w:fill="CCDCDC"/>
          </w:tcPr>
          <w:p w14:paraId="10123F3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2711029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29C54B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start developing basic plans for reviewing and updating learning tasks and related documentation.</w:t>
            </w:r>
          </w:p>
        </w:tc>
      </w:tr>
      <w:tr w:rsidR="00963E47" w:rsidRPr="00963E47" w14:paraId="7C995D6F" w14:textId="77777777" w:rsidTr="005C00A5">
        <w:tc>
          <w:tcPr>
            <w:tcW w:w="2160" w:type="dxa"/>
            <w:shd w:val="clear" w:color="auto" w:fill="CCDCDC"/>
          </w:tcPr>
          <w:p w14:paraId="01D5FB7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091BE50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E2D581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recognize the need to keep AI system task, assumption, and limitation documentation current and begin creating plans for regular reviews and updates.</w:t>
            </w:r>
          </w:p>
        </w:tc>
      </w:tr>
      <w:tr w:rsidR="00963E47" w:rsidRPr="00963E47" w14:paraId="339940EC" w14:textId="77777777" w:rsidTr="005C00A5">
        <w:tc>
          <w:tcPr>
            <w:tcW w:w="2160" w:type="dxa"/>
            <w:shd w:val="clear" w:color="auto" w:fill="CCDCDC"/>
          </w:tcPr>
          <w:p w14:paraId="22A25C4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49BAF61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47EE80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automate and continuously integrate regular reviews, ensuring ongoing accuracy and responsible adaptation in line with AI Trustworthy Principles.</w:t>
            </w:r>
          </w:p>
        </w:tc>
      </w:tr>
    </w:tbl>
    <w:p w14:paraId="195C5D6D"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038876EF" w14:textId="77777777" w:rsidTr="005C00A5">
        <w:tc>
          <w:tcPr>
            <w:tcW w:w="2250" w:type="dxa"/>
          </w:tcPr>
          <w:p w14:paraId="0778E13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43649A7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058612B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0E8BB86F" w14:textId="77777777" w:rsidTr="005C00A5">
        <w:tc>
          <w:tcPr>
            <w:tcW w:w="2250" w:type="dxa"/>
          </w:tcPr>
          <w:p w14:paraId="254765C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3F172FB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Insufficient Learning Plan</w:t>
            </w:r>
          </w:p>
        </w:tc>
        <w:tc>
          <w:tcPr>
            <w:tcW w:w="5300" w:type="dxa"/>
          </w:tcPr>
          <w:p w14:paraId="778D9B4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Plan for reviews and updates to learning tasks, assumptions, limitations are insufficient</w:t>
            </w:r>
          </w:p>
        </w:tc>
      </w:tr>
    </w:tbl>
    <w:p w14:paraId="212F3DB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C5E47B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37F28CA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F0AB39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Create a plan for regularly reviewing and updating the documented learning tasks, assumptions, and limitations as the AI system evolves or as new requirements arise. This plan should include activities such as periodic assessments </w:t>
      </w:r>
      <w:r w:rsidRPr="00963E47">
        <w:rPr>
          <w:rFonts w:ascii="Aptos" w:eastAsia="Aptos" w:hAnsi="Aptos" w:cs="Times New Roman"/>
          <w:noProof/>
          <w:color w:val="auto"/>
          <w:kern w:val="2"/>
          <w:sz w:val="20"/>
          <w:szCs w:val="20"/>
          <w14:ligatures w14:val="standardContextual"/>
        </w:rPr>
        <w:lastRenderedPageBreak/>
        <w:t xml:space="preserve">of the system's performance and capabilities, proactive identification of emerging trends and opportunities for improvement, and engagement with relevant stakeholders to gather feedback and input. </w:t>
      </w:r>
    </w:p>
    <w:p w14:paraId="0898884B"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EB1500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 standardized process for incorporating updates and changes into the documentation, ensuring relevant parties are informed and trained on this process. Consider the frequency and scope of reviews, the criteria for determining when updates are necessary, and the roles and responsibilities of different stakeholders in the review and update process.</w:t>
      </w:r>
    </w:p>
    <w:p w14:paraId="535811E1"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74B2CFC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Document the plan for regular reviews and updates in clear and concise language, making it easily accessible to relevant parties. Regularly review and update the plan itself as needed to maintain its accuracy and relevance and communicate any changes to relevant stakeholders. Use the insights gained from the regular reviews and updates to inform ongoing improvements to the AI system's learning tasks and capabilities.</w:t>
      </w:r>
    </w:p>
    <w:p w14:paraId="0ADB27B2"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48E95E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3D1AA32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1F0F06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Formal Review Schedule and Planning</w:t>
      </w:r>
    </w:p>
    <w:p w14:paraId="5343308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 formal schedule for periodic review of learning tasks, assumptions, and limitations, aligned with system lifecycle phases, updates, and organizational change triggers.</w:t>
      </w:r>
    </w:p>
    <w:p w14:paraId="53A8883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37ED7D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Approved review calendar specifying review intervals and responsible owners.</w:t>
      </w:r>
    </w:p>
    <w:p w14:paraId="342BF50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scope and checklist documentation tailored to system changes and new requirements.</w:t>
      </w:r>
    </w:p>
    <w:p w14:paraId="1562F84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project plans reflecting review activities.</w:t>
      </w:r>
    </w:p>
    <w:p w14:paraId="10DBE8F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schedules and review logs.</w:t>
      </w:r>
    </w:p>
    <w:p w14:paraId="5F84A9B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F6F997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Monitoring Changes and Evolving Contexts</w:t>
      </w:r>
    </w:p>
    <w:p w14:paraId="7760193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processes to monitor system performance, environmental changes, data updates, and organizational shifts that may impact assumptions and limitations.</w:t>
      </w:r>
    </w:p>
    <w:p w14:paraId="3CB5284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CD7140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documenting system updates or new data sources.</w:t>
      </w:r>
    </w:p>
    <w:p w14:paraId="3227D0B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Performance monitoring reports highlighting deviations from prior assumptions.</w:t>
      </w:r>
    </w:p>
    <w:p w14:paraId="3C7DFE1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Impact assessments for new requirements or operational shifts.</w:t>
      </w:r>
    </w:p>
    <w:p w14:paraId="48890EB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feedback indicating evolving needs or constraints.</w:t>
      </w:r>
    </w:p>
    <w:p w14:paraId="4D059CC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B5D520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Re-evaluation and Updating Procedures</w:t>
      </w:r>
    </w:p>
    <w:p w14:paraId="762052B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structured procedures during reviews to re-evaluate assumptions and limitations, incorporating new data, performance insights, and stakeholder inputs for updates.</w:t>
      </w:r>
    </w:p>
    <w:p w14:paraId="5112530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707387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Re-evaluation checklists with criteria for assumptions and limitations.</w:t>
      </w:r>
    </w:p>
    <w:p w14:paraId="7B0CE9D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capturing discussions and decisions to revise documentation.</w:t>
      </w:r>
    </w:p>
    <w:p w14:paraId="3972DB8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risk and assumptions registers with change justifications.</w:t>
      </w:r>
    </w:p>
    <w:p w14:paraId="065DAE5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Sign-off records for revised documentation.</w:t>
      </w:r>
    </w:p>
    <w:p w14:paraId="52F59AE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343F68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Revision and Version Control of Documentation</w:t>
      </w:r>
    </w:p>
    <w:p w14:paraId="5155100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version-controlled records of updated learning tasks, assumptions, and limitations, ensuring traceability and transparency.</w:t>
      </w:r>
    </w:p>
    <w:p w14:paraId="4755A45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B8F048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 histories of documents with timestamps and change descriptions.</w:t>
      </w:r>
    </w:p>
    <w:p w14:paraId="78ADCE9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Release notes or update logs linked to revisions.</w:t>
      </w:r>
    </w:p>
    <w:p w14:paraId="3EDA5F8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Approvals from designated reviewers or stakeholders.</w:t>
      </w:r>
    </w:p>
    <w:p w14:paraId="5A8E8EA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request records for formal updates.</w:t>
      </w:r>
    </w:p>
    <w:p w14:paraId="2A02D49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9A2625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Improvement and Feedback Incorporation</w:t>
      </w:r>
    </w:p>
    <w:p w14:paraId="75A4B53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Incorporate lessons learned, incident reports, and stakeholder feedback into ongoing revisions, fostering adaptive and accurate documentation aligned with system evolution.</w:t>
      </w:r>
    </w:p>
    <w:p w14:paraId="4AC915F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F5C588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documentation used to adjust assumptions.</w:t>
      </w:r>
    </w:p>
    <w:p w14:paraId="34BC3A6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logs from operational monitoring or stakeholders.</w:t>
      </w:r>
    </w:p>
    <w:p w14:paraId="3419970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process improvements following reviews.</w:t>
      </w:r>
    </w:p>
    <w:p w14:paraId="54C49D7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strategies or plans responsive to new insights.</w:t>
      </w:r>
    </w:p>
    <w:p w14:paraId="15D90272"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35" w:name="_Toc214874780"/>
      <w:r w:rsidRPr="00963E47">
        <w:rPr>
          <w:rFonts w:ascii="Aptos" w:eastAsia="Aptos" w:hAnsi="Aptos" w:cs="Times New Roman"/>
          <w:b/>
          <w:bCs/>
          <w:noProof/>
          <w:color w:val="35256B"/>
          <w:kern w:val="2"/>
          <w:sz w:val="24"/>
          <w14:ligatures w14:val="standardContextual"/>
        </w:rPr>
        <w:t>MAP / Understanding the AI System / Defining AI System Utility and Oversight Needs</w:t>
      </w:r>
      <w:bookmarkEnd w:id="35"/>
      <w:r w:rsidRPr="00963E47">
        <w:rPr>
          <w:rFonts w:ascii="Aptos" w:eastAsia="Aptos" w:hAnsi="Aptos" w:cs="Times New Roman"/>
          <w:b/>
          <w:bCs/>
          <w:noProof/>
          <w:color w:val="35256B"/>
          <w:kern w:val="2"/>
          <w:sz w:val="24"/>
          <w14:ligatures w14:val="standardContextual"/>
        </w:rPr>
        <w:t xml:space="preserve"> </w:t>
      </w:r>
    </w:p>
    <w:p w14:paraId="413F95B2"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3F5EB60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2F7A787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032C7749" w14:textId="77777777" w:rsidTr="005C00A5">
        <w:tc>
          <w:tcPr>
            <w:tcW w:w="1170" w:type="dxa"/>
          </w:tcPr>
          <w:p w14:paraId="086B8CF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210B107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40832B9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7640B9AA" w14:textId="77777777" w:rsidTr="005C00A5">
        <w:tc>
          <w:tcPr>
            <w:tcW w:w="1170" w:type="dxa"/>
          </w:tcPr>
          <w:p w14:paraId="5BE8D1C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MP-2.2.1</w:t>
            </w:r>
          </w:p>
        </w:tc>
        <w:tc>
          <w:tcPr>
            <w:tcW w:w="2160" w:type="dxa"/>
          </w:tcPr>
          <w:p w14:paraId="0DC5C51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Usage and Boundary Documentation</w:t>
            </w:r>
          </w:p>
        </w:tc>
        <w:tc>
          <w:tcPr>
            <w:tcW w:w="6740" w:type="dxa"/>
          </w:tcPr>
          <w:p w14:paraId="7726305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documents the settings, environments, and conditions that are within the AI system’s intended use, defining the boundaries of its applicability while considering knowledge limits and areas where human intervention and irreversibility of decisions is crucial.</w:t>
            </w:r>
          </w:p>
          <w:p w14:paraId="0F192332" w14:textId="77777777" w:rsidR="00963E47" w:rsidRPr="00963E47" w:rsidRDefault="00963E47" w:rsidP="004C3837">
            <w:pPr>
              <w:keepNext/>
              <w:rPr>
                <w:rFonts w:ascii="Aptos" w:hAnsi="Aptos" w:cs="Times New Roman"/>
                <w:b/>
                <w:bCs/>
                <w:color w:val="000000"/>
                <w:sz w:val="20"/>
                <w:szCs w:val="20"/>
              </w:rPr>
            </w:pPr>
          </w:p>
          <w:p w14:paraId="5267E172" w14:textId="77777777" w:rsidR="00963E47" w:rsidRPr="00963E47" w:rsidRDefault="00963E47" w:rsidP="004C3837">
            <w:pPr>
              <w:keepNext/>
              <w:rPr>
                <w:rFonts w:ascii="Aptos" w:hAnsi="Aptos" w:cs="Times New Roman"/>
                <w:b/>
                <w:bCs/>
                <w:color w:val="000000"/>
                <w:sz w:val="20"/>
                <w:szCs w:val="20"/>
              </w:rPr>
            </w:pPr>
            <w:hyperlink r:id="rId111" w:anchor="map-2-2" w:history="1">
              <w:r w:rsidRPr="00963E47">
                <w:rPr>
                  <w:rFonts w:ascii="Aptos" w:hAnsi="Aptos" w:cs="Times New Roman"/>
                  <w:color w:val="000000"/>
                  <w:sz w:val="20"/>
                  <w:szCs w:val="20"/>
                  <w:u w:val="single"/>
                </w:rPr>
                <w:t>Link to NIST AI RMF Playbook</w:t>
              </w:r>
            </w:hyperlink>
          </w:p>
        </w:tc>
      </w:tr>
    </w:tbl>
    <w:p w14:paraId="2C1F9423"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282D369"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7FF55508"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3E890AC6" w14:textId="77777777" w:rsidTr="005C00A5">
        <w:trPr>
          <w:tblHeader/>
        </w:trPr>
        <w:tc>
          <w:tcPr>
            <w:tcW w:w="2160" w:type="dxa"/>
            <w:shd w:val="clear" w:color="auto" w:fill="CCDCDC"/>
            <w:vAlign w:val="center"/>
          </w:tcPr>
          <w:p w14:paraId="01CC17B6"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0DB641B7"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2403BD7C"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04C9EA74" w14:textId="77777777" w:rsidTr="005C00A5">
        <w:tc>
          <w:tcPr>
            <w:tcW w:w="2160" w:type="dxa"/>
            <w:shd w:val="clear" w:color="auto" w:fill="CCDCDC"/>
          </w:tcPr>
          <w:p w14:paraId="2A6F27C5"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0555823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C72378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initial stage, organizations begin identifying basic settings and boundaries of AI intended use.</w:t>
            </w:r>
          </w:p>
        </w:tc>
      </w:tr>
      <w:tr w:rsidR="00963E47" w:rsidRPr="00963E47" w14:paraId="11D43B92" w14:textId="77777777" w:rsidTr="005C00A5">
        <w:tc>
          <w:tcPr>
            <w:tcW w:w="2160" w:type="dxa"/>
            <w:shd w:val="clear" w:color="auto" w:fill="CCDCDC"/>
          </w:tcPr>
          <w:p w14:paraId="5134098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545E726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656FA7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have begun documenting the intended use settings and conditions for AI systems, but the boundaries and knowledge limits may not be comprehensively defined and areas for human intervention may not be clearly identified.</w:t>
            </w:r>
          </w:p>
        </w:tc>
      </w:tr>
      <w:tr w:rsidR="00963E47" w:rsidRPr="00963E47" w14:paraId="13FCE1D4" w14:textId="77777777" w:rsidTr="005C00A5">
        <w:tc>
          <w:tcPr>
            <w:tcW w:w="2160" w:type="dxa"/>
            <w:shd w:val="clear" w:color="auto" w:fill="CCDCDC"/>
          </w:tcPr>
          <w:p w14:paraId="15FDFF5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4C38B7D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6F299A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evolving stage have established clear processes for thoroughly documenting AI system intended use boundaries, knowledge limits, and areas requiring human intervention, providing a comprehensive picture of the system's applicability and limitations.</w:t>
            </w:r>
          </w:p>
        </w:tc>
      </w:tr>
      <w:tr w:rsidR="00963E47" w:rsidRPr="00963E47" w14:paraId="056E5F8B" w14:textId="77777777" w:rsidTr="005C00A5">
        <w:tc>
          <w:tcPr>
            <w:tcW w:w="2160" w:type="dxa"/>
            <w:shd w:val="clear" w:color="auto" w:fill="CCDCDC"/>
          </w:tcPr>
          <w:p w14:paraId="67702CC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5573837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B86977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integrate comprehensive boundary documentation into lifecycle management, ensuring responsible and transparent AI deployment aligned with AI Trustworthy Principles.</w:t>
            </w:r>
          </w:p>
        </w:tc>
      </w:tr>
    </w:tbl>
    <w:p w14:paraId="765415C2"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56016BE6" w14:textId="77777777" w:rsidTr="005C00A5">
        <w:tc>
          <w:tcPr>
            <w:tcW w:w="2250" w:type="dxa"/>
          </w:tcPr>
          <w:p w14:paraId="12D3B18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5E4D8FC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6091D76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6423865E" w14:textId="77777777" w:rsidTr="005C00A5">
        <w:tc>
          <w:tcPr>
            <w:tcW w:w="2250" w:type="dxa"/>
          </w:tcPr>
          <w:p w14:paraId="0F953C7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Explainable &amp; Interpretable</w:t>
            </w:r>
          </w:p>
        </w:tc>
        <w:tc>
          <w:tcPr>
            <w:tcW w:w="2520" w:type="dxa"/>
          </w:tcPr>
          <w:p w14:paraId="6B3D2F8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Undocumented Use Boundaries</w:t>
            </w:r>
          </w:p>
        </w:tc>
        <w:tc>
          <w:tcPr>
            <w:tcW w:w="5300" w:type="dxa"/>
          </w:tcPr>
          <w:p w14:paraId="2555B59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system's intended use boundaries, environments, and conditions are undocumented</w:t>
            </w:r>
          </w:p>
        </w:tc>
      </w:tr>
    </w:tbl>
    <w:p w14:paraId="41E6A64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886D63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77D54B6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CB9C00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To effectively document the boundaries, environments, and conditions within the AI system's intended use, engage relevant stakeholders, such as data scientists, domain experts, and end-users, to gather input on the system's capabilities and limitations. Develop a clear and concise definition of the AI system's intended use, including the specific tasks it is designed to perform, the types of data it can process, and the expected outputs or outcomes.</w:t>
      </w:r>
    </w:p>
    <w:p w14:paraId="0D097749"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F31E6B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Identify and document any known limitations or constraints on the system's applicability, such as data quality requirements, computational resource limitations, or domain-specific assumptions. Clearly define the boundaries of the AI system's knowledge and capabilities, specifying areas where human intervention or oversight are necessary to ensure safe and effective operation.</w:t>
      </w:r>
    </w:p>
    <w:p w14:paraId="786CC0FC"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7F3480D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Document this information in clear and concise language, making it easily accessible to relevant parties. Regularly review and update the documentation as needed to maintain its accuracy and relevance and communicate changes to relevant stakeholders.</w:t>
      </w:r>
    </w:p>
    <w:p w14:paraId="1C3F1378"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ADA9CF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6FC4764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EFBB8F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a Comprehensive Use Case Document</w:t>
      </w:r>
    </w:p>
    <w:p w14:paraId="79F30CA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Create a detailed record specifying the operational settings, deployment environments, and conditions under which the AI system is intended to operate, including constraints and known knowledge limits.</w:t>
      </w:r>
    </w:p>
    <w:p w14:paraId="7C3A573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53090F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Formal use case documents outlining environment parameters and operational boundaries.</w:t>
      </w:r>
    </w:p>
    <w:p w14:paraId="1335AE7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Specifications detailing system assumptions, scope, and knowledge limitations.</w:t>
      </w:r>
    </w:p>
    <w:p w14:paraId="0D73E70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Diagrams illustrating deployment contexts and boundary conditions.</w:t>
      </w:r>
    </w:p>
    <w:p w14:paraId="327397F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review and approval records.</w:t>
      </w:r>
    </w:p>
    <w:p w14:paraId="1798D79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D926F1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Definition of Boundaries and Applicability Criteria</w:t>
      </w:r>
    </w:p>
    <w:p w14:paraId="55BC1BD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explicit criteria delineating where and how the AI system is appropriate, including environmental, data, and user-related conditions, as well as areas requiring human oversight.</w:t>
      </w:r>
    </w:p>
    <w:p w14:paraId="2C85158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8985AC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Use boundary matrices listing allowed contexts, data types, and user roles.</w:t>
      </w:r>
    </w:p>
    <w:p w14:paraId="57E0342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Operational manuals describing environmental parameters and limits.</w:t>
      </w:r>
    </w:p>
    <w:p w14:paraId="4F3C9EA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assessments identifying areas where human intervention is mandatory.</w:t>
      </w:r>
    </w:p>
    <w:p w14:paraId="639FE74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Policy documents on system scope restrictions.</w:t>
      </w:r>
    </w:p>
    <w:p w14:paraId="0879655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4328C4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Identification of Knowledge Limits and Uncertainty Areas</w:t>
      </w:r>
    </w:p>
    <w:p w14:paraId="123D7F4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 areas where the AI system’s knowledge is limited or unreliable, providing guidance for deployment and human oversight needs.</w:t>
      </w:r>
    </w:p>
    <w:p w14:paraId="5C4892B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730909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Knowledge limit assessments noting data gaps, model uncertainties, and performance thresholds.</w:t>
      </w:r>
    </w:p>
    <w:p w14:paraId="4D27566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Decision matrices mapping knowledge limits to acceptable use conditions.</w:t>
      </w:r>
    </w:p>
    <w:p w14:paraId="792AA90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Operational reports highlighting areas where human reviews are essential.</w:t>
      </w:r>
    </w:p>
    <w:p w14:paraId="74A4265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registers with entries on knowledge-based uncertainties.</w:t>
      </w:r>
    </w:p>
    <w:p w14:paraId="585F067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0879B4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Specification of Human Intervention Points and Responsibilities</w:t>
      </w:r>
    </w:p>
    <w:p w14:paraId="7D5CFEC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Clearly specify situations where human intervention is required, including roles, decision points, and escalation procedures.</w:t>
      </w:r>
    </w:p>
    <w:p w14:paraId="73A63E0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BA58AF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Operator guidelines delineating intervention points.</w:t>
      </w:r>
    </w:p>
    <w:p w14:paraId="28D2425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Escalation workflows for system alerts or knowledge uncertainties.</w:t>
      </w:r>
    </w:p>
    <w:p w14:paraId="2548A89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and onboarding materials emphasizing intervention responsibilities.</w:t>
      </w:r>
    </w:p>
    <w:p w14:paraId="6F77F17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logs documenting human alerts and responses.</w:t>
      </w:r>
    </w:p>
    <w:p w14:paraId="6777F2F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FB0F48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 Review and Utilization of Use and Boundary Documentation</w:t>
      </w:r>
    </w:p>
    <w:p w14:paraId="42A1B01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Schedule periodic reviews to confirm that use boundaries, knowledge limits, and human intervention protocols remain accurate and appropriate, updating them based on operational feedback and system evolution.</w:t>
      </w:r>
    </w:p>
    <w:p w14:paraId="4FEE370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00C2EAD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with documented outcomes and updates.</w:t>
      </w:r>
    </w:p>
    <w:p w14:paraId="50B8941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logs from deployment and operational teams.</w:t>
      </w:r>
    </w:p>
    <w:p w14:paraId="54155F7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use case and boundary documents with revision history.</w:t>
      </w:r>
    </w:p>
    <w:p w14:paraId="52FB3C6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from incidents or operational changes incorporating boundary adjustments.</w:t>
      </w:r>
    </w:p>
    <w:p w14:paraId="0B483646"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6C56D785"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5A96FD1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6D77DA8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77E4E62E" w14:textId="77777777" w:rsidTr="005C00A5">
        <w:tc>
          <w:tcPr>
            <w:tcW w:w="1170" w:type="dxa"/>
          </w:tcPr>
          <w:p w14:paraId="2A076D5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79F9BB6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7C98403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2D9D7B80" w14:textId="77777777" w:rsidTr="005C00A5">
        <w:tc>
          <w:tcPr>
            <w:tcW w:w="1170" w:type="dxa"/>
          </w:tcPr>
          <w:p w14:paraId="235F6F5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MP-2.2.2</w:t>
            </w:r>
          </w:p>
        </w:tc>
        <w:tc>
          <w:tcPr>
            <w:tcW w:w="2160" w:type="dxa"/>
          </w:tcPr>
          <w:p w14:paraId="1F3E52F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Interdependencies and Dependencies</w:t>
            </w:r>
          </w:p>
        </w:tc>
        <w:tc>
          <w:tcPr>
            <w:tcW w:w="6740" w:type="dxa"/>
          </w:tcPr>
          <w:p w14:paraId="35018DB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documents the AI system's interdependencies, including both upstream and downstream data sources, as well as human dependencies, clearly identifying where the system relies on input from other automated systems or human operators.</w:t>
            </w:r>
          </w:p>
          <w:p w14:paraId="17A6AA55" w14:textId="77777777" w:rsidR="00963E47" w:rsidRPr="00963E47" w:rsidRDefault="00963E47" w:rsidP="004C3837">
            <w:pPr>
              <w:keepNext/>
              <w:rPr>
                <w:rFonts w:ascii="Aptos" w:hAnsi="Aptos" w:cs="Times New Roman"/>
                <w:b/>
                <w:bCs/>
                <w:color w:val="000000"/>
                <w:sz w:val="20"/>
                <w:szCs w:val="20"/>
              </w:rPr>
            </w:pPr>
          </w:p>
          <w:p w14:paraId="6FE1343A" w14:textId="77777777" w:rsidR="00963E47" w:rsidRPr="00963E47" w:rsidRDefault="00963E47" w:rsidP="004C3837">
            <w:pPr>
              <w:keepNext/>
              <w:rPr>
                <w:rFonts w:ascii="Aptos" w:hAnsi="Aptos" w:cs="Times New Roman"/>
                <w:b/>
                <w:bCs/>
                <w:color w:val="000000"/>
                <w:sz w:val="20"/>
                <w:szCs w:val="20"/>
              </w:rPr>
            </w:pPr>
            <w:hyperlink r:id="rId112" w:anchor="map-2-2" w:history="1">
              <w:r w:rsidRPr="00963E47">
                <w:rPr>
                  <w:rFonts w:ascii="Aptos" w:hAnsi="Aptos" w:cs="Times New Roman"/>
                  <w:color w:val="000000"/>
                  <w:sz w:val="20"/>
                  <w:szCs w:val="20"/>
                  <w:u w:val="single"/>
                </w:rPr>
                <w:t>Link to NIST AI RMF Playbook</w:t>
              </w:r>
            </w:hyperlink>
          </w:p>
        </w:tc>
      </w:tr>
    </w:tbl>
    <w:p w14:paraId="0D979CAB"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C620452"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274C7A1C"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2FF268C2" w14:textId="77777777" w:rsidTr="005C00A5">
        <w:trPr>
          <w:tblHeader/>
        </w:trPr>
        <w:tc>
          <w:tcPr>
            <w:tcW w:w="2160" w:type="dxa"/>
            <w:shd w:val="clear" w:color="auto" w:fill="CCDCDC"/>
            <w:vAlign w:val="center"/>
          </w:tcPr>
          <w:p w14:paraId="3BF5401D"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4AA97E5D"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636189DA"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7C2557CB" w14:textId="77777777" w:rsidTr="005C00A5">
        <w:tc>
          <w:tcPr>
            <w:tcW w:w="2160" w:type="dxa"/>
            <w:shd w:val="clear" w:color="auto" w:fill="CCDCDC"/>
          </w:tcPr>
          <w:p w14:paraId="01A997E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6235EA1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96328E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4133168B" w14:textId="77777777" w:rsidTr="005C00A5">
        <w:tc>
          <w:tcPr>
            <w:tcW w:w="2160" w:type="dxa"/>
            <w:shd w:val="clear" w:color="auto" w:fill="CCDCDC"/>
          </w:tcPr>
          <w:p w14:paraId="3FA60F3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60A19BC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2E2C88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6F04CA08" w14:textId="77777777" w:rsidTr="005C00A5">
        <w:tc>
          <w:tcPr>
            <w:tcW w:w="2160" w:type="dxa"/>
            <w:shd w:val="clear" w:color="auto" w:fill="CCDCDC"/>
          </w:tcPr>
          <w:p w14:paraId="5FF49AE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45E66F0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43EF9E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as AI systems become more interconnected, organizations begin documenting system interdependencies, including data sources and human dependencies, to clarify where the system relies on external inputs.</w:t>
            </w:r>
          </w:p>
        </w:tc>
      </w:tr>
      <w:tr w:rsidR="00963E47" w:rsidRPr="00963E47" w14:paraId="36794B4F" w14:textId="77777777" w:rsidTr="005C00A5">
        <w:tc>
          <w:tcPr>
            <w:tcW w:w="2160" w:type="dxa"/>
            <w:shd w:val="clear" w:color="auto" w:fill="CCDCDC"/>
          </w:tcPr>
          <w:p w14:paraId="25C795E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74CFC39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18E986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embed detailed, ongoing dependency tracking into their lifecycle management processes, ensuring transparency and effective oversight aligned with AI Trustworthy Principles.</w:t>
            </w:r>
          </w:p>
        </w:tc>
      </w:tr>
    </w:tbl>
    <w:p w14:paraId="664AEFC3"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0404EA79" w14:textId="77777777" w:rsidTr="005C00A5">
        <w:tc>
          <w:tcPr>
            <w:tcW w:w="2250" w:type="dxa"/>
          </w:tcPr>
          <w:p w14:paraId="63DCF26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2E4CBFE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516AA9E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43588B9B" w14:textId="77777777" w:rsidTr="005C00A5">
        <w:tc>
          <w:tcPr>
            <w:tcW w:w="2250" w:type="dxa"/>
          </w:tcPr>
          <w:p w14:paraId="4BA3D87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67B4CD2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Undocumented System Dependencies</w:t>
            </w:r>
          </w:p>
        </w:tc>
        <w:tc>
          <w:tcPr>
            <w:tcW w:w="5300" w:type="dxa"/>
          </w:tcPr>
          <w:p w14:paraId="1E30707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system interdependencies and human dependencies are not documented</w:t>
            </w:r>
          </w:p>
        </w:tc>
      </w:tr>
    </w:tbl>
    <w:p w14:paraId="36F0A07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849937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49AAC43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7378F7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Document the AI system's interdependencies, including both upstream and downstream data sources, as well as human dependencies. Engage relevant stakeholders, such as data engineers, system architects, and end-users, to gather input on these interdependencies and their potential impacts on the AI system's performance and reliability. </w:t>
      </w:r>
    </w:p>
    <w:p w14:paraId="69867A66"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67129C8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Identify and document any external data sources on which the AI system relies, such as databases, APIs, or sensor feeds, specifying the expected format, quality, and frequency of this data. Similarly, identify and document any downstream systems or processes that consume the AI system's outputs, specifying the expected format, quality, and frequency of these outputs.</w:t>
      </w:r>
    </w:p>
    <w:p w14:paraId="500BE273"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72FB35D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Clearly identify any areas where the AI system relies on input or intervention from human operators, such as data labeling, parameter tuning, or decision-making, and specify the roles and responsibilities of these operators. Use clear and concise language to document this information, ensuring it is easily accessible to relevant parties.</w:t>
      </w:r>
    </w:p>
    <w:p w14:paraId="2A4D2756"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6CEAEAE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Regularly review and update the documentation as needed to maintain its accuracy and relevance and communicate changes to relevant stakeholders.</w:t>
      </w:r>
    </w:p>
    <w:p w14:paraId="0B437A64"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6BAFE3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3EB713B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07C32D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an Interdependency Mapping Framework</w:t>
      </w:r>
    </w:p>
    <w:p w14:paraId="07B82AE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structured framework to identify, document, and visualize the system's data flows, integration points, and human involvement throughout the AI lifecycle.</w:t>
      </w:r>
    </w:p>
    <w:p w14:paraId="3F52482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2A75D3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flow diagrams illustrating upstream and downstream data sources.</w:t>
      </w:r>
    </w:p>
    <w:p w14:paraId="79AF8DF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Dependency matrices linking data sources, processing modules, and output consumers.</w:t>
      </w:r>
    </w:p>
    <w:p w14:paraId="5EE578F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human roles involved at various lifecycle stages.</w:t>
      </w:r>
    </w:p>
    <w:p w14:paraId="245FA0A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maps updated with system changes.</w:t>
      </w:r>
    </w:p>
    <w:p w14:paraId="03A42F72"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CBCE20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Identification of Upstream and Downstream Data Sources</w:t>
      </w:r>
    </w:p>
    <w:p w14:paraId="053840E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Create a comprehensive inventory of all data inputs, specifying origin, quality, update frequency, and reliance levels for each source.</w:t>
      </w:r>
    </w:p>
    <w:p w14:paraId="5A1E71E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D0557A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source catalogs with source descriptions and metadata.</w:t>
      </w:r>
    </w:p>
    <w:p w14:paraId="31018C1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provenance documentation demonstrating source credibility.</w:t>
      </w:r>
    </w:p>
    <w:p w14:paraId="2368656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source assessments regarding reliability and risk.</w:t>
      </w:r>
    </w:p>
    <w:p w14:paraId="77074E2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flow diagrams linking sources to system components.</w:t>
      </w:r>
    </w:p>
    <w:p w14:paraId="6E4EF6C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65F0A6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Mapping of Human Dependencies and Responsibilities</w:t>
      </w:r>
    </w:p>
    <w:p w14:paraId="671E51C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 the points where human oversight, review, or input is required, including roles, decision points, and escalation paths.</w:t>
      </w:r>
    </w:p>
    <w:p w14:paraId="11351D8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DB9DD9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Human-in-the-loop process diagrams.</w:t>
      </w:r>
    </w:p>
    <w:p w14:paraId="1E77C4A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Role descriptions and responsibility matrices for human operators.</w:t>
      </w:r>
    </w:p>
    <w:p w14:paraId="73BEF9E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Procedures detailing human intervention points and decision authority.</w:t>
      </w:r>
    </w:p>
    <w:p w14:paraId="0084F8B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records emphasizing human dependencies.</w:t>
      </w:r>
    </w:p>
    <w:p w14:paraId="0846658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FB1350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and Change Management of Interdependencies</w:t>
      </w:r>
    </w:p>
    <w:p w14:paraId="1C4CE64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processes to integrate dependency maps into development and operational workflows, with change control procedures to update dependencies as systems evolve.</w:t>
      </w:r>
    </w:p>
    <w:p w14:paraId="4D2A72D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0838F4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dependency documentation tied to change requests.</w:t>
      </w:r>
    </w:p>
    <w:p w14:paraId="021CAD1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reflecting updates to data sources or human roles.</w:t>
      </w:r>
    </w:p>
    <w:p w14:paraId="2129804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Integration of dependency maps into system design reviews and risk assessments.</w:t>
      </w:r>
    </w:p>
    <w:p w14:paraId="502C239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trails of dependency-related modifications.</w:t>
      </w:r>
    </w:p>
    <w:p w14:paraId="485DBD2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F2F747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 Review and Validation of Interdependencies</w:t>
      </w:r>
    </w:p>
    <w:p w14:paraId="6A92C7A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Schedule periodic reviews to validate and update dependency mappings, assessing new risks, evolving data sources, and changing human roles based on system updates and operational feedback.</w:t>
      </w:r>
    </w:p>
    <w:p w14:paraId="1C0218C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77D4C3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with documented outcomes and updates.</w:t>
      </w:r>
    </w:p>
    <w:p w14:paraId="3CE2474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Re-assessment reports after operational incidents or system changes.</w:t>
      </w:r>
    </w:p>
    <w:p w14:paraId="4FD5527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logs from data owners and human stakeholders.</w:t>
      </w:r>
    </w:p>
    <w:p w14:paraId="45C8CF9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 histories showing updates to dependency diagrams and matrices.</w:t>
      </w:r>
    </w:p>
    <w:p w14:paraId="43D05DBF"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36" w:name="_Toc214874781"/>
      <w:r w:rsidRPr="00963E47">
        <w:rPr>
          <w:rFonts w:ascii="Aptos" w:eastAsia="Aptos" w:hAnsi="Aptos" w:cs="Times New Roman"/>
          <w:b/>
          <w:bCs/>
          <w:noProof/>
          <w:color w:val="35256B"/>
          <w:kern w:val="2"/>
          <w:sz w:val="24"/>
          <w14:ligatures w14:val="standardContextual"/>
        </w:rPr>
        <w:lastRenderedPageBreak/>
        <w:t>MAP / Understanding the AI System / Applying Scientific Methodologies</w:t>
      </w:r>
      <w:bookmarkEnd w:id="36"/>
      <w:r w:rsidRPr="00963E47">
        <w:rPr>
          <w:rFonts w:ascii="Aptos" w:eastAsia="Aptos" w:hAnsi="Aptos" w:cs="Times New Roman"/>
          <w:b/>
          <w:bCs/>
          <w:noProof/>
          <w:color w:val="35256B"/>
          <w:kern w:val="2"/>
          <w:sz w:val="24"/>
          <w14:ligatures w14:val="standardContextual"/>
        </w:rPr>
        <w:t xml:space="preserve"> </w:t>
      </w:r>
    </w:p>
    <w:p w14:paraId="2BA94154"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173BFE4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739767B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50529E0E" w14:textId="77777777" w:rsidTr="005C00A5">
        <w:tc>
          <w:tcPr>
            <w:tcW w:w="1170" w:type="dxa"/>
          </w:tcPr>
          <w:p w14:paraId="1273144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63DE9D9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6E51B9D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7905FCA3" w14:textId="77777777" w:rsidTr="005C00A5">
        <w:tc>
          <w:tcPr>
            <w:tcW w:w="1170" w:type="dxa"/>
          </w:tcPr>
          <w:p w14:paraId="0C86672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MP-2.3.1</w:t>
            </w:r>
          </w:p>
        </w:tc>
        <w:tc>
          <w:tcPr>
            <w:tcW w:w="2160" w:type="dxa"/>
          </w:tcPr>
          <w:p w14:paraId="1B30753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Development and Operation Documentation</w:t>
            </w:r>
          </w:p>
        </w:tc>
        <w:tc>
          <w:tcPr>
            <w:tcW w:w="6740" w:type="dxa"/>
          </w:tcPr>
          <w:p w14:paraId="2D0CEF2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documents assumptions, limitations, techniques, and metrics used for development or operation of the AI system throughout the lifecycle, aligning with data governance policies. This includes documenting data selection, curation, preparation, and analysis techniques, as well as identifying modeled constructs and methods for inferring reasonable relationships between constructs and dataset attributes.</w:t>
            </w:r>
          </w:p>
          <w:p w14:paraId="6440A6C1" w14:textId="77777777" w:rsidR="00963E47" w:rsidRPr="00963E47" w:rsidRDefault="00963E47" w:rsidP="004C3837">
            <w:pPr>
              <w:keepNext/>
              <w:rPr>
                <w:rFonts w:ascii="Aptos" w:hAnsi="Aptos" w:cs="Times New Roman"/>
                <w:b/>
                <w:bCs/>
                <w:color w:val="000000"/>
                <w:sz w:val="20"/>
                <w:szCs w:val="20"/>
              </w:rPr>
            </w:pPr>
          </w:p>
          <w:p w14:paraId="1F4A1B4C" w14:textId="77777777" w:rsidR="00963E47" w:rsidRPr="00963E47" w:rsidRDefault="00963E47" w:rsidP="004C3837">
            <w:pPr>
              <w:keepNext/>
              <w:rPr>
                <w:rFonts w:ascii="Aptos" w:hAnsi="Aptos" w:cs="Times New Roman"/>
                <w:b/>
                <w:bCs/>
                <w:color w:val="000000"/>
                <w:sz w:val="20"/>
                <w:szCs w:val="20"/>
              </w:rPr>
            </w:pPr>
            <w:hyperlink r:id="rId113" w:anchor="map-2-3" w:history="1">
              <w:r w:rsidRPr="00963E47">
                <w:rPr>
                  <w:rFonts w:ascii="Aptos" w:hAnsi="Aptos" w:cs="Times New Roman"/>
                  <w:color w:val="000000"/>
                  <w:sz w:val="20"/>
                  <w:szCs w:val="20"/>
                  <w:u w:val="single"/>
                </w:rPr>
                <w:t>Link to NIST AI RMF Playbook</w:t>
              </w:r>
            </w:hyperlink>
          </w:p>
        </w:tc>
      </w:tr>
    </w:tbl>
    <w:p w14:paraId="75B9E4BC"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788F34F"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5BEB1702"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3E2E938B" w14:textId="77777777" w:rsidTr="005C00A5">
        <w:trPr>
          <w:tblHeader/>
        </w:trPr>
        <w:tc>
          <w:tcPr>
            <w:tcW w:w="2160" w:type="dxa"/>
            <w:shd w:val="clear" w:color="auto" w:fill="CCDCDC"/>
            <w:vAlign w:val="center"/>
          </w:tcPr>
          <w:p w14:paraId="64DE8490"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4790642D"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095FE05A"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061F923A" w14:textId="77777777" w:rsidTr="005C00A5">
        <w:tc>
          <w:tcPr>
            <w:tcW w:w="2160" w:type="dxa"/>
            <w:shd w:val="clear" w:color="auto" w:fill="CCDCDC"/>
          </w:tcPr>
          <w:p w14:paraId="1BDF13D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5808D88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666859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initial stage begin recognizing the importance of documenting key assumptions, limitations, and techniques used in AI development and operation.</w:t>
            </w:r>
          </w:p>
        </w:tc>
      </w:tr>
      <w:tr w:rsidR="00963E47" w:rsidRPr="00963E47" w14:paraId="0E98F500" w14:textId="77777777" w:rsidTr="005C00A5">
        <w:tc>
          <w:tcPr>
            <w:tcW w:w="2160" w:type="dxa"/>
            <w:shd w:val="clear" w:color="auto" w:fill="CCDCDC"/>
          </w:tcPr>
          <w:p w14:paraId="0439808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2D04A37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600FA8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have begun establishing TEVV protocols for AI models and systems, but they may not cover the full lifecycle or all relevant subcomponents and may not be consistently documented.</w:t>
            </w:r>
          </w:p>
        </w:tc>
      </w:tr>
      <w:tr w:rsidR="00963E47" w:rsidRPr="00963E47" w14:paraId="7C75906F" w14:textId="77777777" w:rsidTr="005C00A5">
        <w:tc>
          <w:tcPr>
            <w:tcW w:w="2160" w:type="dxa"/>
            <w:shd w:val="clear" w:color="auto" w:fill="CCDCDC"/>
          </w:tcPr>
          <w:p w14:paraId="1CFBCB8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02BCD62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170B8F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evolving stage have established comprehensive, well-documented TEVV protocols that cover the entire AI lifecycle and all relevant models, systems, and subcomponents, ensuring thorough testing and validation.</w:t>
            </w:r>
          </w:p>
        </w:tc>
      </w:tr>
      <w:tr w:rsidR="00963E47" w:rsidRPr="00963E47" w14:paraId="4E34AFC2" w14:textId="77777777" w:rsidTr="005C00A5">
        <w:tc>
          <w:tcPr>
            <w:tcW w:w="2160" w:type="dxa"/>
            <w:shd w:val="clear" w:color="auto" w:fill="CCDCDC"/>
          </w:tcPr>
          <w:p w14:paraId="4532F0F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4E52999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1DAB3E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systematically integrate comprehensive documentation into every phase of the AI lifecycle, enabling transparency, accountability, and responsible management aligned with AI Trustworthy Principles.</w:t>
            </w:r>
          </w:p>
        </w:tc>
      </w:tr>
    </w:tbl>
    <w:p w14:paraId="56479591"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3026B36B" w14:textId="77777777" w:rsidTr="005C00A5">
        <w:tc>
          <w:tcPr>
            <w:tcW w:w="2250" w:type="dxa"/>
          </w:tcPr>
          <w:p w14:paraId="1341D1B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5F1629F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70560C6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5A5DC852" w14:textId="77777777" w:rsidTr="005C00A5">
        <w:tc>
          <w:tcPr>
            <w:tcW w:w="2250" w:type="dxa"/>
          </w:tcPr>
          <w:p w14:paraId="57BDEE3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Valid &amp; Reliable</w:t>
            </w:r>
          </w:p>
        </w:tc>
        <w:tc>
          <w:tcPr>
            <w:tcW w:w="2520" w:type="dxa"/>
          </w:tcPr>
          <w:p w14:paraId="2C68350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Undocumented Development and Operation Details</w:t>
            </w:r>
          </w:p>
        </w:tc>
        <w:tc>
          <w:tcPr>
            <w:tcW w:w="5300" w:type="dxa"/>
          </w:tcPr>
          <w:p w14:paraId="34C73C3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Assumptions, limitations, and techniques for AI system development and operation are undocumented</w:t>
            </w:r>
          </w:p>
        </w:tc>
      </w:tr>
    </w:tbl>
    <w:p w14:paraId="5ADAD06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77AA8E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57ADC44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0500AB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Document the assumptions, techniques, and metrics used for the development, deployment, and ongoing operation of the AI system across its entire lifecycle, ensuring consistency with the organization’s data governance policies. This includes detailed documentation of data selection, curation, preprocessing, and analysis techniques, as well as identifying modeled constructs and methods for inferring meaningful relationships between dataset attributes and constructs.</w:t>
      </w:r>
    </w:p>
    <w:p w14:paraId="59B82BC1"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9736F1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Engage relevant stakeholders, such as data scientists, data engineers, data governance professionals, and domain experts, in the documentation process to gather input on appropriate techniques and metrics at each stage of the AI lifecycle. This collaboration helps ensure that assumptions are valid, techniques are suitable, and metrics effectively measure trustworthiness and performance.</w:t>
      </w:r>
    </w:p>
    <w:p w14:paraId="2C78C4DB"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024CBB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 standardized framework for documenting data-related assumptions, methods, and metrics, ensuring it aligns with organizational data governance standards and best practices. This framework should be applied consistently throughout the lifecycle.</w:t>
      </w:r>
    </w:p>
    <w:p w14:paraId="0EA71FBE"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C7978B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Regularly review and update the documentation to reflect changes in the system, data sources, techniques, and organizational standards, maintaining accuracy and relevance over time. Communicate updates to relevant stakeholders and provide training or support to foster organizational understanding and adherence to documented practices, supporting transparency and accountability throughout the AI lifecycle.</w:t>
      </w:r>
    </w:p>
    <w:p w14:paraId="1B18E344"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4D378E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5FD2F20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A9C509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a Comprehensive Documentation Framework</w:t>
      </w:r>
    </w:p>
    <w:p w14:paraId="19CC540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standardized templates and processes for recording assumptions, limitations, techniques, and metrics at each lifecycle stage, aligned with data governance standards.</w:t>
      </w:r>
    </w:p>
    <w:p w14:paraId="4EBF3EB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9D6E87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Formalized templates capturing assumptions, limitations, techniques, and metrics.</w:t>
      </w:r>
    </w:p>
    <w:p w14:paraId="64A04D0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documentation linked to system development and deployment phases.</w:t>
      </w:r>
    </w:p>
    <w:p w14:paraId="74B904A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Guidelines aligning technical practices with data governance policies.</w:t>
      </w:r>
    </w:p>
    <w:p w14:paraId="78F44A1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Checklists ensuring completeness and consistency.</w:t>
      </w:r>
    </w:p>
    <w:p w14:paraId="4ECB42E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6D1623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Data Selection, Curation, and Preparation Techniques</w:t>
      </w:r>
    </w:p>
    <w:p w14:paraId="09B1C5D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Record detailed descriptions of data sourcing, selection criteria, curation processes, and preparation methods used throughout the lifecycle.</w:t>
      </w:r>
    </w:p>
    <w:p w14:paraId="03FF146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BBFA59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provenance and sourcing documentation.</w:t>
      </w:r>
    </w:p>
    <w:p w14:paraId="323F6AD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data cleaning, transformation, and feature engineering techniques.</w:t>
      </w:r>
    </w:p>
    <w:p w14:paraId="45F298B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quality assessment reports.</w:t>
      </w:r>
    </w:p>
    <w:p w14:paraId="06DA745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processing workflows with version control.</w:t>
      </w:r>
    </w:p>
    <w:p w14:paraId="05ACD8E3"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3093C4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Identification of Modeled Constructs and Relationships</w:t>
      </w:r>
    </w:p>
    <w:p w14:paraId="245B4CE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Clearly document the modeled constructs, underlying assumptions, and the methods used to infer relationships between dataset attributes and constructs, including rationale and limitations.</w:t>
      </w:r>
    </w:p>
    <w:p w14:paraId="5DA15E0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2A224C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Definitions and descriptions of key constructs and attributes.</w:t>
      </w:r>
    </w:p>
    <w:p w14:paraId="7169395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Modeling assumptions and hypotheses documentation.</w:t>
      </w:r>
    </w:p>
    <w:p w14:paraId="6CC972A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Methods and algorithms used for inferring relationships, with justifications.</w:t>
      </w:r>
    </w:p>
    <w:p w14:paraId="0741605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Rationale for model choices in relation to dataset features.</w:t>
      </w:r>
    </w:p>
    <w:p w14:paraId="7219CF6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337A96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Metrics and Validation Techniques</w:t>
      </w:r>
    </w:p>
    <w:p w14:paraId="696A5A0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Record the metrics and validation techniques used to evaluate model performance, data adequacy, and relationship inference accuracy, ensuring alignment with data governance policies.</w:t>
      </w:r>
    </w:p>
    <w:p w14:paraId="300CFD0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D532B9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Model performance metrics and validation reports.</w:t>
      </w:r>
    </w:p>
    <w:p w14:paraId="7ABC0EF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validation reports assessing attribute quality and integrity.</w:t>
      </w:r>
    </w:p>
    <w:p w14:paraId="1B9785D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cross-validation, sensitivity analysis, and robustness checks.</w:t>
      </w:r>
    </w:p>
    <w:p w14:paraId="1EF5FD5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Logs of model tuning and metric tracking over time.</w:t>
      </w:r>
    </w:p>
    <w:p w14:paraId="5E04DEF3"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BEA032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Periodic Review and Update of Documentation</w:t>
      </w:r>
    </w:p>
    <w:p w14:paraId="5B87676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Schedule regular reviews to update assumptions, limitations, techniques, and metrics, particularly as new data sources, methods, or system features evolve.</w:t>
      </w:r>
    </w:p>
    <w:p w14:paraId="7495ABE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CF0E1E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and meeting minutes.</w:t>
      </w:r>
    </w:p>
    <w:p w14:paraId="3017809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 histories of documents reflecting updates.</w:t>
      </w:r>
    </w:p>
    <w:p w14:paraId="10ACC54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data scientists, model auditors, or governance reviews.</w:t>
      </w:r>
    </w:p>
    <w:p w14:paraId="4F18CC8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data governance policies incorporated into technical documentation.</w:t>
      </w:r>
    </w:p>
    <w:p w14:paraId="056BE098"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1693D082"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3FB2C1E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47C66B8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1567EEA0" w14:textId="77777777" w:rsidTr="005C00A5">
        <w:tc>
          <w:tcPr>
            <w:tcW w:w="1170" w:type="dxa"/>
          </w:tcPr>
          <w:p w14:paraId="2216F58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65D50DD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3980988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36EEC7E1" w14:textId="77777777" w:rsidTr="005C00A5">
        <w:tc>
          <w:tcPr>
            <w:tcW w:w="1170" w:type="dxa"/>
          </w:tcPr>
          <w:p w14:paraId="4F3A2E7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MP-2.3.2</w:t>
            </w:r>
          </w:p>
        </w:tc>
        <w:tc>
          <w:tcPr>
            <w:tcW w:w="2160" w:type="dxa"/>
          </w:tcPr>
          <w:p w14:paraId="061569D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TEVV Protocols and Standards</w:t>
            </w:r>
          </w:p>
        </w:tc>
        <w:tc>
          <w:tcPr>
            <w:tcW w:w="6740" w:type="dxa"/>
          </w:tcPr>
          <w:p w14:paraId="7E8B2CE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establishes and documents testing, evaluation, verification, and validation (TEVV) protocols for AI models, systems, and their subcomponents, covering the AI lifecycle from design to deployment and operation.</w:t>
            </w:r>
          </w:p>
          <w:p w14:paraId="3C47AB02" w14:textId="77777777" w:rsidR="00963E47" w:rsidRPr="00963E47" w:rsidRDefault="00963E47" w:rsidP="004C3837">
            <w:pPr>
              <w:keepNext/>
              <w:rPr>
                <w:rFonts w:ascii="Aptos" w:hAnsi="Aptos" w:cs="Times New Roman"/>
                <w:b/>
                <w:bCs/>
                <w:color w:val="000000"/>
                <w:sz w:val="20"/>
                <w:szCs w:val="20"/>
              </w:rPr>
            </w:pPr>
          </w:p>
          <w:p w14:paraId="24785201" w14:textId="77777777" w:rsidR="00963E47" w:rsidRPr="00963E47" w:rsidRDefault="00963E47" w:rsidP="004C3837">
            <w:pPr>
              <w:keepNext/>
              <w:rPr>
                <w:rFonts w:ascii="Aptos" w:hAnsi="Aptos" w:cs="Times New Roman"/>
                <w:b/>
                <w:bCs/>
                <w:color w:val="000000"/>
                <w:sz w:val="20"/>
                <w:szCs w:val="20"/>
              </w:rPr>
            </w:pPr>
            <w:hyperlink r:id="rId114" w:anchor="map-2-3" w:history="1">
              <w:r w:rsidRPr="00963E47">
                <w:rPr>
                  <w:rFonts w:ascii="Aptos" w:hAnsi="Aptos" w:cs="Times New Roman"/>
                  <w:color w:val="000000"/>
                  <w:sz w:val="20"/>
                  <w:szCs w:val="20"/>
                  <w:u w:val="single"/>
                </w:rPr>
                <w:t>Link to NIST AI RMF Playbook</w:t>
              </w:r>
            </w:hyperlink>
          </w:p>
        </w:tc>
      </w:tr>
    </w:tbl>
    <w:p w14:paraId="0176E293"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8DEE117"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296E1855"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5BA2CE27" w14:textId="77777777" w:rsidTr="005C00A5">
        <w:trPr>
          <w:tblHeader/>
        </w:trPr>
        <w:tc>
          <w:tcPr>
            <w:tcW w:w="2160" w:type="dxa"/>
            <w:shd w:val="clear" w:color="auto" w:fill="CCDCDC"/>
            <w:vAlign w:val="center"/>
          </w:tcPr>
          <w:p w14:paraId="7FA8462C"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75990941"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0B050BCF"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30AF40A3" w14:textId="77777777" w:rsidTr="005C00A5">
        <w:tc>
          <w:tcPr>
            <w:tcW w:w="2160" w:type="dxa"/>
            <w:shd w:val="clear" w:color="auto" w:fill="CCDCDC"/>
          </w:tcPr>
          <w:p w14:paraId="0FCB92B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0FC893E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CDEF6D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355C8B93" w14:textId="77777777" w:rsidTr="005C00A5">
        <w:tc>
          <w:tcPr>
            <w:tcW w:w="2160" w:type="dxa"/>
            <w:shd w:val="clear" w:color="auto" w:fill="CCDCDC"/>
          </w:tcPr>
          <w:p w14:paraId="4E4F741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5925B67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6D6468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minimal stage understand the need for TEVV protocols and begin documenting basic testing and validation approaches. They begin formalizing these protocols, ensuring key aspects of AI models and systems are covered across the lifecycle.</w:t>
            </w:r>
          </w:p>
        </w:tc>
      </w:tr>
      <w:tr w:rsidR="00963E47" w:rsidRPr="00963E47" w14:paraId="67A5AE02" w14:textId="77777777" w:rsidTr="005C00A5">
        <w:tc>
          <w:tcPr>
            <w:tcW w:w="2160" w:type="dxa"/>
            <w:shd w:val="clear" w:color="auto" w:fill="CCDCDC"/>
          </w:tcPr>
          <w:p w14:paraId="3A635AC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109E25A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E16B18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document the assumptions, techniques, and metrics used for AI system testing and evaluation across the lifecycle, including data-related factors and construct validation methods, aligning with data governance policies.</w:t>
            </w:r>
          </w:p>
        </w:tc>
      </w:tr>
      <w:tr w:rsidR="00963E47" w:rsidRPr="00963E47" w14:paraId="7451E51A" w14:textId="77777777" w:rsidTr="005C00A5">
        <w:tc>
          <w:tcPr>
            <w:tcW w:w="2160" w:type="dxa"/>
            <w:shd w:val="clear" w:color="auto" w:fill="CCDCDC"/>
          </w:tcPr>
          <w:p w14:paraId="5A11696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6904823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D05030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embed TEVV protocols into standard operations, automating processes and continuously updating them to ensure ongoing reliability, safety, and trustworthiness in line with AI Trustworthy Principles.</w:t>
            </w:r>
          </w:p>
        </w:tc>
      </w:tr>
    </w:tbl>
    <w:p w14:paraId="04CF1441"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4673FA9E" w14:textId="77777777" w:rsidTr="005C00A5">
        <w:tc>
          <w:tcPr>
            <w:tcW w:w="2250" w:type="dxa"/>
          </w:tcPr>
          <w:p w14:paraId="1748B43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5B35869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2F78C03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688D0637" w14:textId="77777777" w:rsidTr="005C00A5">
        <w:tc>
          <w:tcPr>
            <w:tcW w:w="2250" w:type="dxa"/>
          </w:tcPr>
          <w:p w14:paraId="6A624F0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Explainable &amp; Interpretable</w:t>
            </w:r>
          </w:p>
        </w:tc>
        <w:tc>
          <w:tcPr>
            <w:tcW w:w="2520" w:type="dxa"/>
          </w:tcPr>
          <w:p w14:paraId="587F5C6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Insufficient TEVV Protocols</w:t>
            </w:r>
          </w:p>
        </w:tc>
        <w:tc>
          <w:tcPr>
            <w:tcW w:w="5300" w:type="dxa"/>
          </w:tcPr>
          <w:p w14:paraId="290965A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TEVV protocols are insufficient for AI models</w:t>
            </w:r>
          </w:p>
        </w:tc>
      </w:tr>
    </w:tbl>
    <w:p w14:paraId="05344A5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213D33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0D9A3A3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0B774D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and document comprehensive TEVV protocols for AI models, systems, and their subcomponents, covering entire AI lifecycle from design to deployment and operation. Engage relevant stakeholders, such as data scientists, system architects, and quality assurance professionals to gather input on the appropriate TEVV methods and criteria for each lifecycle stage.</w:t>
      </w:r>
    </w:p>
    <w:p w14:paraId="490B4748"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0BA7EE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Develop a standardized framework for documenting TEVV protocols, including specific techniques, tools, and metrics to be used, as well as the expected outcomes and acceptance criteria. Ensure that the TEVV protocols align with </w:t>
      </w:r>
      <w:r w:rsidRPr="00963E47">
        <w:rPr>
          <w:rFonts w:ascii="Aptos" w:eastAsia="Aptos" w:hAnsi="Aptos" w:cs="Times New Roman"/>
          <w:noProof/>
          <w:color w:val="auto"/>
          <w:kern w:val="2"/>
          <w:sz w:val="20"/>
          <w:szCs w:val="20"/>
          <w14:ligatures w14:val="standardContextual"/>
        </w:rPr>
        <w:lastRenderedPageBreak/>
        <w:t>relevant industry standards and best practices, tailoring them to the specific characteristics and requirements of the AI system being developed.</w:t>
      </w:r>
    </w:p>
    <w:p w14:paraId="1DA262E5"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79B8A6E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Review and update the TEVV protocols as needed to maintain their accuracy and relevance and communicate changes to relevant stakeholders.</w:t>
      </w:r>
    </w:p>
    <w:p w14:paraId="3BE80991"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FC3E01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2879633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3E12FE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TEVV Framework and Standard Protocols</w:t>
      </w:r>
    </w:p>
    <w:p w14:paraId="00F72D0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formal TEVV frameworks and standardized protocols outlining the scope, methods, success criteria, and responsibilities for testing and validation activities at each lifecycle stage.</w:t>
      </w:r>
    </w:p>
    <w:p w14:paraId="258707F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84843F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Formal TEVV policies covering all lifecycle phases.</w:t>
      </w:r>
    </w:p>
    <w:p w14:paraId="17649F3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Standardized test plans, checklists, and templates for design, pre-deployment, and post-deployment evaluations.</w:t>
      </w:r>
    </w:p>
    <w:p w14:paraId="0A3D6EA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protocols reflecting updates aligned with evolving standards.</w:t>
      </w:r>
    </w:p>
    <w:p w14:paraId="71CADCC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Clear assignment of roles and responsibilities.</w:t>
      </w:r>
    </w:p>
    <w:p w14:paraId="0E85800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28DB1E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Lifecycle Coverage and Testing Scope</w:t>
      </w:r>
    </w:p>
    <w:p w14:paraId="00EF0CE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Ensure protocols encompass all critical subcomponents, including data, algorithms, models, and system integrations, with specific criteria for each phase (e.g., performance, robustness, fairness).</w:t>
      </w:r>
    </w:p>
    <w:p w14:paraId="6DCF3B9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22E97E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 and evaluation matrices mapping activities to lifecycle phases and components.</w:t>
      </w:r>
    </w:p>
    <w:p w14:paraId="1086623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Conducted tests and their results documented against predefined success criteria.</w:t>
      </w:r>
    </w:p>
    <w:p w14:paraId="0E71D38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Inclusion of stress testing, bias detection, safety assurance, and security evaluation steps.</w:t>
      </w:r>
    </w:p>
    <w:p w14:paraId="3FCBF6A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Traceability to design requirements and performance benchmarks.</w:t>
      </w:r>
    </w:p>
    <w:p w14:paraId="0EC2F32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7F73B1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Verification and Validation of Models and Components</w:t>
      </w:r>
    </w:p>
    <w:p w14:paraId="12A2E15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procedures for verifying the correctness, reliability, and safety of models and subsystems, including techniques such as cross-validation, sensitivity analysis, and field testing.</w:t>
      </w:r>
    </w:p>
    <w:p w14:paraId="0DAB5D0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21BFB7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Validation and verification reports demonstrating testing outcomes.</w:t>
      </w:r>
    </w:p>
    <w:p w14:paraId="068B6AC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 datasets, simulation results, and performance metrics.</w:t>
      </w:r>
    </w:p>
    <w:p w14:paraId="2D8C775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model benchmarking against standards and benchmarks.</w:t>
      </w:r>
    </w:p>
    <w:p w14:paraId="00CB18A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anomaly detection and failure mode analyses.</w:t>
      </w:r>
    </w:p>
    <w:p w14:paraId="0A7E1B13"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2E1538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TEVV Protocols and Results</w:t>
      </w:r>
    </w:p>
    <w:p w14:paraId="394F12E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detailed, version-controlled documentation of TEVV protocols, test results, and decision rationales, linked to lifecycle activities.</w:t>
      </w:r>
    </w:p>
    <w:p w14:paraId="2995EB9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77C8D8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Protocol manuals with revision histories.</w:t>
      </w:r>
    </w:p>
    <w:p w14:paraId="004E1CF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 results logs with timestamps, responsible persons, and review comments.</w:t>
      </w:r>
    </w:p>
    <w:p w14:paraId="4FB99D5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Traceability matrices linking tests to design and risk assessments.</w:t>
      </w:r>
    </w:p>
    <w:p w14:paraId="1ED7327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and approval records for testing outcomes.</w:t>
      </w:r>
    </w:p>
    <w:p w14:paraId="40B79EC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F52FDD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Ongoing Review and Improvement of TEVV Protocols</w:t>
      </w:r>
    </w:p>
    <w:p w14:paraId="0DE0771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Periodically review TEVV protocols based on system evolution, incident learnings, technological advances, and regulatory changes to ensure continued relevance and rigor.</w:t>
      </w:r>
    </w:p>
    <w:p w14:paraId="7744CB3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5343F5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and evaluation reports.</w:t>
      </w:r>
    </w:p>
    <w:p w14:paraId="606DCD8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documenting protocol updates.</w:t>
      </w:r>
    </w:p>
    <w:p w14:paraId="6F72C2B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Lessons learned incorporated into revised protocols.</w:t>
      </w:r>
    </w:p>
    <w:p w14:paraId="20A46D9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testing teams and stakeholders driving improvements.</w:t>
      </w:r>
    </w:p>
    <w:p w14:paraId="5F0D6A4F"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20B44FD6"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4067973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6121D87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7CDF9430" w14:textId="77777777" w:rsidTr="005C00A5">
        <w:tc>
          <w:tcPr>
            <w:tcW w:w="1170" w:type="dxa"/>
          </w:tcPr>
          <w:p w14:paraId="6A7A879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79B008A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7148472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6434B739" w14:textId="77777777" w:rsidTr="005C00A5">
        <w:tc>
          <w:tcPr>
            <w:tcW w:w="1170" w:type="dxa"/>
          </w:tcPr>
          <w:p w14:paraId="2844E59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MP-2.3.3</w:t>
            </w:r>
          </w:p>
        </w:tc>
        <w:tc>
          <w:tcPr>
            <w:tcW w:w="2160" w:type="dxa"/>
          </w:tcPr>
          <w:p w14:paraId="762941F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Experimental Design and Statistical Methods</w:t>
            </w:r>
          </w:p>
        </w:tc>
        <w:tc>
          <w:tcPr>
            <w:tcW w:w="6740" w:type="dxa"/>
          </w:tcPr>
          <w:p w14:paraId="27D5D9E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identifies valid experimental design and statistical techniques for testing complex AI systems, considering human factors, emergent risks, and dynamic contexts of use as relevant to the AI system.</w:t>
            </w:r>
          </w:p>
          <w:p w14:paraId="5215864D" w14:textId="77777777" w:rsidR="00963E47" w:rsidRPr="00963E47" w:rsidRDefault="00963E47" w:rsidP="004C3837">
            <w:pPr>
              <w:keepNext/>
              <w:rPr>
                <w:rFonts w:ascii="Aptos" w:hAnsi="Aptos" w:cs="Times New Roman"/>
                <w:b/>
                <w:bCs/>
                <w:color w:val="000000"/>
                <w:sz w:val="20"/>
                <w:szCs w:val="20"/>
              </w:rPr>
            </w:pPr>
          </w:p>
          <w:p w14:paraId="1ECE1CD4" w14:textId="77777777" w:rsidR="00963E47" w:rsidRPr="00963E47" w:rsidRDefault="00963E47" w:rsidP="004C3837">
            <w:pPr>
              <w:keepNext/>
              <w:rPr>
                <w:rFonts w:ascii="Aptos" w:hAnsi="Aptos" w:cs="Times New Roman"/>
                <w:b/>
                <w:bCs/>
                <w:color w:val="000000"/>
                <w:sz w:val="20"/>
                <w:szCs w:val="20"/>
              </w:rPr>
            </w:pPr>
            <w:hyperlink r:id="rId115" w:anchor="map-2-3" w:history="1">
              <w:r w:rsidRPr="00963E47">
                <w:rPr>
                  <w:rFonts w:ascii="Aptos" w:hAnsi="Aptos" w:cs="Times New Roman"/>
                  <w:color w:val="000000"/>
                  <w:sz w:val="20"/>
                  <w:szCs w:val="20"/>
                  <w:u w:val="single"/>
                </w:rPr>
                <w:t>Link to NIST AI RMF Playbook</w:t>
              </w:r>
            </w:hyperlink>
          </w:p>
        </w:tc>
      </w:tr>
    </w:tbl>
    <w:p w14:paraId="5565E71D"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1602278"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201734C1"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0B536C85" w14:textId="77777777" w:rsidTr="005C00A5">
        <w:trPr>
          <w:tblHeader/>
        </w:trPr>
        <w:tc>
          <w:tcPr>
            <w:tcW w:w="2160" w:type="dxa"/>
            <w:shd w:val="clear" w:color="auto" w:fill="CCDCDC"/>
            <w:vAlign w:val="center"/>
          </w:tcPr>
          <w:p w14:paraId="354F9DD1"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4A661C43"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4A571F2A"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5CFFFCE1" w14:textId="77777777" w:rsidTr="005C00A5">
        <w:tc>
          <w:tcPr>
            <w:tcW w:w="2160" w:type="dxa"/>
            <w:shd w:val="clear" w:color="auto" w:fill="CCDCDC"/>
          </w:tcPr>
          <w:p w14:paraId="1A76F12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600D250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353480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4906EAA0" w14:textId="77777777" w:rsidTr="005C00A5">
        <w:tc>
          <w:tcPr>
            <w:tcW w:w="2160" w:type="dxa"/>
            <w:shd w:val="clear" w:color="auto" w:fill="CCDCDC"/>
          </w:tcPr>
          <w:p w14:paraId="63951BC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6A578B8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B911CB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DD41077" w14:textId="77777777" w:rsidTr="005C00A5">
        <w:tc>
          <w:tcPr>
            <w:tcW w:w="2160" w:type="dxa"/>
            <w:shd w:val="clear" w:color="auto" w:fill="CCDCDC"/>
          </w:tcPr>
          <w:p w14:paraId="2963CFA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7522C14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515D27F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as AI systems become more complex and context-dependent, organizations begin identifying appropriate experimental design and statistical techniques for testing that account for human factors, emergent properties, and dynamic use contexts.</w:t>
            </w:r>
          </w:p>
        </w:tc>
      </w:tr>
      <w:tr w:rsidR="00963E47" w:rsidRPr="00963E47" w14:paraId="7E240D7E" w14:textId="77777777" w:rsidTr="005C00A5">
        <w:tc>
          <w:tcPr>
            <w:tcW w:w="2160" w:type="dxa"/>
            <w:shd w:val="clear" w:color="auto" w:fill="CCDCDC"/>
          </w:tcPr>
          <w:p w14:paraId="4B88933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5184E46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23BE09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fully integrate experimental design and statistical techniques into their testing frameworks, routinely applying them to ensure responsible AI development aligned with AI Trustworthy Principles.</w:t>
            </w:r>
          </w:p>
        </w:tc>
      </w:tr>
    </w:tbl>
    <w:p w14:paraId="482698BA"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18E67DEF" w14:textId="77777777" w:rsidTr="005C00A5">
        <w:tc>
          <w:tcPr>
            <w:tcW w:w="2250" w:type="dxa"/>
          </w:tcPr>
          <w:p w14:paraId="0BBDFE7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12D7445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6764964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782BEAA3" w14:textId="77777777" w:rsidTr="005C00A5">
        <w:tc>
          <w:tcPr>
            <w:tcW w:w="2250" w:type="dxa"/>
          </w:tcPr>
          <w:p w14:paraId="5D7A06A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Valid &amp; Reliable</w:t>
            </w:r>
          </w:p>
        </w:tc>
        <w:tc>
          <w:tcPr>
            <w:tcW w:w="2520" w:type="dxa"/>
          </w:tcPr>
          <w:p w14:paraId="2D5D08E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Unevidenced Statistical Techniques</w:t>
            </w:r>
          </w:p>
        </w:tc>
        <w:tc>
          <w:tcPr>
            <w:tcW w:w="5300" w:type="dxa"/>
          </w:tcPr>
          <w:p w14:paraId="652C866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Valid experimental design and statistical techniques are unevidenced</w:t>
            </w:r>
          </w:p>
        </w:tc>
      </w:tr>
    </w:tbl>
    <w:p w14:paraId="47D5604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FDB87B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03F358D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9A421A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Identify valid experimental design and statistical techniques for testing complex AI systems, considering human factors, emergent risks, and the dynamic contexts of use. Engage relevant stakeholders, such as data scientists, human factors experts, and domain experts to gather input on the appropriate techniques and considerations for testing these systems. </w:t>
      </w:r>
    </w:p>
    <w:p w14:paraId="18AAB1B9"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6770BB5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 standardized framework for documenting experimental design and statistical techniques, including specific methods, assumptions, and limitations of each approach. Ensure that the framework addresses the unique challenges associated with testing AI systems, such as the potential for emergent behaviors, the impact of human factors, and the dynamic nature of real-world contexts.</w:t>
      </w:r>
    </w:p>
    <w:p w14:paraId="6ACF7D66"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50AA3D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Review and update the framework as needed to maintain its accuracy and relevance and communicate changes to relevant stakeholders.</w:t>
      </w:r>
    </w:p>
    <w:p w14:paraId="743D788D"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546B18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lastRenderedPageBreak/>
        <w:t xml:space="preserve">Example Controls and Evidence: </w:t>
      </w:r>
    </w:p>
    <w:p w14:paraId="34168A0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FB8EDC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Methodology Guidance for Complex AI Testing</w:t>
      </w:r>
    </w:p>
    <w:p w14:paraId="5485D11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and document a set of validated experimental design and statistical methods tailored to the evaluation of complex AI systems, incorporating human factors and contextual variability.</w:t>
      </w:r>
    </w:p>
    <w:p w14:paraId="2CB3403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3B438A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Guidelines or standards referencing experimental designs suitable for AI testing (e.g., factorial designs, A/B testing, adaptive experiments).</w:t>
      </w:r>
    </w:p>
    <w:p w14:paraId="63EF40D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Reference materials on statistical techniques for handling high-dimensional data, emergent behaviors, and adaptive systems.</w:t>
      </w:r>
    </w:p>
    <w:p w14:paraId="6C97DCB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manuals outlining recommended methodologies.</w:t>
      </w:r>
    </w:p>
    <w:p w14:paraId="18FB131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Expert review and endorsement records.</w:t>
      </w:r>
    </w:p>
    <w:p w14:paraId="73179B8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BB6DC9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Identification of Human Factors and Contextual Variables</w:t>
      </w:r>
    </w:p>
    <w:p w14:paraId="6139769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Identify and document relevant human factors, environment conditions, and contextual variables influencing AI performance and risks, to be incorporated into testing designs.</w:t>
      </w:r>
    </w:p>
    <w:p w14:paraId="7486F0F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7D8295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Human factors analysis reports detailing user variables, cognitive load, or interaction patterns.</w:t>
      </w:r>
    </w:p>
    <w:p w14:paraId="3AB6221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Environmental and contextual mapping documents.</w:t>
      </w:r>
    </w:p>
    <w:p w14:paraId="78472E4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collection scripts capturing environmental variables during testing.</w:t>
      </w:r>
    </w:p>
    <w:p w14:paraId="5DC6B2F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assessments modeling emergent behaviors influenced by human/system interactions.</w:t>
      </w:r>
    </w:p>
    <w:p w14:paraId="2ACD1DB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9FA3A8B"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Customization of Experimental Design to Emergent Risks and Use Variability</w:t>
      </w:r>
    </w:p>
    <w:p w14:paraId="2FA4B56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Adapt experimental and statistical approaches to test for emergent behaviors, such as unanticipated interactions, data drift, or feedback loops, within varying user environments.</w:t>
      </w:r>
    </w:p>
    <w:p w14:paraId="5CCFC7C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A30AA5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Adaptive experimental designs with criteria for detecting emergent risks.</w:t>
      </w:r>
    </w:p>
    <w:p w14:paraId="28046FA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Simulation scenarios reflecting real-world variability and stakeholder behaviors.</w:t>
      </w:r>
    </w:p>
    <w:p w14:paraId="4D3D1B0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Sensitivity and robustness analysis reports.</w:t>
      </w:r>
    </w:p>
    <w:p w14:paraId="3C43044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plans monitoring for unanticipated outcomes.</w:t>
      </w:r>
    </w:p>
    <w:p w14:paraId="72081A1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BDDDFB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Validation and Peer Review of Testing Techniques</w:t>
      </w:r>
    </w:p>
    <w:p w14:paraId="49DB3C2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Validate experimental methods through peer review, empirical validation, or benchmarking to ensure appropriateness for complex AI systems.</w:t>
      </w:r>
    </w:p>
    <w:p w14:paraId="7AA070F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81BE0F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Peer review reports or external expert validation summaries.</w:t>
      </w:r>
    </w:p>
    <w:p w14:paraId="609361F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Benchmarking studies comparing techniques across similar systems.</w:t>
      </w:r>
    </w:p>
    <w:p w14:paraId="1121232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field validation exercises.</w:t>
      </w:r>
    </w:p>
    <w:p w14:paraId="3F4E8FB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Calibration and tuning logs demonstrating method reliability.</w:t>
      </w:r>
    </w:p>
    <w:p w14:paraId="43ED608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49D52E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Improvement of Testing Methodologies</w:t>
      </w:r>
    </w:p>
    <w:p w14:paraId="2282D17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update testing approaches based on new insights, emerging risks, technological advances, and lessons learned from deployments.</w:t>
      </w:r>
    </w:p>
    <w:p w14:paraId="0FAAC91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5F1C27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reports and update logs.</w:t>
      </w:r>
    </w:p>
    <w:p w14:paraId="46BEF94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documentation incorporating new scenarios or risks.</w:t>
      </w:r>
    </w:p>
    <w:p w14:paraId="276EA1D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testing teams and operational performance data.</w:t>
      </w:r>
    </w:p>
    <w:p w14:paraId="5A42942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Revision notices reflecting methodological enhancements.</w:t>
      </w:r>
    </w:p>
    <w:p w14:paraId="473ABC71"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335C02D5"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6BE57FA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5E5F983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2CB56D4A" w14:textId="77777777" w:rsidTr="005C00A5">
        <w:tc>
          <w:tcPr>
            <w:tcW w:w="1170" w:type="dxa"/>
          </w:tcPr>
          <w:p w14:paraId="1460433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4BFE58E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77A5BFA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3A4551D0" w14:textId="77777777" w:rsidTr="005C00A5">
        <w:tc>
          <w:tcPr>
            <w:tcW w:w="1170" w:type="dxa"/>
          </w:tcPr>
          <w:p w14:paraId="472E75A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MP-2.3.4</w:t>
            </w:r>
          </w:p>
        </w:tc>
        <w:tc>
          <w:tcPr>
            <w:tcW w:w="2160" w:type="dxa"/>
          </w:tcPr>
          <w:p w14:paraId="5C63F28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Validation Metrics and Rationale</w:t>
            </w:r>
          </w:p>
        </w:tc>
        <w:tc>
          <w:tcPr>
            <w:tcW w:w="6740" w:type="dxa"/>
          </w:tcPr>
          <w:p w14:paraId="015C696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demonstrates that AI system performance and validation metrics are interpretable, unambiguous, and relevant to the context of use, with the rationale for their selection clearly documented.</w:t>
            </w:r>
          </w:p>
          <w:p w14:paraId="51457DDF" w14:textId="77777777" w:rsidR="00963E47" w:rsidRPr="00963E47" w:rsidRDefault="00963E47" w:rsidP="004C3837">
            <w:pPr>
              <w:keepNext/>
              <w:rPr>
                <w:rFonts w:ascii="Aptos" w:hAnsi="Aptos" w:cs="Times New Roman"/>
                <w:b/>
                <w:bCs/>
                <w:color w:val="000000"/>
                <w:sz w:val="20"/>
                <w:szCs w:val="20"/>
              </w:rPr>
            </w:pPr>
          </w:p>
          <w:p w14:paraId="71FAB6D7" w14:textId="77777777" w:rsidR="00963E47" w:rsidRPr="00963E47" w:rsidRDefault="00963E47" w:rsidP="004C3837">
            <w:pPr>
              <w:keepNext/>
              <w:rPr>
                <w:rFonts w:ascii="Aptos" w:hAnsi="Aptos" w:cs="Times New Roman"/>
                <w:b/>
                <w:bCs/>
                <w:color w:val="000000"/>
                <w:sz w:val="20"/>
                <w:szCs w:val="20"/>
              </w:rPr>
            </w:pPr>
            <w:hyperlink r:id="rId116" w:anchor="map-2-3" w:history="1">
              <w:r w:rsidRPr="00963E47">
                <w:rPr>
                  <w:rFonts w:ascii="Aptos" w:hAnsi="Aptos" w:cs="Times New Roman"/>
                  <w:color w:val="000000"/>
                  <w:sz w:val="20"/>
                  <w:szCs w:val="20"/>
                  <w:u w:val="single"/>
                </w:rPr>
                <w:t>Link to NIST AI RMF Playbook</w:t>
              </w:r>
            </w:hyperlink>
          </w:p>
        </w:tc>
      </w:tr>
    </w:tbl>
    <w:p w14:paraId="10606E35"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E70B255"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247640DF"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392ADBA8" w14:textId="77777777" w:rsidTr="005C00A5">
        <w:trPr>
          <w:tblHeader/>
        </w:trPr>
        <w:tc>
          <w:tcPr>
            <w:tcW w:w="2160" w:type="dxa"/>
            <w:shd w:val="clear" w:color="auto" w:fill="CCDCDC"/>
            <w:vAlign w:val="center"/>
          </w:tcPr>
          <w:p w14:paraId="67A36441"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024A0921"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6D4CDF99"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103AB1FE" w14:textId="77777777" w:rsidTr="005C00A5">
        <w:tc>
          <w:tcPr>
            <w:tcW w:w="2160" w:type="dxa"/>
            <w:shd w:val="clear" w:color="auto" w:fill="CCDCDC"/>
          </w:tcPr>
          <w:p w14:paraId="3C399C2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0928D2D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E2C9AC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78E073D" w14:textId="77777777" w:rsidTr="005C00A5">
        <w:tc>
          <w:tcPr>
            <w:tcW w:w="2160" w:type="dxa"/>
            <w:shd w:val="clear" w:color="auto" w:fill="CCDCDC"/>
          </w:tcPr>
          <w:p w14:paraId="36CB0DC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26DB6C9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AE1E7F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685687F9" w14:textId="77777777" w:rsidTr="005C00A5">
        <w:tc>
          <w:tcPr>
            <w:tcW w:w="2160" w:type="dxa"/>
            <w:shd w:val="clear" w:color="auto" w:fill="CCDCDC"/>
          </w:tcPr>
          <w:p w14:paraId="7EB894A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0A2D028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BC5A4F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begin selecting and documenting interpretable, unambiguous, context-relevant AI system performance and validation metrics, providing rationale for their choices. They expand and refine the rationale for metric selection, ensuring clarity and contextual appropriateness as systems mature.</w:t>
            </w:r>
          </w:p>
        </w:tc>
      </w:tr>
      <w:tr w:rsidR="00963E47" w:rsidRPr="00963E47" w14:paraId="064CF0B5" w14:textId="77777777" w:rsidTr="005C00A5">
        <w:tc>
          <w:tcPr>
            <w:tcW w:w="2160" w:type="dxa"/>
            <w:shd w:val="clear" w:color="auto" w:fill="CCDCDC"/>
          </w:tcPr>
          <w:p w14:paraId="5AAB393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75BDEF8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29C03D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routinely document and justify their metrics, integrating them into ongoing monitoring and validation processes to support responsible AI governance aligned with AI Trustworthy Principles.</w:t>
            </w:r>
          </w:p>
        </w:tc>
      </w:tr>
    </w:tbl>
    <w:p w14:paraId="50BB04CD"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5F60599D" w14:textId="77777777" w:rsidTr="005C00A5">
        <w:tc>
          <w:tcPr>
            <w:tcW w:w="2250" w:type="dxa"/>
          </w:tcPr>
          <w:p w14:paraId="31B41D6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65D854E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373DF80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42836E49" w14:textId="77777777" w:rsidTr="005C00A5">
        <w:tc>
          <w:tcPr>
            <w:tcW w:w="2250" w:type="dxa"/>
          </w:tcPr>
          <w:p w14:paraId="0E5AC3A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Explainable &amp; Interpretable</w:t>
            </w:r>
          </w:p>
        </w:tc>
        <w:tc>
          <w:tcPr>
            <w:tcW w:w="2520" w:type="dxa"/>
          </w:tcPr>
          <w:p w14:paraId="4B110C4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Lack of Appropriate or Interpretable Metrics</w:t>
            </w:r>
          </w:p>
        </w:tc>
        <w:tc>
          <w:tcPr>
            <w:tcW w:w="5300" w:type="dxa"/>
          </w:tcPr>
          <w:p w14:paraId="680FD5A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system performance and validation metrics lack interpretability and relevance</w:t>
            </w:r>
          </w:p>
        </w:tc>
      </w:tr>
    </w:tbl>
    <w:p w14:paraId="472AB67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CA6EC2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3ABEE78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8C582A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Demonstrate that AI system performance and validation metrics are interpretable, unambiguous, and relevant to the context of use, ensuring the rationale for their selection is clearly documented. Engage relevant stakeholders, such as data scientists, domain experts, and end-users to gather input on the appropriate metrics and criteria for evaluating AI system performance and validity. </w:t>
      </w:r>
    </w:p>
    <w:p w14:paraId="5C315119"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6B011A8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 standardized framework for documenting performance and validation metrics in model documentation templates, including the specific definitions, calculations, and interpretations of each metric, as well as the rationale for their selection. Ensure these metrics align with the organization's overall goals and objectives for the AI system and are easily understandable and actionable for relevant stakeholders.</w:t>
      </w:r>
    </w:p>
    <w:p w14:paraId="24637CD8"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17B92F2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Review and update the metrics as needed to maintain their accuracy and relevance and communicate changes to relevant stakeholders.</w:t>
      </w:r>
    </w:p>
    <w:p w14:paraId="3653C0D8"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619DCB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6935EFF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5439E2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Establishment of Metric Selection Criteria</w:t>
      </w:r>
    </w:p>
    <w:p w14:paraId="1E16828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and document explicit criteria for selecting performance and validation metrics to ensure they are interpretable, context-relevant, and unambiguous.</w:t>
      </w:r>
    </w:p>
    <w:p w14:paraId="609A386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1772AC9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Criteria checklists outlining interpretability, relevance, and clarity factors.</w:t>
      </w:r>
    </w:p>
    <w:p w14:paraId="25533F1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Policy documents specifying metric selection procedures aligned with system use cases.</w:t>
      </w:r>
    </w:p>
    <w:p w14:paraId="05A9593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Decision trees guiding metric choice based on system purpose and stakeholder needs.</w:t>
      </w:r>
    </w:p>
    <w:p w14:paraId="4CCF408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guidelines with rationales for selected metrics.</w:t>
      </w:r>
    </w:p>
    <w:p w14:paraId="45EA8C4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2152DF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Metrics and Rationale</w:t>
      </w:r>
    </w:p>
    <w:p w14:paraId="1191BF0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 each chosen metric’s definition, interpretation, and relevance, along with an explanation of why it was selected given the system’s intended use and context.</w:t>
      </w:r>
    </w:p>
    <w:p w14:paraId="1F59C53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1EF6A6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Metric definitions with annotations on interpretability and applicability.</w:t>
      </w:r>
    </w:p>
    <w:p w14:paraId="68D1DDB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Technical reports linking metrics to user needs, safety, fairness, or efficiency.</w:t>
      </w:r>
    </w:p>
    <w:p w14:paraId="563294D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Rationales attached to metric selection decisions, including trade-offs considered.</w:t>
      </w:r>
    </w:p>
    <w:p w14:paraId="6D849EC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Traceability matrices connecting metrics to requirements and evaluation criteria.</w:t>
      </w:r>
    </w:p>
    <w:p w14:paraId="13CCD5C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431C28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Validation of Metric Effectiveness and Relevance</w:t>
      </w:r>
    </w:p>
    <w:p w14:paraId="73FFA3D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Validate that the metrics effectively measure the intended aspects and are relevant to the specific context through stakeholder review, empirical testing, or benchmarking.</w:t>
      </w:r>
    </w:p>
    <w:p w14:paraId="313CFB7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B88036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review panels endorsing metric relevance.</w:t>
      </w:r>
    </w:p>
    <w:p w14:paraId="7BF6A9C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Empirical analysis or benchmarking studies demonstrating interpretability and discriminative power.</w:t>
      </w:r>
    </w:p>
    <w:p w14:paraId="40DD308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summaries from end-users and domain experts.</w:t>
      </w:r>
    </w:p>
    <w:p w14:paraId="009CA70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Validation reports showing correlation with real-world outcomes.</w:t>
      </w:r>
    </w:p>
    <w:p w14:paraId="14BFAF0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8AA54F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Transparency in Communication of Metrics and Rationale</w:t>
      </w:r>
    </w:p>
    <w:p w14:paraId="598A80A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Communicate metric definitions and selection rationales clearly to stakeholders, including end-users, regulators, and oversight bodies.</w:t>
      </w:r>
    </w:p>
    <w:p w14:paraId="31756A1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074663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Public disclosures or reports explaining key metrics and their rationale.</w:t>
      </w:r>
    </w:p>
    <w:p w14:paraId="0C827F7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materials and documentation provided to evaluators and users.</w:t>
      </w:r>
    </w:p>
    <w:p w14:paraId="055FA04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FAQs answering common questions about evaluation metrics.</w:t>
      </w:r>
    </w:p>
    <w:p w14:paraId="4095097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from stakeholder briefings.</w:t>
      </w:r>
    </w:p>
    <w:p w14:paraId="3099F75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DB358A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Review and Refinement of Metrics</w:t>
      </w:r>
    </w:p>
    <w:p w14:paraId="045C6BB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review and update metrics and their rationales based on new insights, changing system contexts, and user feedback to maintain relevance and clarity.</w:t>
      </w:r>
    </w:p>
    <w:p w14:paraId="689D00A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A2FEBB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with documented outcomes.</w:t>
      </w:r>
    </w:p>
    <w:p w14:paraId="4B721FB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definitions and rationales reflecting lessons learned or evolving best practices.</w:t>
      </w:r>
    </w:p>
    <w:p w14:paraId="7437D30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logs from evaluators and end-users.</w:t>
      </w:r>
    </w:p>
    <w:p w14:paraId="1CA8613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Revision records demonstrating systematic updates.</w:t>
      </w:r>
    </w:p>
    <w:p w14:paraId="02A5ECD3"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327B0177"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33F40F8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3504314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6AA98584" w14:textId="77777777" w:rsidTr="005C00A5">
        <w:tc>
          <w:tcPr>
            <w:tcW w:w="1170" w:type="dxa"/>
          </w:tcPr>
          <w:p w14:paraId="7CE2D04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245CEDB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1C1848B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5A22B83F" w14:textId="77777777" w:rsidTr="005C00A5">
        <w:tc>
          <w:tcPr>
            <w:tcW w:w="1170" w:type="dxa"/>
          </w:tcPr>
          <w:p w14:paraId="0474034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MP-2.3.5</w:t>
            </w:r>
          </w:p>
        </w:tc>
        <w:tc>
          <w:tcPr>
            <w:tcW w:w="2160" w:type="dxa"/>
          </w:tcPr>
          <w:p w14:paraId="71AE8AF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Design and Deployment Validation Feedback</w:t>
            </w:r>
          </w:p>
        </w:tc>
        <w:tc>
          <w:tcPr>
            <w:tcW w:w="6740" w:type="dxa"/>
          </w:tcPr>
          <w:p w14:paraId="50160D3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establishes regular communication and feedback mechanisms among relevant AI stakeholders to validate design and deployment assumptions, which informs the development of TEVV approaches for detecting and assessing potential harmful impacts.</w:t>
            </w:r>
          </w:p>
          <w:p w14:paraId="79057E3F" w14:textId="77777777" w:rsidR="00963E47" w:rsidRPr="00963E47" w:rsidRDefault="00963E47" w:rsidP="004C3837">
            <w:pPr>
              <w:keepNext/>
              <w:rPr>
                <w:rFonts w:ascii="Aptos" w:hAnsi="Aptos" w:cs="Times New Roman"/>
                <w:b/>
                <w:bCs/>
                <w:color w:val="000000"/>
                <w:sz w:val="20"/>
                <w:szCs w:val="20"/>
              </w:rPr>
            </w:pPr>
          </w:p>
          <w:p w14:paraId="62C9287A" w14:textId="77777777" w:rsidR="00963E47" w:rsidRPr="00963E47" w:rsidRDefault="00963E47" w:rsidP="004C3837">
            <w:pPr>
              <w:keepNext/>
              <w:rPr>
                <w:rFonts w:ascii="Aptos" w:hAnsi="Aptos" w:cs="Times New Roman"/>
                <w:b/>
                <w:bCs/>
                <w:color w:val="000000"/>
                <w:sz w:val="20"/>
                <w:szCs w:val="20"/>
              </w:rPr>
            </w:pPr>
            <w:hyperlink r:id="rId117" w:anchor="map-2-3" w:history="1">
              <w:r w:rsidRPr="00963E47">
                <w:rPr>
                  <w:rFonts w:ascii="Aptos" w:hAnsi="Aptos" w:cs="Times New Roman"/>
                  <w:color w:val="000000"/>
                  <w:sz w:val="20"/>
                  <w:szCs w:val="20"/>
                  <w:u w:val="single"/>
                </w:rPr>
                <w:t>Link to NIST AI RMF Playbook</w:t>
              </w:r>
            </w:hyperlink>
          </w:p>
        </w:tc>
      </w:tr>
    </w:tbl>
    <w:p w14:paraId="01032042"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FF92F82"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45A07C86"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3236068B" w14:textId="77777777" w:rsidTr="005C00A5">
        <w:trPr>
          <w:tblHeader/>
        </w:trPr>
        <w:tc>
          <w:tcPr>
            <w:tcW w:w="2160" w:type="dxa"/>
            <w:shd w:val="clear" w:color="auto" w:fill="CCDCDC"/>
            <w:vAlign w:val="center"/>
          </w:tcPr>
          <w:p w14:paraId="38D5EE15"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021B6776"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705CC672"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66F32288" w14:textId="77777777" w:rsidTr="005C00A5">
        <w:tc>
          <w:tcPr>
            <w:tcW w:w="2160" w:type="dxa"/>
            <w:shd w:val="clear" w:color="auto" w:fill="CCDCDC"/>
          </w:tcPr>
          <w:p w14:paraId="5DA5C81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3BFA83D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4A05BE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E016938" w14:textId="77777777" w:rsidTr="005C00A5">
        <w:tc>
          <w:tcPr>
            <w:tcW w:w="2160" w:type="dxa"/>
            <w:shd w:val="clear" w:color="auto" w:fill="CCDCDC"/>
          </w:tcPr>
          <w:p w14:paraId="1880A54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1A5187E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4D6C2F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6E6BD402" w14:textId="77777777" w:rsidTr="005C00A5">
        <w:tc>
          <w:tcPr>
            <w:tcW w:w="2160" w:type="dxa"/>
            <w:shd w:val="clear" w:color="auto" w:fill="CCDCDC"/>
          </w:tcPr>
          <w:p w14:paraId="172E891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6F4E526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ABB4C5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begin establishing regular communication and feedback channels among AI stakeholders to validate assumptions and inform the development of impact-focused TEVV approaches.</w:t>
            </w:r>
          </w:p>
        </w:tc>
      </w:tr>
      <w:tr w:rsidR="00963E47" w:rsidRPr="00963E47" w14:paraId="64773049" w14:textId="77777777" w:rsidTr="005C00A5">
        <w:tc>
          <w:tcPr>
            <w:tcW w:w="2160" w:type="dxa"/>
            <w:shd w:val="clear" w:color="auto" w:fill="CCDCDC"/>
          </w:tcPr>
          <w:p w14:paraId="39B131F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5DD761B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ACBB8A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fully embed these mechanisms into their lifecycle processes, regularly using stakeholder feedback to refine TEVV approaches for detecting and managing potential harms, supporting responsible AI deployment aligned with AI Trustworthy Principles.</w:t>
            </w:r>
          </w:p>
        </w:tc>
      </w:tr>
    </w:tbl>
    <w:p w14:paraId="4B845003"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0FD61973" w14:textId="77777777" w:rsidTr="005C00A5">
        <w:tc>
          <w:tcPr>
            <w:tcW w:w="2250" w:type="dxa"/>
          </w:tcPr>
          <w:p w14:paraId="2DFE67B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13DDD58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4054C9F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6C4C83DB" w14:textId="77777777" w:rsidTr="005C00A5">
        <w:tc>
          <w:tcPr>
            <w:tcW w:w="2250" w:type="dxa"/>
          </w:tcPr>
          <w:p w14:paraId="239B142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Explainable &amp; Interpretable</w:t>
            </w:r>
          </w:p>
        </w:tc>
        <w:tc>
          <w:tcPr>
            <w:tcW w:w="2520" w:type="dxa"/>
          </w:tcPr>
          <w:p w14:paraId="0F6067D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Insufficient Feedback Mechanisms</w:t>
            </w:r>
          </w:p>
        </w:tc>
        <w:tc>
          <w:tcPr>
            <w:tcW w:w="5300" w:type="dxa"/>
          </w:tcPr>
          <w:p w14:paraId="007D91B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Feedback mechanisms among AI stakeholders are insufficient or undocumented</w:t>
            </w:r>
          </w:p>
        </w:tc>
      </w:tr>
    </w:tbl>
    <w:p w14:paraId="4E6B48F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4DC14F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0A1CEF4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314E67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Establish regular communication and feedback mechanisms among relevant AI stakeholders to validate design and deployment assumptions and inform the development of TEVV approaches for detecting and assessing potential harmful impacts. Engage relevant stakeholders, such as data scientists, system architects, and end-users to gather input on the appropriate communication and feedback channels for each stage of the AI lifecycle. </w:t>
      </w:r>
    </w:p>
    <w:p w14:paraId="23DB25E0"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2948BB6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 standardized framework for documenting and tracking communication, including the specific methods, frequency, and participants involved. Ensure these mechanisms facilitate open and honest dialogue among relevant stakeholders and are used regularly to validate and update assumptions and approaches related to TEVV and impact assessment.</w:t>
      </w:r>
    </w:p>
    <w:p w14:paraId="6649F44C"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E2DE2F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Use the insights gained from these communication and feedback mechanisms to inform ongoing improvements to the AI system's design, development, and deployment.</w:t>
      </w:r>
    </w:p>
    <w:p w14:paraId="016847DE"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899BCF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lastRenderedPageBreak/>
        <w:t xml:space="preserve">Example Controls and Evidence: </w:t>
      </w:r>
    </w:p>
    <w:p w14:paraId="5CF3BEE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DEF817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Formal Communication and Feedback Framework</w:t>
      </w:r>
    </w:p>
    <w:p w14:paraId="384696C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and document structured channels and schedules for ongoing dialogue with AI Stakeholders—such as end-users, subject matter experts, impacted communities—to validate assumptions and gather insights.</w:t>
      </w:r>
    </w:p>
    <w:p w14:paraId="07136DB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F64F76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Communication plans outlining frequency, methods, and stakeholder roles.</w:t>
      </w:r>
    </w:p>
    <w:p w14:paraId="2F72D4F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agendas, discussion logs, and feedback forms from stakeholder engagement sessions.</w:t>
      </w:r>
    </w:p>
    <w:p w14:paraId="6360352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Online portals, surveys, or community forums used for continuous feedback.</w:t>
      </w:r>
    </w:p>
    <w:p w14:paraId="7CE4394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feedback incorporated into risk assessments and design reviews.</w:t>
      </w:r>
    </w:p>
    <w:p w14:paraId="5A76AC1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5B4D0E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of Feedback into TEVV Development</w:t>
      </w:r>
    </w:p>
    <w:p w14:paraId="54BE68D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stakeholder feedback to refine TEVV strategies, including selecting testing scenarios, risk indicators, and impact assessment criteria aimed at harmful effects.</w:t>
      </w:r>
    </w:p>
    <w:p w14:paraId="27C8A17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6E68C1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 scenarios and criteria directly derived from stakeholder input.</w:t>
      </w:r>
    </w:p>
    <w:p w14:paraId="6599745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showing adjustments in TEVV approaches based on feedback.</w:t>
      </w:r>
    </w:p>
    <w:p w14:paraId="4B10547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assessment updates incorporating new insights about potential harms.</w:t>
      </w:r>
    </w:p>
    <w:p w14:paraId="4C84470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Traceability matrices linking feedback to TEVV modifications.</w:t>
      </w:r>
    </w:p>
    <w:p w14:paraId="09A6629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F20FC6B"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Validation of Assumptions and Impact Assessments</w:t>
      </w:r>
    </w:p>
    <w:p w14:paraId="3F806C3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validations of design and deployment assumptions through stakeholder inputs and real-world data, ensuring TEVV methods effectively detect and evaluate harmful impacts.</w:t>
      </w:r>
    </w:p>
    <w:p w14:paraId="3CC5320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41E316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Validation reports analyzing stakeholder concerns and real-world test results.</w:t>
      </w:r>
    </w:p>
    <w:p w14:paraId="45593E7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Comparative studies showing alignment between assumptions and observed impacts.</w:t>
      </w:r>
    </w:p>
    <w:p w14:paraId="0BBE282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analyses and post-deployment reviews incorporating stakeholder insights.</w:t>
      </w:r>
    </w:p>
    <w:p w14:paraId="19185B7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updates to TEVV protocols based on validation findings.</w:t>
      </w:r>
    </w:p>
    <w:p w14:paraId="56795CD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8EA721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Feedback Loop and Monitoring</w:t>
      </w:r>
    </w:p>
    <w:p w14:paraId="25272CE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ongoing monitoring of stakeholder feedback and system performance to identify emerging risks or harmful impacts, adjusting TEVV practices proactively.</w:t>
      </w:r>
    </w:p>
    <w:p w14:paraId="6AF35AC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4EDBC7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dashboards tracking issues and concerns over time.</w:t>
      </w:r>
    </w:p>
    <w:p w14:paraId="7F62E72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and harm reports linked to stakeholder inputs.</w:t>
      </w:r>
    </w:p>
    <w:p w14:paraId="104BCF6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Regular review meetings and action plans addressing new risks.</w:t>
      </w:r>
    </w:p>
    <w:p w14:paraId="475FF69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showing iterations in TEVV based on feedback trends.</w:t>
      </w:r>
    </w:p>
    <w:p w14:paraId="4783A85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0DEE9C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Transparent Communication of Findings and Adjustments</w:t>
      </w:r>
    </w:p>
    <w:p w14:paraId="22BA4F2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Communicate TEVV findings, risk mitigations, and assumption validations back to stakeholders, demonstrating responsiveness and fostering trust.</w:t>
      </w:r>
    </w:p>
    <w:p w14:paraId="607B744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B29350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Public reports, newsletters, or community briefings sharing impact assessment outcomes.</w:t>
      </w:r>
    </w:p>
    <w:p w14:paraId="76E3B72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updates detailing how feedback influenced system refinement.</w:t>
      </w:r>
    </w:p>
    <w:p w14:paraId="18F5AE1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and correspondence documenting feedback acknowledgment.</w:t>
      </w:r>
    </w:p>
    <w:p w14:paraId="2424128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Metrics indicating stakeholder satisfaction with communication transparency.</w:t>
      </w:r>
    </w:p>
    <w:p w14:paraId="16E88A89"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72175F0A"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05A6087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4D9F33D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08CFE5B8" w14:textId="77777777" w:rsidTr="005C00A5">
        <w:tc>
          <w:tcPr>
            <w:tcW w:w="1170" w:type="dxa"/>
          </w:tcPr>
          <w:p w14:paraId="6F958A7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56ECCCC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5578729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4DADB003" w14:textId="77777777" w:rsidTr="005C00A5">
        <w:tc>
          <w:tcPr>
            <w:tcW w:w="1170" w:type="dxa"/>
          </w:tcPr>
          <w:p w14:paraId="2AAC6A6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MP-2.3.6</w:t>
            </w:r>
          </w:p>
        </w:tc>
        <w:tc>
          <w:tcPr>
            <w:tcW w:w="2160" w:type="dxa"/>
          </w:tcPr>
          <w:p w14:paraId="337BECB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Testing Limits and Constraints</w:t>
            </w:r>
          </w:p>
        </w:tc>
        <w:tc>
          <w:tcPr>
            <w:tcW w:w="6740" w:type="dxa"/>
          </w:tcPr>
          <w:p w14:paraId="3434A11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clearly defines and documents the limits of testing, including any claims about the system that are not falsifiable, and specifying what can and cannot be tested to maintain transparency regarding residual risks.</w:t>
            </w:r>
          </w:p>
          <w:p w14:paraId="6213BD53" w14:textId="77777777" w:rsidR="00963E47" w:rsidRPr="00963E47" w:rsidRDefault="00963E47" w:rsidP="004C3837">
            <w:pPr>
              <w:keepNext/>
              <w:rPr>
                <w:rFonts w:ascii="Aptos" w:hAnsi="Aptos" w:cs="Times New Roman"/>
                <w:b/>
                <w:bCs/>
                <w:color w:val="000000"/>
                <w:sz w:val="20"/>
                <w:szCs w:val="20"/>
              </w:rPr>
            </w:pPr>
          </w:p>
          <w:p w14:paraId="2A53032D" w14:textId="77777777" w:rsidR="00963E47" w:rsidRPr="00963E47" w:rsidRDefault="00963E47" w:rsidP="004C3837">
            <w:pPr>
              <w:keepNext/>
              <w:rPr>
                <w:rFonts w:ascii="Aptos" w:hAnsi="Aptos" w:cs="Times New Roman"/>
                <w:b/>
                <w:bCs/>
                <w:color w:val="000000"/>
                <w:sz w:val="20"/>
                <w:szCs w:val="20"/>
              </w:rPr>
            </w:pPr>
            <w:hyperlink r:id="rId118" w:anchor="map-2-3" w:history="1">
              <w:r w:rsidRPr="00963E47">
                <w:rPr>
                  <w:rFonts w:ascii="Aptos" w:hAnsi="Aptos" w:cs="Times New Roman"/>
                  <w:color w:val="000000"/>
                  <w:sz w:val="20"/>
                  <w:szCs w:val="20"/>
                  <w:u w:val="single"/>
                </w:rPr>
                <w:t>Link to NIST AI RMF Playbook</w:t>
              </w:r>
            </w:hyperlink>
          </w:p>
        </w:tc>
      </w:tr>
    </w:tbl>
    <w:p w14:paraId="1B4634B0"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F60165B"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544699C4"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57381AB3" w14:textId="77777777" w:rsidTr="005C00A5">
        <w:trPr>
          <w:tblHeader/>
        </w:trPr>
        <w:tc>
          <w:tcPr>
            <w:tcW w:w="2160" w:type="dxa"/>
            <w:shd w:val="clear" w:color="auto" w:fill="CCDCDC"/>
            <w:vAlign w:val="center"/>
          </w:tcPr>
          <w:p w14:paraId="3385E605"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32D62449"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5C3ACF85"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7A97A0B3" w14:textId="77777777" w:rsidTr="005C00A5">
        <w:tc>
          <w:tcPr>
            <w:tcW w:w="2160" w:type="dxa"/>
            <w:shd w:val="clear" w:color="auto" w:fill="CCDCDC"/>
          </w:tcPr>
          <w:p w14:paraId="1E6528C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29D96B4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4F448C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2C1DCB82" w14:textId="77777777" w:rsidTr="005C00A5">
        <w:tc>
          <w:tcPr>
            <w:tcW w:w="2160" w:type="dxa"/>
            <w:shd w:val="clear" w:color="auto" w:fill="CCDCDC"/>
          </w:tcPr>
          <w:p w14:paraId="25FCE0A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7143104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4D3602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68664035" w14:textId="77777777" w:rsidTr="005C00A5">
        <w:tc>
          <w:tcPr>
            <w:tcW w:w="2160" w:type="dxa"/>
            <w:shd w:val="clear" w:color="auto" w:fill="CCDCDC"/>
          </w:tcPr>
          <w:p w14:paraId="0E150B4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585F50F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5BB2760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begin clearly defining and documenting the boundaries of their AI system testing, identifying what is and is not tested to provide transparency about remaining risks. They expand these definitions to include claims that are not testable and clarify the scope of residual risks.</w:t>
            </w:r>
          </w:p>
        </w:tc>
      </w:tr>
      <w:tr w:rsidR="00963E47" w:rsidRPr="00963E47" w14:paraId="763209CB" w14:textId="77777777" w:rsidTr="005C00A5">
        <w:tc>
          <w:tcPr>
            <w:tcW w:w="2160" w:type="dxa"/>
            <w:shd w:val="clear" w:color="auto" w:fill="CCDCDC"/>
          </w:tcPr>
          <w:p w14:paraId="35BA196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3F6D70B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488FBD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routinely incorporate limitations into their testing and risk communication processes, ensuring ongoing transparency and responsible AI governance aligned with AI Trustworthy Principles.</w:t>
            </w:r>
          </w:p>
        </w:tc>
      </w:tr>
    </w:tbl>
    <w:p w14:paraId="78AEB4C4"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16EE7C34" w14:textId="77777777" w:rsidTr="005C00A5">
        <w:tc>
          <w:tcPr>
            <w:tcW w:w="2250" w:type="dxa"/>
          </w:tcPr>
          <w:p w14:paraId="6159C58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4BFABAE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6CE1365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19B24725" w14:textId="77777777" w:rsidTr="005C00A5">
        <w:tc>
          <w:tcPr>
            <w:tcW w:w="2250" w:type="dxa"/>
          </w:tcPr>
          <w:p w14:paraId="561F8D3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137944E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Undefined Testing Limits</w:t>
            </w:r>
          </w:p>
        </w:tc>
        <w:tc>
          <w:tcPr>
            <w:tcW w:w="5300" w:type="dxa"/>
          </w:tcPr>
          <w:p w14:paraId="2E554E8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Testing limits and unverifiable claims are undefined or undocumented</w:t>
            </w:r>
          </w:p>
        </w:tc>
      </w:tr>
    </w:tbl>
    <w:p w14:paraId="67600F7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B3E047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453E714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78D344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Clearly define and document the limits of testing for the AI system, specifying what can and cannot be tested to maintain transparency regarding residual risks. Engage relevant stakeholders, such as data scientists, system architects, and risk management professionals to gather input on the appropriate scope and limitations of testing. </w:t>
      </w:r>
    </w:p>
    <w:p w14:paraId="4F1B15BB"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D1D788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 standardized framework for documenting testing limits, including the specific types of tests that can and cannot be performed, the reasons for these limitations, and the potential risks and uncertainties that may remain. Ensure that this documentation is clear, concise, and easily understandable for relevant stakeholders.</w:t>
      </w:r>
    </w:p>
    <w:p w14:paraId="4EA5CBD4"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4989565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Review and update the documentation as needed to maintain accuracy and relevance. Communicate the testing limits to relevant stakeholders and provide necessary training and support to ensure that these limits are effectively understood and embedded in decision-making processes.</w:t>
      </w:r>
    </w:p>
    <w:p w14:paraId="34C2F92A"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6DD8FC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6CE0D49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848EA9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Testing Scope and Limitations Documentation</w:t>
      </w:r>
    </w:p>
    <w:p w14:paraId="705C8A2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Create comprehensive documentation that explicitly states the boundaries of testing activities, including non-falsifiable claims or aspects that cannot be tested reliably.</w:t>
      </w:r>
    </w:p>
    <w:p w14:paraId="292DF30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62D2531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Formal test scope documents outlining what is tested and what is excluded.</w:t>
      </w:r>
    </w:p>
    <w:p w14:paraId="39CADF5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Profiles of claims that are inherently non-falsifiable, with justifications.</w:t>
      </w:r>
    </w:p>
    <w:p w14:paraId="36E5FC3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Checklists defining test boundaries aligned with system capabilities and limitations.</w:t>
      </w:r>
    </w:p>
    <w:p w14:paraId="3009C95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documentation reflecting updates based on new insights.</w:t>
      </w:r>
    </w:p>
    <w:p w14:paraId="027EA02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ED371F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Definition of Falsifiable and Non-Falsifiable Claims</w:t>
      </w:r>
    </w:p>
    <w:p w14:paraId="20C8744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Explicitly classify claims about the AI system—such as safety, fairness, or accuracy—highlighting which are testable and which are not, with rationale provided.</w:t>
      </w:r>
    </w:p>
    <w:p w14:paraId="45221E0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8E63ED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Claims documentation with annotations indicating testability status.</w:t>
      </w:r>
    </w:p>
    <w:p w14:paraId="4405B19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Technical reports explaining why certain claims are non-falsifiable (e.g., subjective assessments).</w:t>
      </w:r>
    </w:p>
    <w:p w14:paraId="297A045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assessments discussing residual risks linked to untestable claims.</w:t>
      </w:r>
    </w:p>
    <w:p w14:paraId="4905FA7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communication explaining the scope of testing.</w:t>
      </w:r>
    </w:p>
    <w:p w14:paraId="056768A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B27717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Transparency and Communication of Testing Boundaries</w:t>
      </w:r>
    </w:p>
    <w:p w14:paraId="6338BA0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Clearly communicate testing limits and residual risks to relevant stakeholders—including developers, users, and regulators—to maintain trust.</w:t>
      </w:r>
    </w:p>
    <w:p w14:paraId="124633B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A3A55F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Transparency reports outlining tested and untested claims.</w:t>
      </w:r>
    </w:p>
    <w:p w14:paraId="1B00827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briefings and disclosures explaining scope limitations.</w:t>
      </w:r>
    </w:p>
    <w:p w14:paraId="7D9A606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FAQs or dashboards clarifying testing boundaries and residual risks.</w:t>
      </w:r>
    </w:p>
    <w:p w14:paraId="26723B3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accompanying system releases.</w:t>
      </w:r>
    </w:p>
    <w:p w14:paraId="0755C1E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FFCCBD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Ongoing Review and Adjustment of Test Boundaries</w:t>
      </w:r>
    </w:p>
    <w:p w14:paraId="2024691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Periodically review testing scope and claim classifications, updating them as systems evolve and new evidence or standards emerge.</w:t>
      </w:r>
    </w:p>
    <w:p w14:paraId="2FE098E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656D84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with revision logs.</w:t>
      </w:r>
    </w:p>
    <w:p w14:paraId="5CB4912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records discussing scope adjustments.</w:t>
      </w:r>
    </w:p>
    <w:p w14:paraId="16328D0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documentation reflecting changed boundaries.</w:t>
      </w:r>
    </w:p>
    <w:p w14:paraId="2C59B81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stakeholders informing scope refinement.</w:t>
      </w:r>
    </w:p>
    <w:p w14:paraId="08F7FCB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CA687F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Justifications and Residual Risks</w:t>
      </w:r>
    </w:p>
    <w:p w14:paraId="0BBBE5C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detailed records explaining why certain claims are not falsifiable and documenting residual risks, ensuring accountability and informing risk management.</w:t>
      </w:r>
    </w:p>
    <w:p w14:paraId="4269E5B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39E9E0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Rationale statements linked to claims documentation.</w:t>
      </w:r>
    </w:p>
    <w:p w14:paraId="2722739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Residual risk assessments connecting non-falsifiable claims with potential impacts.</w:t>
      </w:r>
    </w:p>
    <w:p w14:paraId="6FB99FC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trails showing review and approval of scope and claim boundaries.</w:t>
      </w:r>
    </w:p>
    <w:p w14:paraId="3F3478E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logs incorporating scope boundary insights over time.</w:t>
      </w:r>
    </w:p>
    <w:p w14:paraId="5B0F1274"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37" w:name="_Toc214874782"/>
      <w:r w:rsidRPr="00963E47">
        <w:rPr>
          <w:rFonts w:ascii="Aptos" w:eastAsia="Aptos" w:hAnsi="Aptos" w:cs="Times New Roman"/>
          <w:b/>
          <w:bCs/>
          <w:noProof/>
          <w:color w:val="35256B"/>
          <w:kern w:val="2"/>
          <w:sz w:val="24"/>
          <w14:ligatures w14:val="standardContextual"/>
        </w:rPr>
        <w:lastRenderedPageBreak/>
        <w:t>MAP / Understanding Costs and Benefits / Understanding Benefits</w:t>
      </w:r>
      <w:bookmarkEnd w:id="37"/>
      <w:r w:rsidRPr="00963E47">
        <w:rPr>
          <w:rFonts w:ascii="Aptos" w:eastAsia="Aptos" w:hAnsi="Aptos" w:cs="Times New Roman"/>
          <w:b/>
          <w:bCs/>
          <w:noProof/>
          <w:color w:val="35256B"/>
          <w:kern w:val="2"/>
          <w:sz w:val="24"/>
          <w14:ligatures w14:val="standardContextual"/>
        </w:rPr>
        <w:t xml:space="preserve"> </w:t>
      </w:r>
    </w:p>
    <w:p w14:paraId="6C43D27E"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00EF0A4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6D6961C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563D11F4" w14:textId="77777777" w:rsidTr="005C00A5">
        <w:tc>
          <w:tcPr>
            <w:tcW w:w="1170" w:type="dxa"/>
          </w:tcPr>
          <w:p w14:paraId="7ED8633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4E63E1A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68D5341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02AE4EA9" w14:textId="77777777" w:rsidTr="005C00A5">
        <w:tc>
          <w:tcPr>
            <w:tcW w:w="1170" w:type="dxa"/>
          </w:tcPr>
          <w:p w14:paraId="7FE69A2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MP-3.1.1</w:t>
            </w:r>
          </w:p>
        </w:tc>
        <w:tc>
          <w:tcPr>
            <w:tcW w:w="2160" w:type="dxa"/>
          </w:tcPr>
          <w:p w14:paraId="4CB596B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Design and Deployment Alignment</w:t>
            </w:r>
          </w:p>
        </w:tc>
        <w:tc>
          <w:tcPr>
            <w:tcW w:w="6740" w:type="dxa"/>
          </w:tcPr>
          <w:p w14:paraId="6D632FA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considers design strategies, testing strategies, implementation strategies, and deployment of AI systems in the context of potential impacts, organizational AI system goals, and alignment with organizational objectives, values, and AI  Trustworthy Principles.</w:t>
            </w:r>
          </w:p>
          <w:p w14:paraId="1128500C" w14:textId="77777777" w:rsidR="00963E47" w:rsidRPr="00963E47" w:rsidRDefault="00963E47" w:rsidP="004C3837">
            <w:pPr>
              <w:keepNext/>
              <w:rPr>
                <w:rFonts w:ascii="Aptos" w:hAnsi="Aptos" w:cs="Times New Roman"/>
                <w:b/>
                <w:bCs/>
                <w:color w:val="000000"/>
                <w:sz w:val="20"/>
                <w:szCs w:val="20"/>
              </w:rPr>
            </w:pPr>
          </w:p>
          <w:p w14:paraId="52939454" w14:textId="77777777" w:rsidR="00963E47" w:rsidRPr="00963E47" w:rsidRDefault="00963E47" w:rsidP="004C3837">
            <w:pPr>
              <w:keepNext/>
              <w:rPr>
                <w:rFonts w:ascii="Aptos" w:hAnsi="Aptos" w:cs="Times New Roman"/>
                <w:b/>
                <w:bCs/>
                <w:color w:val="000000"/>
                <w:sz w:val="20"/>
                <w:szCs w:val="20"/>
              </w:rPr>
            </w:pPr>
            <w:hyperlink r:id="rId119" w:anchor="map-3-1" w:history="1">
              <w:r w:rsidRPr="00963E47">
                <w:rPr>
                  <w:rFonts w:ascii="Aptos" w:hAnsi="Aptos" w:cs="Times New Roman"/>
                  <w:color w:val="000000"/>
                  <w:sz w:val="20"/>
                  <w:szCs w:val="20"/>
                  <w:u w:val="single"/>
                </w:rPr>
                <w:t>Link to NIST AI RMF Playbook</w:t>
              </w:r>
            </w:hyperlink>
          </w:p>
        </w:tc>
      </w:tr>
    </w:tbl>
    <w:p w14:paraId="740C4B56"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6B306F3"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6D1E67A0"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55709750" w14:textId="77777777" w:rsidTr="005C00A5">
        <w:trPr>
          <w:tblHeader/>
        </w:trPr>
        <w:tc>
          <w:tcPr>
            <w:tcW w:w="2160" w:type="dxa"/>
            <w:shd w:val="clear" w:color="auto" w:fill="CCDCDC"/>
            <w:vAlign w:val="center"/>
          </w:tcPr>
          <w:p w14:paraId="427A4CAD"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68DC63E2"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69F0C98A"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3043ADE8" w14:textId="77777777" w:rsidTr="005C00A5">
        <w:tc>
          <w:tcPr>
            <w:tcW w:w="2160" w:type="dxa"/>
            <w:shd w:val="clear" w:color="auto" w:fill="CCDCDC"/>
          </w:tcPr>
          <w:p w14:paraId="5B69AC4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0003264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3E0C07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0CEA32A6" w14:textId="77777777" w:rsidTr="005C00A5">
        <w:tc>
          <w:tcPr>
            <w:tcW w:w="2160" w:type="dxa"/>
            <w:shd w:val="clear" w:color="auto" w:fill="CCDCDC"/>
          </w:tcPr>
          <w:p w14:paraId="2F73727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7AFA0A0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55F1D0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D490F4F" w14:textId="77777777" w:rsidTr="005C00A5">
        <w:tc>
          <w:tcPr>
            <w:tcW w:w="2160" w:type="dxa"/>
            <w:shd w:val="clear" w:color="auto" w:fill="CCDCDC"/>
          </w:tcPr>
          <w:p w14:paraId="0FA5C34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654049E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E5F68E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as AI systems become more impactful, organizations begin considering potential impacts and values alignment when making decisions about design testing, implementation, and deployment strategies.</w:t>
            </w:r>
          </w:p>
        </w:tc>
      </w:tr>
      <w:tr w:rsidR="00963E47" w:rsidRPr="00963E47" w14:paraId="1EDE167B" w14:textId="77777777" w:rsidTr="005C00A5">
        <w:tc>
          <w:tcPr>
            <w:tcW w:w="2160" w:type="dxa"/>
            <w:shd w:val="clear" w:color="auto" w:fill="CCDCDC"/>
          </w:tcPr>
          <w:p w14:paraId="56DD20F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7C477B3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D4E45F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evolving stage embed design, testing, and implementation strategies and deployment considerations into their processes, ensuring ongoing alignment with organizational objectives, values, and AI  Trustworthy Principles, supporting responsible and trustworthy AI systems.</w:t>
            </w:r>
          </w:p>
        </w:tc>
      </w:tr>
    </w:tbl>
    <w:p w14:paraId="49111DB0"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42244C12" w14:textId="77777777" w:rsidTr="005C00A5">
        <w:tc>
          <w:tcPr>
            <w:tcW w:w="2250" w:type="dxa"/>
          </w:tcPr>
          <w:p w14:paraId="30ACBAD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6D886BA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25978DB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5CDACE40" w14:textId="77777777" w:rsidTr="005C00A5">
        <w:tc>
          <w:tcPr>
            <w:tcW w:w="2250" w:type="dxa"/>
          </w:tcPr>
          <w:p w14:paraId="058716E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Explainable &amp; Interpretable</w:t>
            </w:r>
          </w:p>
        </w:tc>
        <w:tc>
          <w:tcPr>
            <w:tcW w:w="2520" w:type="dxa"/>
          </w:tcPr>
          <w:p w14:paraId="2A87210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Unconsidered Impact Context</w:t>
            </w:r>
          </w:p>
        </w:tc>
        <w:tc>
          <w:tcPr>
            <w:tcW w:w="5300" w:type="dxa"/>
          </w:tcPr>
          <w:p w14:paraId="1D0B7D8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Context of potential impacts isn't considered in AI system design</w:t>
            </w:r>
          </w:p>
        </w:tc>
      </w:tr>
    </w:tbl>
    <w:p w14:paraId="512747E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AFEAD9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4756E5B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BB8094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When designing, testing, implementing, and deploying AI systems, consider the potential impacts and alignment with the organization's values and objectives. Conduct a thorough impact assessment to identify and evaluate the potential consequences of the AI system on various stakeholders, including employees, customers, and partners.</w:t>
      </w:r>
    </w:p>
    <w:p w14:paraId="0E48DA8A"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1BF4896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Engage with a multidisciplinary range of stakeholders to gather input and perspectives on the AI system's potential impacts, utilizing this information to inform the system's design and implementation. Ensure that the AI system's design and testing strategies prioritize alignment with the organization's values and objectives, such as fairness, transparency, accountability, and safety.</w:t>
      </w:r>
    </w:p>
    <w:p w14:paraId="0F48AAEF"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71D25D3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Document the specific ways in which the AI system's design, testing, implementation, and deployment align with these values and objectives, and communicate this information to relevant parties. Regularly review and update the AI system's design and implementation to maintain ongoing alignment with the organization's evolving objectives.</w:t>
      </w:r>
    </w:p>
    <w:p w14:paraId="2E4F6212"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6722AE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lastRenderedPageBreak/>
        <w:t xml:space="preserve">Example Controls and Evidence: </w:t>
      </w:r>
    </w:p>
    <w:p w14:paraId="54E3A12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BAA1D7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a Contextual Strategy Framework</w:t>
      </w:r>
    </w:p>
    <w:p w14:paraId="08398FA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framework for integrating organizational goals, values, and AI Trustworthy Principles into strategic planning for AI system design, testing, and deployment.</w:t>
      </w:r>
    </w:p>
    <w:p w14:paraId="2349250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81E673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Policy documents outlining the strategic framework and integration points.</w:t>
      </w:r>
    </w:p>
    <w:p w14:paraId="5169A0F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Templates guiding considerations of impact and alignment during planning phases.</w:t>
      </w:r>
    </w:p>
    <w:p w14:paraId="5C51C9B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Checklists ensuring inclusion of core principles at each lifecycle stage.</w:t>
      </w:r>
    </w:p>
    <w:p w14:paraId="48B59B4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process documents.</w:t>
      </w:r>
    </w:p>
    <w:p w14:paraId="7A13968F"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C83F7F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Incorporation of Impact and Principles During Design and Development</w:t>
      </w:r>
    </w:p>
    <w:p w14:paraId="4DCD917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Embed impact considerations, organizational values, and AI Trustworthy Principles into system design specifications and development criteria.</w:t>
      </w:r>
    </w:p>
    <w:p w14:paraId="6252FD1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4C43A4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Design reviews referencing impact assessments and principles alignment.</w:t>
      </w:r>
    </w:p>
    <w:p w14:paraId="16FD080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Design documents including impact mitigation measures.</w:t>
      </w:r>
    </w:p>
    <w:p w14:paraId="042A5BB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feedback linked to design trade-offs and value considerations.</w:t>
      </w:r>
    </w:p>
    <w:p w14:paraId="680CA35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Traceability matrices connecting design choices to core principles.</w:t>
      </w:r>
    </w:p>
    <w:p w14:paraId="47E40F9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337B1E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Testing and Validation in Context</w:t>
      </w:r>
    </w:p>
    <w:p w14:paraId="5AB1E4A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Ensure testing strategies consider impacts, organizational values, and potential risks, validated against the system’s intended context and principles.</w:t>
      </w:r>
    </w:p>
    <w:p w14:paraId="759CE74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F61732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 plans including impact scenarios aligned with organizational values.</w:t>
      </w:r>
    </w:p>
    <w:p w14:paraId="788A4E7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Validation reports demonstrating performance against safety and fairness criteria.</w:t>
      </w:r>
    </w:p>
    <w:p w14:paraId="6CF216A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Adjustments made following impact-focused testing.</w:t>
      </w:r>
    </w:p>
    <w:p w14:paraId="1E5B1D3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Testing results linked back to principles adherence.</w:t>
      </w:r>
    </w:p>
    <w:p w14:paraId="287BC0A3"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E99ECE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Implementation and Deployment Aligned with Strategic Goals</w:t>
      </w:r>
    </w:p>
    <w:p w14:paraId="622242E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Deploy AI systems in ways that respect organizational objectives, values, and principles, with deployment plans including impact mitigation and stakeholder engagement.</w:t>
      </w:r>
    </w:p>
    <w:p w14:paraId="576D110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E32F81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Deployment checklists referencing impact mitigation and principles.</w:t>
      </w:r>
    </w:p>
    <w:p w14:paraId="5465175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communication plans about deployment rationale.</w:t>
      </w:r>
    </w:p>
    <w:p w14:paraId="453D8E9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Implementation reviews verifying alignment with organizational goals.</w:t>
      </w:r>
    </w:p>
    <w:p w14:paraId="659522B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management records reflecting impact considerations.</w:t>
      </w:r>
    </w:p>
    <w:p w14:paraId="2561556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215BCC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Monitoring and Reassessment</w:t>
      </w:r>
    </w:p>
    <w:p w14:paraId="36F8549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review the system’s real-world impacts, alignment with organizational principles, and strategic fit throughout its lifecycle, updating strategies accordingly.</w:t>
      </w:r>
    </w:p>
    <w:p w14:paraId="6FD2226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B7FE6A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Impact monitoring reports and feedback loops.</w:t>
      </w:r>
    </w:p>
    <w:p w14:paraId="24C03E8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Periodic impact assessments including stakeholder input.</w:t>
      </w:r>
    </w:p>
    <w:p w14:paraId="7E2C95B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and improvement plans linked to strategic goals.</w:t>
      </w:r>
    </w:p>
    <w:p w14:paraId="0F7970C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procedures reflecting organizational learning.</w:t>
      </w:r>
    </w:p>
    <w:p w14:paraId="40E8DC69"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405C789E"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368C226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390FF36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5D42A68C" w14:textId="77777777" w:rsidTr="005C00A5">
        <w:tc>
          <w:tcPr>
            <w:tcW w:w="1170" w:type="dxa"/>
          </w:tcPr>
          <w:p w14:paraId="33F97C2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051DA85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5DCEAFF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48DCE57E" w14:textId="77777777" w:rsidTr="005C00A5">
        <w:tc>
          <w:tcPr>
            <w:tcW w:w="1170" w:type="dxa"/>
          </w:tcPr>
          <w:p w14:paraId="60FC2BB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MP-3.1.2</w:t>
            </w:r>
          </w:p>
        </w:tc>
        <w:tc>
          <w:tcPr>
            <w:tcW w:w="2160" w:type="dxa"/>
          </w:tcPr>
          <w:p w14:paraId="4524EF2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Impact Feedback from Multidisciplinary Teams</w:t>
            </w:r>
          </w:p>
        </w:tc>
        <w:tc>
          <w:tcPr>
            <w:tcW w:w="6740" w:type="dxa"/>
          </w:tcPr>
          <w:p w14:paraId="34F8954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solicits feedback from a multidisciplinary design and development team, augmented by additional stakeholders as needed, to identify and document the potential positive impacts of the AI system within its intended context of use.</w:t>
            </w:r>
          </w:p>
          <w:p w14:paraId="3F84596E" w14:textId="77777777" w:rsidR="00963E47" w:rsidRPr="00963E47" w:rsidRDefault="00963E47" w:rsidP="004C3837">
            <w:pPr>
              <w:keepNext/>
              <w:rPr>
                <w:rFonts w:ascii="Aptos" w:hAnsi="Aptos" w:cs="Times New Roman"/>
                <w:b/>
                <w:bCs/>
                <w:color w:val="000000"/>
                <w:sz w:val="20"/>
                <w:szCs w:val="20"/>
              </w:rPr>
            </w:pPr>
          </w:p>
          <w:p w14:paraId="53679C1D" w14:textId="77777777" w:rsidR="00963E47" w:rsidRPr="00963E47" w:rsidRDefault="00963E47" w:rsidP="004C3837">
            <w:pPr>
              <w:keepNext/>
              <w:rPr>
                <w:rFonts w:ascii="Aptos" w:hAnsi="Aptos" w:cs="Times New Roman"/>
                <w:b/>
                <w:bCs/>
                <w:color w:val="000000"/>
                <w:sz w:val="20"/>
                <w:szCs w:val="20"/>
              </w:rPr>
            </w:pPr>
            <w:hyperlink r:id="rId120" w:anchor="map-3-1" w:history="1">
              <w:r w:rsidRPr="00963E47">
                <w:rPr>
                  <w:rFonts w:ascii="Aptos" w:hAnsi="Aptos" w:cs="Times New Roman"/>
                  <w:color w:val="000000"/>
                  <w:sz w:val="20"/>
                  <w:szCs w:val="20"/>
                  <w:u w:val="single"/>
                </w:rPr>
                <w:t>Link to NIST AI RMF Playbook</w:t>
              </w:r>
            </w:hyperlink>
          </w:p>
        </w:tc>
      </w:tr>
    </w:tbl>
    <w:p w14:paraId="5D5CEE42"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12D51DC"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52AA56BD"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678216D8" w14:textId="77777777" w:rsidTr="005C00A5">
        <w:trPr>
          <w:tblHeader/>
        </w:trPr>
        <w:tc>
          <w:tcPr>
            <w:tcW w:w="2160" w:type="dxa"/>
            <w:shd w:val="clear" w:color="auto" w:fill="CCDCDC"/>
            <w:vAlign w:val="center"/>
          </w:tcPr>
          <w:p w14:paraId="6BCE6720"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685727FD"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72A60E5E"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3B614759" w14:textId="77777777" w:rsidTr="005C00A5">
        <w:tc>
          <w:tcPr>
            <w:tcW w:w="2160" w:type="dxa"/>
            <w:shd w:val="clear" w:color="auto" w:fill="CCDCDC"/>
          </w:tcPr>
          <w:p w14:paraId="04B34F7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6DFD1AE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1FE7F2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6419D06B" w14:textId="77777777" w:rsidTr="005C00A5">
        <w:tc>
          <w:tcPr>
            <w:tcW w:w="2160" w:type="dxa"/>
            <w:shd w:val="clear" w:color="auto" w:fill="CCDCDC"/>
          </w:tcPr>
          <w:p w14:paraId="1DFAFA0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40577A9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7070A0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have begun assembling multidisciplinary teams to identify and document potential AI system benefits and positive impacts, but the process may not yet comprehensively consider the full context of use.</w:t>
            </w:r>
          </w:p>
        </w:tc>
      </w:tr>
      <w:tr w:rsidR="00963E47" w:rsidRPr="00963E47" w14:paraId="026A8A60" w14:textId="77777777" w:rsidTr="005C00A5">
        <w:tc>
          <w:tcPr>
            <w:tcW w:w="2160" w:type="dxa"/>
            <w:shd w:val="clear" w:color="auto" w:fill="CCDCDC"/>
          </w:tcPr>
          <w:p w14:paraId="4D5D732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1517C10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B54771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evolving stage maintain well-established multidisciplinary teams that thoroughly examine and document the potential benefits and positive impacts of AI systems within their comprehensive intended use contexts.</w:t>
            </w:r>
          </w:p>
        </w:tc>
      </w:tr>
      <w:tr w:rsidR="00963E47" w:rsidRPr="00963E47" w14:paraId="4FD14652" w14:textId="77777777" w:rsidTr="005C00A5">
        <w:tc>
          <w:tcPr>
            <w:tcW w:w="2160" w:type="dxa"/>
            <w:shd w:val="clear" w:color="auto" w:fill="CCDCDC"/>
          </w:tcPr>
          <w:p w14:paraId="4C4B3B7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7D3660E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A31B3F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incorporate the feedback process into their development lifecycle, ensuring continuous stakeholder involvement and thorough documentation aligned with AI Trustworthy Principles.</w:t>
            </w:r>
          </w:p>
        </w:tc>
      </w:tr>
    </w:tbl>
    <w:p w14:paraId="2A8397D9"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081BCDC5" w14:textId="77777777" w:rsidTr="005C00A5">
        <w:tc>
          <w:tcPr>
            <w:tcW w:w="2250" w:type="dxa"/>
          </w:tcPr>
          <w:p w14:paraId="1565346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6699163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19F5DC9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33C0B3E6" w14:textId="77777777" w:rsidTr="005C00A5">
        <w:tc>
          <w:tcPr>
            <w:tcW w:w="2250" w:type="dxa"/>
          </w:tcPr>
          <w:p w14:paraId="2DB1B44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Explainable &amp; Interpretable</w:t>
            </w:r>
          </w:p>
        </w:tc>
        <w:tc>
          <w:tcPr>
            <w:tcW w:w="2520" w:type="dxa"/>
          </w:tcPr>
          <w:p w14:paraId="155E5DC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Unidentified Positive Impacts</w:t>
            </w:r>
          </w:p>
        </w:tc>
        <w:tc>
          <w:tcPr>
            <w:tcW w:w="5300" w:type="dxa"/>
          </w:tcPr>
          <w:p w14:paraId="6040DF3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Potential positive impacts of the AI system are unidentified or undocumented</w:t>
            </w:r>
          </w:p>
        </w:tc>
      </w:tr>
    </w:tbl>
    <w:p w14:paraId="02C253C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413B46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32FBDFF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3CB880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To effectively identify and document the potential benefits and positive impacts of the AI system within its intended context of use, maintain a multidisciplinary team of relevant stakeholders. This team should include individuals with different backgrounds and expertise, such as data scientists, domain experts, end-users, and representatives from potentially impacted communities. </w:t>
      </w:r>
    </w:p>
    <w:p w14:paraId="322D6B93"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1384BEB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regular meetings and collaboration channels for the team to discuss and assess the AI system's potential benefits, considering factors such as improved efficiency and enhanced decision-making. Encourage open and honest dialogue among team members, fostering a culture of continuous learning and improvement.</w:t>
      </w:r>
    </w:p>
    <w:p w14:paraId="66965EC8"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1BEFDB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Document the potential benefits using clear and concise language, ensuring this documentation is easily accessible to relevant parties. Regularly review and update the team composition and the documented potential benefits as needed to maintain their accuracy and relevance and communicate any changes to relevant stakeholders.</w:t>
      </w:r>
    </w:p>
    <w:p w14:paraId="071928C2"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B3D5FE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lastRenderedPageBreak/>
        <w:t xml:space="preserve">Example Controls and Evidence: </w:t>
      </w:r>
    </w:p>
    <w:p w14:paraId="2C963C4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A932B5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Formal Stakeholder Engagement and Feedback Process</w:t>
      </w:r>
    </w:p>
    <w:p w14:paraId="1AF351C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structured process for engaging multidisciplinary teams and stakeholders to gather insights on potential positive impacts, ensuring comprehensive input.</w:t>
      </w:r>
    </w:p>
    <w:p w14:paraId="0394DB3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0ABA9D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engagement plan outlining involved groups and methods (workshops, interviews, surveys).</w:t>
      </w:r>
    </w:p>
    <w:p w14:paraId="549FB8E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agendas, discussion summaries, and feedback forms from engagement sessions.</w:t>
      </w:r>
    </w:p>
    <w:p w14:paraId="0E8481C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stakeholder participation and contributions.</w:t>
      </w:r>
    </w:p>
    <w:p w14:paraId="0C73A62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Integration of feedback into impact documentation templates.</w:t>
      </w:r>
    </w:p>
    <w:p w14:paraId="4BB91CF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799664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Multidisciplinary Perspectives and Impact Identification</w:t>
      </w:r>
    </w:p>
    <w:p w14:paraId="72F4B7B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Ensure the engagement process captures perspectives across technical and organizational domains to thoroughly identify positive impacts.</w:t>
      </w:r>
    </w:p>
    <w:p w14:paraId="3139854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6BA066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Variety of stakeholders involved (e.g., data scientists, end-users, community representatives).</w:t>
      </w:r>
    </w:p>
    <w:p w14:paraId="2995481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Impact identification matrices linking stakeholder insights to impact categories.</w:t>
      </w:r>
    </w:p>
    <w:p w14:paraId="5EFB283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cross-disciplinary discussions on impact opportunities.</w:t>
      </w:r>
    </w:p>
    <w:p w14:paraId="6442B6F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Stakeholder-specific impact contribution logs.</w:t>
      </w:r>
    </w:p>
    <w:p w14:paraId="6E7244FF"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0CDE2F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Potential Positive Impacts</w:t>
      </w:r>
    </w:p>
    <w:p w14:paraId="6589398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Record potential benefits and positive impacts in a structured, accessible format aligned with the system's intended context.</w:t>
      </w:r>
    </w:p>
    <w:p w14:paraId="5C6FFBE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F1FB84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Impact registers with categorized positive impacts, assumptions, and contextual relevance.</w:t>
      </w:r>
    </w:p>
    <w:p w14:paraId="0EEDD3E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Impact assessment reports linking stakeholder input to impact statements.</w:t>
      </w:r>
    </w:p>
    <w:p w14:paraId="54E67F9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Visual impact maps or diagrams illustrating areas of benefit.</w:t>
      </w:r>
    </w:p>
    <w:p w14:paraId="29BA5CD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 control logs of impact documentation updates.</w:t>
      </w:r>
    </w:p>
    <w:p w14:paraId="6D885D6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374F6B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Validation and Review of Impact Documentation</w:t>
      </w:r>
    </w:p>
    <w:p w14:paraId="5929955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Periodically review and validate impact assessments with stakeholders to ensure accuracy, completeness, and relevance to evolving system use.</w:t>
      </w:r>
    </w:p>
    <w:p w14:paraId="2B52C95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202612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minutes or stakeholder validation sessions.</w:t>
      </w:r>
    </w:p>
    <w:p w14:paraId="5054D8A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impact documentation reflecting new insights or system changes.</w:t>
      </w:r>
    </w:p>
    <w:p w14:paraId="620831D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surveys measuring stakeholder confidence in impact assessments.</w:t>
      </w:r>
    </w:p>
    <w:p w14:paraId="6F6D07A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logs demonstrating ongoing impact validation.</w:t>
      </w:r>
    </w:p>
    <w:p w14:paraId="44CA955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AD0DD9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of Impact Insights into Design and Deployment Planning</w:t>
      </w:r>
    </w:p>
    <w:p w14:paraId="29D1A44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Incorporate documented positive impacts into system design, deployment strategies, and stakeholder communications to reinforce value propositions.</w:t>
      </w:r>
    </w:p>
    <w:p w14:paraId="6A98EB8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7904D7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Design review reports referencing impact documentation.</w:t>
      </w:r>
    </w:p>
    <w:p w14:paraId="45F7D91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Deployment plans aligned with identified benefits.</w:t>
      </w:r>
    </w:p>
    <w:p w14:paraId="5051316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communication materials highlighting positive impacts.</w:t>
      </w:r>
    </w:p>
    <w:p w14:paraId="55E156F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impact considerations influencing decision-making.</w:t>
      </w:r>
    </w:p>
    <w:p w14:paraId="40D343E9"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03E1223B"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6EEAEA1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4522E76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53275588" w14:textId="77777777" w:rsidTr="005C00A5">
        <w:tc>
          <w:tcPr>
            <w:tcW w:w="1170" w:type="dxa"/>
          </w:tcPr>
          <w:p w14:paraId="6713D75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7F393A0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5173664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6EC75B8C" w14:textId="77777777" w:rsidTr="005C00A5">
        <w:tc>
          <w:tcPr>
            <w:tcW w:w="1170" w:type="dxa"/>
          </w:tcPr>
          <w:p w14:paraId="270934E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MP-3.1.3</w:t>
            </w:r>
          </w:p>
        </w:tc>
        <w:tc>
          <w:tcPr>
            <w:tcW w:w="2160" w:type="dxa"/>
          </w:tcPr>
          <w:p w14:paraId="273F240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User Interface and Interpretability Design</w:t>
            </w:r>
          </w:p>
        </w:tc>
        <w:tc>
          <w:tcPr>
            <w:tcW w:w="6740" w:type="dxa"/>
          </w:tcPr>
          <w:p w14:paraId="3C55535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designs and documents the AI system's user interface, workflows, and interpretability criteria in collaboration with end users, incorporating their feedback to enhance system benefits and understanding while recognizing the role of human interaction in interpreting system outputs.</w:t>
            </w:r>
          </w:p>
          <w:p w14:paraId="306C138B" w14:textId="77777777" w:rsidR="00963E47" w:rsidRPr="00963E47" w:rsidRDefault="00963E47" w:rsidP="004C3837">
            <w:pPr>
              <w:keepNext/>
              <w:rPr>
                <w:rFonts w:ascii="Aptos" w:hAnsi="Aptos" w:cs="Times New Roman"/>
                <w:b/>
                <w:bCs/>
                <w:color w:val="000000"/>
                <w:sz w:val="20"/>
                <w:szCs w:val="20"/>
              </w:rPr>
            </w:pPr>
          </w:p>
          <w:p w14:paraId="3D367F88" w14:textId="77777777" w:rsidR="00963E47" w:rsidRPr="00963E47" w:rsidRDefault="00963E47" w:rsidP="004C3837">
            <w:pPr>
              <w:keepNext/>
              <w:rPr>
                <w:rFonts w:ascii="Aptos" w:hAnsi="Aptos" w:cs="Times New Roman"/>
                <w:b/>
                <w:bCs/>
                <w:color w:val="000000"/>
                <w:sz w:val="20"/>
                <w:szCs w:val="20"/>
              </w:rPr>
            </w:pPr>
            <w:hyperlink r:id="rId121" w:anchor="map-3-1" w:history="1">
              <w:r w:rsidRPr="00963E47">
                <w:rPr>
                  <w:rFonts w:ascii="Aptos" w:hAnsi="Aptos" w:cs="Times New Roman"/>
                  <w:color w:val="000000"/>
                  <w:sz w:val="20"/>
                  <w:szCs w:val="20"/>
                  <w:u w:val="single"/>
                </w:rPr>
                <w:t>Link to NIST AI RMF Playbook</w:t>
              </w:r>
            </w:hyperlink>
          </w:p>
        </w:tc>
      </w:tr>
    </w:tbl>
    <w:p w14:paraId="710FED36"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B0C2B6E"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6CEAC358"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12A6394F" w14:textId="77777777" w:rsidTr="005C00A5">
        <w:trPr>
          <w:tblHeader/>
        </w:trPr>
        <w:tc>
          <w:tcPr>
            <w:tcW w:w="2160" w:type="dxa"/>
            <w:shd w:val="clear" w:color="auto" w:fill="CCDCDC"/>
            <w:vAlign w:val="center"/>
          </w:tcPr>
          <w:p w14:paraId="05550381"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29741B25"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66422584"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4149BF3E" w14:textId="77777777" w:rsidTr="005C00A5">
        <w:tc>
          <w:tcPr>
            <w:tcW w:w="2160" w:type="dxa"/>
            <w:shd w:val="clear" w:color="auto" w:fill="CCDCDC"/>
          </w:tcPr>
          <w:p w14:paraId="0DF144F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7BEEC90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2A439C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DB1F0EA" w14:textId="77777777" w:rsidTr="005C00A5">
        <w:tc>
          <w:tcPr>
            <w:tcW w:w="2160" w:type="dxa"/>
            <w:shd w:val="clear" w:color="auto" w:fill="CCDCDC"/>
          </w:tcPr>
          <w:p w14:paraId="453A849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70FD713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5EE2FF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1BEFCE1" w14:textId="77777777" w:rsidTr="005C00A5">
        <w:tc>
          <w:tcPr>
            <w:tcW w:w="2160" w:type="dxa"/>
            <w:shd w:val="clear" w:color="auto" w:fill="CCDCDC"/>
          </w:tcPr>
          <w:p w14:paraId="0E741BF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1761E69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1D70A9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begin designing and documenting AI system user interfaces, workflows, and interpretability criteria with end user input to improve usability and output interpretation, recognizing the importance of human interaction.</w:t>
            </w:r>
          </w:p>
        </w:tc>
      </w:tr>
      <w:tr w:rsidR="00963E47" w:rsidRPr="00963E47" w14:paraId="712A7A0D" w14:textId="77777777" w:rsidTr="005C00A5">
        <w:tc>
          <w:tcPr>
            <w:tcW w:w="2160" w:type="dxa"/>
            <w:shd w:val="clear" w:color="auto" w:fill="CCDCDC"/>
          </w:tcPr>
          <w:p w14:paraId="26F82765"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190C178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FEE39C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fully integrate these practices into their development processes, ensuring ongoing user involvement and interpretation criteria that promote transparency and responsible AI use aligned with AI Trustworthy Principles.</w:t>
            </w:r>
          </w:p>
        </w:tc>
      </w:tr>
    </w:tbl>
    <w:p w14:paraId="059935F1"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7EF4FD96" w14:textId="77777777" w:rsidTr="005C00A5">
        <w:tc>
          <w:tcPr>
            <w:tcW w:w="2250" w:type="dxa"/>
          </w:tcPr>
          <w:p w14:paraId="61B723B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49E1C9B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76037D9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1FBEA4BA" w14:textId="77777777" w:rsidTr="005C00A5">
        <w:tc>
          <w:tcPr>
            <w:tcW w:w="2250" w:type="dxa"/>
          </w:tcPr>
          <w:p w14:paraId="17B1628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Explainable &amp; Interpretable</w:t>
            </w:r>
          </w:p>
        </w:tc>
        <w:tc>
          <w:tcPr>
            <w:tcW w:w="2520" w:type="dxa"/>
          </w:tcPr>
          <w:p w14:paraId="0B1C777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Suboptimized User Interface</w:t>
            </w:r>
          </w:p>
        </w:tc>
        <w:tc>
          <w:tcPr>
            <w:tcW w:w="5300" w:type="dxa"/>
          </w:tcPr>
          <w:p w14:paraId="5E207F4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system's user interface, workflows, and interpretability criteria are insufficient</w:t>
            </w:r>
          </w:p>
        </w:tc>
      </w:tr>
    </w:tbl>
    <w:p w14:paraId="6FC22B5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704A1A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57BAA52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E5E1A4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Design and document the AI system's user interface, workflows, and interpretability criteria in collaboration with end-users, incorporating their feedback to enhance usability and understanding while acknowledging the importance of human interaction in interpreting system outputs. Engage end-users throughout the design process using techniques such as interviews, focus groups, and usability testing to gather input on the system's interface and workflows.</w:t>
      </w:r>
    </w:p>
    <w:p w14:paraId="6B22616A"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210020F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clear and intuitive user interfaces that present the AI system's outputs in an easily understandable manner, using visualizations, natural language explanations, or other appropriate techniques. Document the design decisions and rationale behind the user interface and workflows, specifying assumptions or limitations that may impact their effectiveness.</w:t>
      </w:r>
    </w:p>
    <w:p w14:paraId="1CFE3898"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FCDD8E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Clearly define the criteria and methods used to interpret the AI system's outputs, outlining the role of human operators in this process, such as validating results, providing context, or making final decisions. Use clear and concise language to document this information, ensuring it is easily accessible to relevant parties.</w:t>
      </w:r>
    </w:p>
    <w:p w14:paraId="77075D99"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709EB98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Regularly review and update the documentation as needed to maintain its accuracy and relevance and communicate changes to relevant stakeholders. Continuously gather feedback from end-users on the effectiveness and usability of the AI system's interface and workflows, using this feedback to inform ongoing improvements.</w:t>
      </w:r>
    </w:p>
    <w:p w14:paraId="144169E9"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C88C3B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15C94CE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697F25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Collaborative Design and Documentation Process</w:t>
      </w:r>
    </w:p>
    <w:p w14:paraId="6E38C4D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structured process for engaging end users throughout design, including documenting interface features, workflows, and interpretability criteria based on their input.</w:t>
      </w:r>
    </w:p>
    <w:p w14:paraId="12E3CEF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887740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engagement plans outlining involvement in design phases.</w:t>
      </w:r>
    </w:p>
    <w:p w14:paraId="0F7B276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workshop summaries, and feedback logs from user sessions.</w:t>
      </w:r>
    </w:p>
    <w:p w14:paraId="02A2913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Design documents with annotations reflecting user input.</w:t>
      </w:r>
    </w:p>
    <w:p w14:paraId="31AA218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interface and workflow prototypes.</w:t>
      </w:r>
    </w:p>
    <w:p w14:paraId="66D43DF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75AE18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Collection and Integration of User Feedback on Usability and Interpretability</w:t>
      </w:r>
    </w:p>
    <w:p w14:paraId="748A26D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mechanisms such as surveys, usability testing, and focus groups to gather user feedback on system interfaces, workflows, and explanation requirements, integrating insights into design improvements.</w:t>
      </w:r>
    </w:p>
    <w:p w14:paraId="7300240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772DD0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forms, interview transcripts, or usability test reports.</w:t>
      </w:r>
    </w:p>
    <w:p w14:paraId="3C95860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logs translating feedback into system refinements.</w:t>
      </w:r>
    </w:p>
    <w:p w14:paraId="4F44388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iterative testing and recall of usability adjustments.</w:t>
      </w:r>
    </w:p>
    <w:p w14:paraId="073A49E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sign-offs on interface revisions.</w:t>
      </w:r>
    </w:p>
    <w:p w14:paraId="6232AE43"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D541DC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Definition of Interpretability Criteria in Collaboration with Users</w:t>
      </w:r>
    </w:p>
    <w:p w14:paraId="2F07222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and document interpretability criteria (e.g., transparency, explanation clarity) in collaboration with users to ensure outputs are understandable and useful in human decision-making.</w:t>
      </w:r>
    </w:p>
    <w:p w14:paraId="3FB6EBB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77EB83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Interpretability guidelines co-created with user input.</w:t>
      </w:r>
    </w:p>
    <w:p w14:paraId="036E91F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Use case scenarios illustrating explanation needs.</w:t>
      </w:r>
    </w:p>
    <w:p w14:paraId="43E2851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User feedback on interpretability effectiveness.</w:t>
      </w:r>
    </w:p>
    <w:p w14:paraId="6418FE2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criteria linked to specific interface features or output explanations.</w:t>
      </w:r>
    </w:p>
    <w:p w14:paraId="2DDAF17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36F21A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Incorporation of Human Interaction into System Design</w:t>
      </w:r>
    </w:p>
    <w:p w14:paraId="196AC3F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Design workflows and interfaces that explicitly support human-in-the-loop reviews, overrides, and explanations, documenting how human roles influence system operation.</w:t>
      </w:r>
    </w:p>
    <w:p w14:paraId="2FEC620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A78653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Workflows and UI prototypes including human review points.</w:t>
      </w:r>
    </w:p>
    <w:p w14:paraId="17D04A0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User manuals specifying interaction protocols.</w:t>
      </w:r>
    </w:p>
    <w:p w14:paraId="2CB3930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Logs of human interactions, overrides, or feedback sessions.</w:t>
      </w:r>
    </w:p>
    <w:p w14:paraId="001B5F4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materials emphasizing human-system interplay.</w:t>
      </w:r>
    </w:p>
    <w:p w14:paraId="3522554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12E204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Ongoing Review and Iterative Improvement Based on User Feedback</w:t>
      </w:r>
    </w:p>
    <w:p w14:paraId="6199B88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review user feedback and system performance, updating interfaces and interpretability features to meet evolving needs and ensuring continuous usability and understanding.</w:t>
      </w:r>
    </w:p>
    <w:p w14:paraId="6148363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A54728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review reports and update logs.</w:t>
      </w:r>
    </w:p>
    <w:p w14:paraId="04BABF1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User satisfaction surveys over time.</w:t>
      </w:r>
    </w:p>
    <w:p w14:paraId="0B41E6F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 histories showing iterative interface improvements.</w:t>
      </w:r>
    </w:p>
    <w:p w14:paraId="7A45829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and awareness sessions on new features or interpretability enhancements.</w:t>
      </w:r>
    </w:p>
    <w:p w14:paraId="57B0C3C9"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38" w:name="_Toc214874783"/>
      <w:r w:rsidRPr="00963E47">
        <w:rPr>
          <w:rFonts w:ascii="Aptos" w:eastAsia="Aptos" w:hAnsi="Aptos" w:cs="Times New Roman"/>
          <w:b/>
          <w:bCs/>
          <w:noProof/>
          <w:color w:val="35256B"/>
          <w:kern w:val="2"/>
          <w:sz w:val="24"/>
          <w14:ligatures w14:val="standardContextual"/>
        </w:rPr>
        <w:lastRenderedPageBreak/>
        <w:t>MAP / Understanding Costs and Benefits / Understanding Costs and Benefits</w:t>
      </w:r>
      <w:bookmarkEnd w:id="38"/>
      <w:r w:rsidRPr="00963E47">
        <w:rPr>
          <w:rFonts w:ascii="Aptos" w:eastAsia="Aptos" w:hAnsi="Aptos" w:cs="Times New Roman"/>
          <w:b/>
          <w:bCs/>
          <w:noProof/>
          <w:color w:val="35256B"/>
          <w:kern w:val="2"/>
          <w:sz w:val="24"/>
          <w14:ligatures w14:val="standardContextual"/>
        </w:rPr>
        <w:t xml:space="preserve"> </w:t>
      </w:r>
    </w:p>
    <w:p w14:paraId="3353CE83"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31263EE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2348BA9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6DBB91F2" w14:textId="77777777" w:rsidTr="005C00A5">
        <w:tc>
          <w:tcPr>
            <w:tcW w:w="1170" w:type="dxa"/>
          </w:tcPr>
          <w:p w14:paraId="382A873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529360A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7AF03F5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34B4C729" w14:textId="77777777" w:rsidTr="005C00A5">
        <w:tc>
          <w:tcPr>
            <w:tcW w:w="1170" w:type="dxa"/>
          </w:tcPr>
          <w:p w14:paraId="4FDAF5E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MP-3.2.1</w:t>
            </w:r>
          </w:p>
        </w:tc>
        <w:tc>
          <w:tcPr>
            <w:tcW w:w="2160" w:type="dxa"/>
          </w:tcPr>
          <w:p w14:paraId="1E18D55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System Justification and Cost-Benefit</w:t>
            </w:r>
          </w:p>
        </w:tc>
        <w:tc>
          <w:tcPr>
            <w:tcW w:w="6740" w:type="dxa"/>
          </w:tcPr>
          <w:p w14:paraId="39BE5C4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documents the rationale for using an AI system, including a comparative analysis of the benefits, risks, and costs associated with the AI system versus non-AI alternatives.</w:t>
            </w:r>
          </w:p>
          <w:p w14:paraId="56E7D80D" w14:textId="77777777" w:rsidR="00963E47" w:rsidRPr="00963E47" w:rsidRDefault="00963E47" w:rsidP="004C3837">
            <w:pPr>
              <w:keepNext/>
              <w:rPr>
                <w:rFonts w:ascii="Aptos" w:hAnsi="Aptos" w:cs="Times New Roman"/>
                <w:b/>
                <w:bCs/>
                <w:color w:val="000000"/>
                <w:sz w:val="20"/>
                <w:szCs w:val="20"/>
              </w:rPr>
            </w:pPr>
          </w:p>
          <w:p w14:paraId="17586203" w14:textId="77777777" w:rsidR="00963E47" w:rsidRPr="00963E47" w:rsidRDefault="00963E47" w:rsidP="004C3837">
            <w:pPr>
              <w:keepNext/>
              <w:rPr>
                <w:rFonts w:ascii="Aptos" w:hAnsi="Aptos" w:cs="Times New Roman"/>
                <w:b/>
                <w:bCs/>
                <w:color w:val="000000"/>
                <w:sz w:val="20"/>
                <w:szCs w:val="20"/>
              </w:rPr>
            </w:pPr>
            <w:hyperlink r:id="rId122" w:anchor="map-3-2" w:history="1">
              <w:r w:rsidRPr="00963E47">
                <w:rPr>
                  <w:rFonts w:ascii="Aptos" w:hAnsi="Aptos" w:cs="Times New Roman"/>
                  <w:color w:val="000000"/>
                  <w:sz w:val="20"/>
                  <w:szCs w:val="20"/>
                  <w:u w:val="single"/>
                </w:rPr>
                <w:t>Link to NIST AI RMF Playbook</w:t>
              </w:r>
            </w:hyperlink>
          </w:p>
        </w:tc>
      </w:tr>
    </w:tbl>
    <w:p w14:paraId="164940F8"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34E321A"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39E4D847"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4314299C" w14:textId="77777777" w:rsidTr="005C00A5">
        <w:trPr>
          <w:tblHeader/>
        </w:trPr>
        <w:tc>
          <w:tcPr>
            <w:tcW w:w="2160" w:type="dxa"/>
            <w:shd w:val="clear" w:color="auto" w:fill="CCDCDC"/>
            <w:vAlign w:val="center"/>
          </w:tcPr>
          <w:p w14:paraId="1B49E48D"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7CD1B702"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1466B400"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597C068A" w14:textId="77777777" w:rsidTr="005C00A5">
        <w:tc>
          <w:tcPr>
            <w:tcW w:w="2160" w:type="dxa"/>
            <w:shd w:val="clear" w:color="auto" w:fill="CCDCDC"/>
          </w:tcPr>
          <w:p w14:paraId="778D15B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7A86273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079AD22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7BECD80" w14:textId="77777777" w:rsidTr="005C00A5">
        <w:tc>
          <w:tcPr>
            <w:tcW w:w="2160" w:type="dxa"/>
            <w:shd w:val="clear" w:color="auto" w:fill="CCDCDC"/>
          </w:tcPr>
          <w:p w14:paraId="0613D21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416ED2A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3935F6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minimal stage document the rationale for using AI systems, including a basic comparative analysis of benefits, risks, and costs versus non-AI alternatives, but the analysis may not be comprehensive, as AI systems are not yet critical to their operations.</w:t>
            </w:r>
          </w:p>
        </w:tc>
      </w:tr>
      <w:tr w:rsidR="00963E47" w:rsidRPr="00963E47" w14:paraId="402C3FFF" w14:textId="77777777" w:rsidTr="005C00A5">
        <w:tc>
          <w:tcPr>
            <w:tcW w:w="2160" w:type="dxa"/>
            <w:shd w:val="clear" w:color="auto" w:fill="CCDCDC"/>
          </w:tcPr>
          <w:p w14:paraId="4DDE895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6D484A7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95C977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thoroughly document the rationale for using AI systems, including a comprehensive comparative analysis of benefits, risks, and costs versus non-AI alternatives.</w:t>
            </w:r>
          </w:p>
        </w:tc>
      </w:tr>
      <w:tr w:rsidR="00963E47" w:rsidRPr="00963E47" w14:paraId="612AC92F" w14:textId="77777777" w:rsidTr="005C00A5">
        <w:tc>
          <w:tcPr>
            <w:tcW w:w="2160" w:type="dxa"/>
            <w:shd w:val="clear" w:color="auto" w:fill="CCDCDC"/>
          </w:tcPr>
          <w:p w14:paraId="7C9FEC3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1E358D8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783AA5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maintain dynamic, continuously updated documentation of the rationale for using AI systems, with real-time comparative analysis of benefits, risks, and costs versus non-AI alternatives, informed by data-driven insights.</w:t>
            </w:r>
          </w:p>
        </w:tc>
      </w:tr>
    </w:tbl>
    <w:p w14:paraId="4174FA66"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6F5D81EA" w14:textId="77777777" w:rsidTr="005C00A5">
        <w:tc>
          <w:tcPr>
            <w:tcW w:w="2250" w:type="dxa"/>
          </w:tcPr>
          <w:p w14:paraId="3FB6EB3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676AF78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0DA789C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32AE7FC4" w14:textId="77777777" w:rsidTr="005C00A5">
        <w:tc>
          <w:tcPr>
            <w:tcW w:w="2250" w:type="dxa"/>
          </w:tcPr>
          <w:p w14:paraId="714DDA0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Explainable &amp; Interpretable</w:t>
            </w:r>
          </w:p>
        </w:tc>
        <w:tc>
          <w:tcPr>
            <w:tcW w:w="2520" w:type="dxa"/>
          </w:tcPr>
          <w:p w14:paraId="52B3223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Insufficient Rationale Documentation</w:t>
            </w:r>
          </w:p>
        </w:tc>
        <w:tc>
          <w:tcPr>
            <w:tcW w:w="5300" w:type="dxa"/>
          </w:tcPr>
          <w:p w14:paraId="3D34EE8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Comparative analysis and rationale for using an AI system is insufficient or undocumented</w:t>
            </w:r>
          </w:p>
        </w:tc>
      </w:tr>
    </w:tbl>
    <w:p w14:paraId="6B683ED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93ED61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1AA89F2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1EE70B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Document the rationale for using an AI system, including a comparative analysis of the benefits, risks, and costs associated with the AI system versus non-AI alternatives. This documentation should be clear, concise, and easily understandable to all relevant stakeholders.</w:t>
      </w:r>
    </w:p>
    <w:p w14:paraId="4367C6C5"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7F4151A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Engage with subject matter experts, such as data scientists, domain experts, and risk management professionals, to conduct a thorough analysis of the AI system and its alternatives. Use a standardized template for documenting the comparative analysis, and ensure that the documentation is regularly reviewed and updated as the AI system and its operating environment evolve.</w:t>
      </w:r>
    </w:p>
    <w:p w14:paraId="07E73916"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C85AF5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3FA5BA0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3DFB68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a Rationale and Decision Documentation Framework</w:t>
      </w:r>
    </w:p>
    <w:p w14:paraId="486A342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structured process and template for documenting the decision rationale, including comparative analyses, to ensure transparency and consistency.</w:t>
      </w:r>
    </w:p>
    <w:p w14:paraId="2D5FB79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C12627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Formal templates for documenting the justification for AI adoption, including benefit-risk-cost trade-offs.</w:t>
      </w:r>
    </w:p>
    <w:p w14:paraId="78581D7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Decision records with detailed analyses comparing AI versus non-AI options.</w:t>
      </w:r>
    </w:p>
    <w:p w14:paraId="676F147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Version-controlled documents capturing the evolution of the rationale.</w:t>
      </w:r>
    </w:p>
    <w:p w14:paraId="2B7179A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Approval logs from governance bodies endorsing the decision.</w:t>
      </w:r>
    </w:p>
    <w:p w14:paraId="3B5462F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F6493A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Comparative Analysis of Benefits, Risks, and Costs</w:t>
      </w:r>
    </w:p>
    <w:p w14:paraId="4080B71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a thorough analysis comparing AI solutions to traditional or non-AI alternatives, evaluating tangible and intangible benefits, associated risks, and total costs.</w:t>
      </w:r>
    </w:p>
    <w:p w14:paraId="24FDF11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D1798A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Benefit vs. risk vs. cost assessment reports.</w:t>
      </w:r>
    </w:p>
    <w:p w14:paraId="4D477A6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Financial models estimating ROI, TCO, and value-add scenarios.</w:t>
      </w:r>
    </w:p>
    <w:p w14:paraId="4A2FD5C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assessments highlighting specific AI-related risks versus alternative options.</w:t>
      </w:r>
    </w:p>
    <w:p w14:paraId="2828FFA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review and approval records.</w:t>
      </w:r>
    </w:p>
    <w:p w14:paraId="47E43A4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99D824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Inclusion of Non-AI Alternatives in Evaluation Processes</w:t>
      </w:r>
    </w:p>
    <w:p w14:paraId="4A9AA8C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Explicitly document and evaluate non-AI options, ensuring the decision considers all feasible approaches aligned with organizational goals and risk appetite.</w:t>
      </w:r>
    </w:p>
    <w:p w14:paraId="2A49470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8370A5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Evaluation matrices including both AI and non-AI options.</w:t>
      </w:r>
    </w:p>
    <w:p w14:paraId="5293D4C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alternative solution testing or piloting.</w:t>
      </w:r>
    </w:p>
    <w:p w14:paraId="0C56290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Trade-off analysis reports demonstrating choice rationale.</w:t>
      </w:r>
    </w:p>
    <w:p w14:paraId="6071233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Comparative scoring sheets with rationales for selected options.</w:t>
      </w:r>
    </w:p>
    <w:p w14:paraId="6F6028B3"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7065EA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of Rationale into Governance and Oversight</w:t>
      </w:r>
    </w:p>
    <w:p w14:paraId="2A6AF23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Incorporate the documented rationale into decision-making processes, project proposals, and governance reviews to ensure transparency and accountability.</w:t>
      </w:r>
    </w:p>
    <w:p w14:paraId="63DBA40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C30EEF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and decision approvals referencing the rationale.</w:t>
      </w:r>
    </w:p>
    <w:p w14:paraId="7C4C8A0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Project submission packages including comparative analysis reports.</w:t>
      </w:r>
    </w:p>
    <w:p w14:paraId="1F589BD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trails tying choices to documented benefits, risks, and costs.</w:t>
      </w:r>
    </w:p>
    <w:p w14:paraId="255F6AD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used in risk or compliance reviews.</w:t>
      </w:r>
    </w:p>
    <w:p w14:paraId="5892648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326EE7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Periodic Review and Update of Decision Rationale</w:t>
      </w:r>
    </w:p>
    <w:p w14:paraId="07968B1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review and update the rationale based on new data, technology developments, post-implementation reviews, or changing organizational priorities.</w:t>
      </w:r>
    </w:p>
    <w:p w14:paraId="3562DEF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D1103B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Reassessment reports with updated benefit-risk-cost profiles.</w:t>
      </w:r>
    </w:p>
    <w:p w14:paraId="00C7508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Revision logs reflecting changes in analysis due to new insights.</w:t>
      </w:r>
    </w:p>
    <w:p w14:paraId="796A145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implementation and operations teams.</w:t>
      </w:r>
    </w:p>
    <w:p w14:paraId="759BA67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decision documentation aligned with evolving business contexts.</w:t>
      </w:r>
    </w:p>
    <w:p w14:paraId="6F4D626A"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06C57838"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60A1AB9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3541E43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0C874FA9" w14:textId="77777777" w:rsidTr="005C00A5">
        <w:tc>
          <w:tcPr>
            <w:tcW w:w="1170" w:type="dxa"/>
          </w:tcPr>
          <w:p w14:paraId="3BDC78E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14162F5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32233A7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7774E8EF" w14:textId="77777777" w:rsidTr="005C00A5">
        <w:tc>
          <w:tcPr>
            <w:tcW w:w="1170" w:type="dxa"/>
          </w:tcPr>
          <w:p w14:paraId="3E07CB1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MP-3.2.2</w:t>
            </w:r>
          </w:p>
        </w:tc>
        <w:tc>
          <w:tcPr>
            <w:tcW w:w="2160" w:type="dxa"/>
          </w:tcPr>
          <w:p w14:paraId="4C0793F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Cost and Impact Assessment</w:t>
            </w:r>
          </w:p>
        </w:tc>
        <w:tc>
          <w:tcPr>
            <w:tcW w:w="6740" w:type="dxa"/>
          </w:tcPr>
          <w:p w14:paraId="59C342D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considers and documents potential monetary and non-monetary costs and potential impacts, including system performance, functionality, and trustworthiness, in alignment with its risk tolerance.</w:t>
            </w:r>
          </w:p>
          <w:p w14:paraId="32E72398" w14:textId="77777777" w:rsidR="00963E47" w:rsidRPr="00963E47" w:rsidRDefault="00963E47" w:rsidP="004C3837">
            <w:pPr>
              <w:keepNext/>
              <w:rPr>
                <w:rFonts w:ascii="Aptos" w:hAnsi="Aptos" w:cs="Times New Roman"/>
                <w:b/>
                <w:bCs/>
                <w:color w:val="000000"/>
                <w:sz w:val="20"/>
                <w:szCs w:val="20"/>
              </w:rPr>
            </w:pPr>
          </w:p>
          <w:p w14:paraId="684D45A0" w14:textId="77777777" w:rsidR="00963E47" w:rsidRPr="00963E47" w:rsidRDefault="00963E47" w:rsidP="004C3837">
            <w:pPr>
              <w:keepNext/>
              <w:rPr>
                <w:rFonts w:ascii="Aptos" w:hAnsi="Aptos" w:cs="Times New Roman"/>
                <w:b/>
                <w:bCs/>
                <w:color w:val="000000"/>
                <w:sz w:val="20"/>
                <w:szCs w:val="20"/>
              </w:rPr>
            </w:pPr>
            <w:hyperlink r:id="rId123" w:anchor="map-3-2" w:history="1">
              <w:r w:rsidRPr="00963E47">
                <w:rPr>
                  <w:rFonts w:ascii="Aptos" w:hAnsi="Aptos" w:cs="Times New Roman"/>
                  <w:color w:val="000000"/>
                  <w:sz w:val="20"/>
                  <w:szCs w:val="20"/>
                  <w:u w:val="single"/>
                </w:rPr>
                <w:t>Link to NIST AI RMF Playbook</w:t>
              </w:r>
            </w:hyperlink>
          </w:p>
        </w:tc>
      </w:tr>
    </w:tbl>
    <w:p w14:paraId="5B19028C"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9839A16"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lastRenderedPageBreak/>
        <w:t>Adoption Stage Applicability:</w:t>
      </w:r>
      <w:r w:rsidRPr="00963E47">
        <w:rPr>
          <w:rFonts w:ascii="Aptos" w:eastAsia="Aptos" w:hAnsi="Aptos" w:cs="Times New Roman"/>
          <w:color w:val="C00000"/>
          <w:kern w:val="2"/>
          <w:sz w:val="20"/>
          <w:szCs w:val="20"/>
          <w14:ligatures w14:val="standardContextual"/>
        </w:rPr>
        <w:t xml:space="preserve"> </w:t>
      </w:r>
    </w:p>
    <w:p w14:paraId="78BB270A"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049AA865" w14:textId="77777777" w:rsidTr="005C00A5">
        <w:trPr>
          <w:tblHeader/>
        </w:trPr>
        <w:tc>
          <w:tcPr>
            <w:tcW w:w="2160" w:type="dxa"/>
            <w:shd w:val="clear" w:color="auto" w:fill="CCDCDC"/>
            <w:vAlign w:val="center"/>
          </w:tcPr>
          <w:p w14:paraId="3ED59DCC"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24137BFE"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1A8893CC"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189C727F" w14:textId="77777777" w:rsidTr="005C00A5">
        <w:tc>
          <w:tcPr>
            <w:tcW w:w="2160" w:type="dxa"/>
            <w:shd w:val="clear" w:color="auto" w:fill="CCDCDC"/>
          </w:tcPr>
          <w:p w14:paraId="3C3ACF6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3733A2C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52F83F2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2AC39A15" w14:textId="77777777" w:rsidTr="005C00A5">
        <w:tc>
          <w:tcPr>
            <w:tcW w:w="2160" w:type="dxa"/>
            <w:shd w:val="clear" w:color="auto" w:fill="CCDCDC"/>
          </w:tcPr>
          <w:p w14:paraId="44E1411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108BBA3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B74CC0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have begun assessing and documenting potential costs and negative impacts of AI systems, but the process may not yet comprehensively consider all relevant factors or align fully with risk tolerance.</w:t>
            </w:r>
          </w:p>
        </w:tc>
      </w:tr>
      <w:tr w:rsidR="00963E47" w:rsidRPr="00963E47" w14:paraId="09FC9D11" w14:textId="77777777" w:rsidTr="005C00A5">
        <w:tc>
          <w:tcPr>
            <w:tcW w:w="2160" w:type="dxa"/>
            <w:shd w:val="clear" w:color="auto" w:fill="CCDCDC"/>
          </w:tcPr>
          <w:p w14:paraId="2CFAEF4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31BAFE0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DAFBD4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evolving stage conduct thorough, well-documented assessments of potential AI system costs and negative impacts, including a wide range of factors such as errors, limitations, failures, and trustworthiness issues, in close alignment with their established risk tolerance.</w:t>
            </w:r>
          </w:p>
        </w:tc>
      </w:tr>
      <w:tr w:rsidR="00963E47" w:rsidRPr="00963E47" w14:paraId="718FBDAE" w14:textId="77777777" w:rsidTr="005C00A5">
        <w:tc>
          <w:tcPr>
            <w:tcW w:w="2160" w:type="dxa"/>
            <w:shd w:val="clear" w:color="auto" w:fill="CCDCDC"/>
          </w:tcPr>
          <w:p w14:paraId="3B22540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2EFEECA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4CAC26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integrate cost and impact considerations into continuous risk management processes, ensuring responsible AI deployment aligned with AI Trustworthy Principles</w:t>
            </w:r>
          </w:p>
        </w:tc>
      </w:tr>
    </w:tbl>
    <w:p w14:paraId="326CB020"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016B1EEE" w14:textId="77777777" w:rsidTr="005C00A5">
        <w:tc>
          <w:tcPr>
            <w:tcW w:w="2250" w:type="dxa"/>
          </w:tcPr>
          <w:p w14:paraId="0EAD957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344BC7E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5A40C24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6B863758" w14:textId="77777777" w:rsidTr="005C00A5">
        <w:tc>
          <w:tcPr>
            <w:tcW w:w="2250" w:type="dxa"/>
          </w:tcPr>
          <w:p w14:paraId="058E35D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Explainable &amp; Interpretable</w:t>
            </w:r>
          </w:p>
        </w:tc>
        <w:tc>
          <w:tcPr>
            <w:tcW w:w="2520" w:type="dxa"/>
          </w:tcPr>
          <w:p w14:paraId="3BB4B82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Unconsidered Monetary Impacts</w:t>
            </w:r>
          </w:p>
        </w:tc>
        <w:tc>
          <w:tcPr>
            <w:tcW w:w="5300" w:type="dxa"/>
          </w:tcPr>
          <w:p w14:paraId="1F0A5C5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Monetary and non-monetary costs and impacts of AI not considered or documented</w:t>
            </w:r>
          </w:p>
        </w:tc>
      </w:tr>
    </w:tbl>
    <w:p w14:paraId="170629D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27F4B0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486F5C4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33339B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To effectively assess and document potential monetary and non-monetary impacts associated with the AI system, conduct risk assessments that align with the organization's risk tolerance. Engage relevant stakeholders, such as data scientists, domain experts, financial analysts, and risk management professionals, to identify and evaluate potential impacts, including system performance, functionality, and trustworthiness factors.</w:t>
      </w:r>
    </w:p>
    <w:p w14:paraId="0F396D2F"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291E5FF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 standardized framework for documenting risk assessment results, including the specific methods, tools, and criteria used, as well as the identified risks, their likelihood and potential impact, and recommended mitigation strategies. Ensure that the risk assessment process and documentation align with the organization's overall risk management policies and procedures, and that they are regularly reviewed and updated to maintain accuracy and relevance.</w:t>
      </w:r>
    </w:p>
    <w:p w14:paraId="0D537F6A"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74BB75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Use the insights gained from the risk assessments to inform ongoing development, testing, and deployment decisions for the AI system. Prioritize risk mitigation efforts based on the organization's risk tolerance to ensure informed decision-making throughout the AI system’s lifecycle.</w:t>
      </w:r>
    </w:p>
    <w:p w14:paraId="0EC53011"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DD1BD2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3251D41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841365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a Cost and Impact Assessment Framework</w:t>
      </w:r>
    </w:p>
    <w:p w14:paraId="48CD865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structured process and templates for identifying, evaluating, and documenting potential costs and impacts, ensuring consistency and alignment with organizational risk appetite.</w:t>
      </w:r>
    </w:p>
    <w:p w14:paraId="0FA8557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7E341C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Standardized assessment templates capturing financial, operational, reputational, and trust-related impacts.</w:t>
      </w:r>
    </w:p>
    <w:p w14:paraId="745EFB5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Guidelines outlining criteria for evaluating costs and impacts relative to risk tolerance levels.</w:t>
      </w:r>
    </w:p>
    <w:p w14:paraId="7ADDB54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Impact and cost registers with linked risk assessments.</w:t>
      </w:r>
    </w:p>
    <w:p w14:paraId="267FB81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documentation for transparency.</w:t>
      </w:r>
    </w:p>
    <w:p w14:paraId="0CC506DF"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DA5504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Identification of Monetary and Non-Monetary Costs and Impacts</w:t>
      </w:r>
    </w:p>
    <w:p w14:paraId="4A06C27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Systematically identify potential direct and indirect costs (e.g., maintenance, downtime, reputational harm) and impacts (e.g., system limitations, user trust, other considerations).</w:t>
      </w:r>
    </w:p>
    <w:p w14:paraId="005FFC8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D673C4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registers including cost and impact estimates tied to system features.</w:t>
      </w:r>
    </w:p>
    <w:p w14:paraId="7C7F5D7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input sessions highlighting potential impacts on trust, reputation, or compliance.</w:t>
      </w:r>
    </w:p>
    <w:p w14:paraId="3D31439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Analyses of operational scenarios and their associated costs and impacts.</w:t>
      </w:r>
    </w:p>
    <w:p w14:paraId="25FBF6D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assumptions and source data used.</w:t>
      </w:r>
    </w:p>
    <w:p w14:paraId="4E38716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663BFE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Alignment of Cost and Impact Considerations with Risk Tolerance</w:t>
      </w:r>
    </w:p>
    <w:p w14:paraId="1BC5FD4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Evaluate costs and impacts in the context of organizational risk appetite, setting thresholds for acceptable levels and triggers for mitigation actions.</w:t>
      </w:r>
    </w:p>
    <w:p w14:paraId="15933A8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C3938C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appetite statements referencing monetary and non-monetary impacts.</w:t>
      </w:r>
    </w:p>
    <w:p w14:paraId="4A447ED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Impact vs. tolerance threshold matrices guiding decision-making.</w:t>
      </w:r>
    </w:p>
    <w:p w14:paraId="40C3CA3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Management approval documents or risk review reports indicating accepted impact levels.</w:t>
      </w:r>
    </w:p>
    <w:p w14:paraId="32306E7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Trade-off analyses demonstrating alignment with organizational standards.</w:t>
      </w:r>
    </w:p>
    <w:p w14:paraId="070B0C6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DE762D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into Design, Deployment, and Monitoring Processes</w:t>
      </w:r>
    </w:p>
    <w:p w14:paraId="40C8D93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Incorporate cost and impact considerations into system design, deployment planning, and operational monitoring to proactively manage risks.</w:t>
      </w:r>
    </w:p>
    <w:p w14:paraId="74428C9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817723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Design review checklists including impact and cost considerations.</w:t>
      </w:r>
    </w:p>
    <w:p w14:paraId="768666C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Deployment plans with impact mitigation strategies.</w:t>
      </w:r>
    </w:p>
    <w:p w14:paraId="1D229BB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dashboards tracking actual costs and impacts over time.</w:t>
      </w:r>
    </w:p>
    <w:p w14:paraId="53BD96C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review reports including cost/impact assessments.</w:t>
      </w:r>
    </w:p>
    <w:p w14:paraId="2B4E001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A66949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Periodic Review and Updating of Cost and Impact Documentation</w:t>
      </w:r>
    </w:p>
    <w:p w14:paraId="7C5EAEE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Schedule regular reviews to update impact and cost assessments, incorporating new data, lessons learned, and evolving stakeholder expectations.</w:t>
      </w:r>
    </w:p>
    <w:p w14:paraId="5768DC8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CE06C8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and meeting records.</w:t>
      </w:r>
    </w:p>
    <w:p w14:paraId="78B02FD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impact registers reflecting system changes or new impacts.</w:t>
      </w:r>
    </w:p>
    <w:p w14:paraId="1A2818F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from deployment or incidents influencing assessments.</w:t>
      </w:r>
    </w:p>
    <w:p w14:paraId="0F523E5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showing revisions and approvals.</w:t>
      </w:r>
    </w:p>
    <w:p w14:paraId="612EEA3F"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39" w:name="_Toc214874784"/>
      <w:r w:rsidRPr="00963E47">
        <w:rPr>
          <w:rFonts w:ascii="Aptos" w:eastAsia="Aptos" w:hAnsi="Aptos" w:cs="Times New Roman"/>
          <w:b/>
          <w:bCs/>
          <w:noProof/>
          <w:color w:val="35256B"/>
          <w:kern w:val="2"/>
          <w:sz w:val="24"/>
          <w14:ligatures w14:val="standardContextual"/>
        </w:rPr>
        <w:t>MAP / Understanding Costs and Benefits / Documenting the Application Scope of the AI System</w:t>
      </w:r>
      <w:bookmarkEnd w:id="39"/>
      <w:r w:rsidRPr="00963E47">
        <w:rPr>
          <w:rFonts w:ascii="Aptos" w:eastAsia="Aptos" w:hAnsi="Aptos" w:cs="Times New Roman"/>
          <w:b/>
          <w:bCs/>
          <w:noProof/>
          <w:color w:val="35256B"/>
          <w:kern w:val="2"/>
          <w:sz w:val="24"/>
          <w14:ligatures w14:val="standardContextual"/>
        </w:rPr>
        <w:t xml:space="preserve"> </w:t>
      </w:r>
    </w:p>
    <w:p w14:paraId="5FDD4DC6"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47FD8B6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64DAE76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268B2893" w14:textId="77777777" w:rsidTr="005C00A5">
        <w:tc>
          <w:tcPr>
            <w:tcW w:w="1170" w:type="dxa"/>
          </w:tcPr>
          <w:p w14:paraId="3CEB6E1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2EEA8FB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77983DE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0786103E" w14:textId="77777777" w:rsidTr="005C00A5">
        <w:tc>
          <w:tcPr>
            <w:tcW w:w="1170" w:type="dxa"/>
          </w:tcPr>
          <w:p w14:paraId="43A053A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MP-3.3.1</w:t>
            </w:r>
          </w:p>
        </w:tc>
        <w:tc>
          <w:tcPr>
            <w:tcW w:w="2160" w:type="dxa"/>
          </w:tcPr>
          <w:p w14:paraId="78B6667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Application Scope Definition</w:t>
            </w:r>
          </w:p>
        </w:tc>
        <w:tc>
          <w:tcPr>
            <w:tcW w:w="6740" w:type="dxa"/>
          </w:tcPr>
          <w:p w14:paraId="0884D40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defines, specifies, and assesses the AI system's targeted application scope, considering its capabilities, limitations, context, and categorization. The organization engages relevant stakeholders (e.g., domain experts, end users) to validate the targeted application scope, aligning it with the AI system's intended purpose and organizational goals and AI  Trustworthy Principles.</w:t>
            </w:r>
          </w:p>
          <w:p w14:paraId="6AC77F7D" w14:textId="77777777" w:rsidR="00963E47" w:rsidRPr="00963E47" w:rsidRDefault="00963E47" w:rsidP="004C3837">
            <w:pPr>
              <w:keepNext/>
              <w:rPr>
                <w:rFonts w:ascii="Aptos" w:hAnsi="Aptos" w:cs="Times New Roman"/>
                <w:b/>
                <w:bCs/>
                <w:color w:val="000000"/>
                <w:sz w:val="20"/>
                <w:szCs w:val="20"/>
              </w:rPr>
            </w:pPr>
          </w:p>
          <w:p w14:paraId="0272C1EB" w14:textId="77777777" w:rsidR="00963E47" w:rsidRPr="00963E47" w:rsidRDefault="00963E47" w:rsidP="004C3837">
            <w:pPr>
              <w:keepNext/>
              <w:rPr>
                <w:rFonts w:ascii="Aptos" w:hAnsi="Aptos" w:cs="Times New Roman"/>
                <w:b/>
                <w:bCs/>
                <w:color w:val="000000"/>
                <w:sz w:val="20"/>
                <w:szCs w:val="20"/>
              </w:rPr>
            </w:pPr>
            <w:hyperlink r:id="rId124" w:anchor="map-3-3" w:history="1">
              <w:r w:rsidRPr="00963E47">
                <w:rPr>
                  <w:rFonts w:ascii="Aptos" w:hAnsi="Aptos" w:cs="Times New Roman"/>
                  <w:color w:val="000000"/>
                  <w:sz w:val="20"/>
                  <w:szCs w:val="20"/>
                  <w:u w:val="single"/>
                </w:rPr>
                <w:t>Link to NIST AI RMF Playbook</w:t>
              </w:r>
            </w:hyperlink>
          </w:p>
        </w:tc>
      </w:tr>
    </w:tbl>
    <w:p w14:paraId="3D29D306"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8915601"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lastRenderedPageBreak/>
        <w:t>Adoption Stage Applicability:</w:t>
      </w:r>
      <w:r w:rsidRPr="00963E47">
        <w:rPr>
          <w:rFonts w:ascii="Aptos" w:eastAsia="Aptos" w:hAnsi="Aptos" w:cs="Times New Roman"/>
          <w:color w:val="C00000"/>
          <w:kern w:val="2"/>
          <w:sz w:val="20"/>
          <w:szCs w:val="20"/>
          <w14:ligatures w14:val="standardContextual"/>
        </w:rPr>
        <w:t xml:space="preserve"> </w:t>
      </w:r>
    </w:p>
    <w:p w14:paraId="4A9D1DD5"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5FCF93BE" w14:textId="77777777" w:rsidTr="005C00A5">
        <w:trPr>
          <w:tblHeader/>
        </w:trPr>
        <w:tc>
          <w:tcPr>
            <w:tcW w:w="2160" w:type="dxa"/>
            <w:shd w:val="clear" w:color="auto" w:fill="CCDCDC"/>
            <w:vAlign w:val="center"/>
          </w:tcPr>
          <w:p w14:paraId="088E5A6F"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583016EF"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47ECBB05"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56BAFA77" w14:textId="77777777" w:rsidTr="005C00A5">
        <w:tc>
          <w:tcPr>
            <w:tcW w:w="2160" w:type="dxa"/>
            <w:shd w:val="clear" w:color="auto" w:fill="CCDCDC"/>
          </w:tcPr>
          <w:p w14:paraId="3963D39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45B8189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29484E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3AFA5029" w14:textId="77777777" w:rsidTr="005C00A5">
        <w:tc>
          <w:tcPr>
            <w:tcW w:w="2160" w:type="dxa"/>
            <w:shd w:val="clear" w:color="auto" w:fill="CCDCDC"/>
          </w:tcPr>
          <w:p w14:paraId="5E2786B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2D66F78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23233C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have begun defining and specifying the targeted application scope for AI systems, but the assessment of appropriateness and documentation of risks may not yet be comprehensive or consistent.</w:t>
            </w:r>
          </w:p>
        </w:tc>
      </w:tr>
      <w:tr w:rsidR="00963E47" w:rsidRPr="00963E47" w14:paraId="2C99FB1E" w14:textId="77777777" w:rsidTr="005C00A5">
        <w:tc>
          <w:tcPr>
            <w:tcW w:w="2160" w:type="dxa"/>
            <w:shd w:val="clear" w:color="auto" w:fill="CCDCDC"/>
          </w:tcPr>
          <w:p w14:paraId="2FE2051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0CE944A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BFB8E9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evolving stage have established clear processes for thoroughly defining, specifying, and assessing the appropriateness of AI system targeted application scopes based on a comprehensive consideration of capabilities, limitations, context, and categorization, with well-documented risk assessments.</w:t>
            </w:r>
          </w:p>
        </w:tc>
      </w:tr>
      <w:tr w:rsidR="00963E47" w:rsidRPr="00963E47" w14:paraId="346D9407" w14:textId="77777777" w:rsidTr="005C00A5">
        <w:tc>
          <w:tcPr>
            <w:tcW w:w="2160" w:type="dxa"/>
            <w:shd w:val="clear" w:color="auto" w:fill="CCDCDC"/>
          </w:tcPr>
          <w:p w14:paraId="2A4373A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78B8D1F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55CCE9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fully embedded stage integrate stakeholder engagement and scope assessment into their development lifecycle, continuously validating and aligning AI deployment with organizational goals and AI Trustworthy Principles.</w:t>
            </w:r>
          </w:p>
        </w:tc>
      </w:tr>
    </w:tbl>
    <w:p w14:paraId="6AD493FA"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462E9536" w14:textId="77777777" w:rsidTr="005C00A5">
        <w:tc>
          <w:tcPr>
            <w:tcW w:w="2250" w:type="dxa"/>
          </w:tcPr>
          <w:p w14:paraId="783DC9F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7579009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3E1852D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7D3A10EF" w14:textId="77777777" w:rsidTr="005C00A5">
        <w:tc>
          <w:tcPr>
            <w:tcW w:w="2250" w:type="dxa"/>
          </w:tcPr>
          <w:p w14:paraId="041F1EA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38E86F1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Undefined Application Scope</w:t>
            </w:r>
          </w:p>
        </w:tc>
        <w:tc>
          <w:tcPr>
            <w:tcW w:w="5300" w:type="dxa"/>
          </w:tcPr>
          <w:p w14:paraId="47FAD7E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system's application scope lacks definition and validation</w:t>
            </w:r>
          </w:p>
        </w:tc>
      </w:tr>
    </w:tbl>
    <w:p w14:paraId="37A8945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950913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02DFFE9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636BA4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To effectively define, specify, and assess the appropriateness of the AI system's targeted application scope, conduct a thorough analysis of the system's capabilities, limitations, context, and categorization. Engage relevant stakeholders, such as data scientists, domain experts, and system architects, to gather input on the system's technical specifications, performance metrics, and intended use cases. </w:t>
      </w:r>
    </w:p>
    <w:p w14:paraId="5C940975"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63BC70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Evaluate the system's capabilities and limitations considering its intended context of use, as well as factors such as data availability and quality, computational resources, and potential risks or unintended consequences. Document the results of this analysis, including a clear and concise definition of the targeted application scope, as well as identified risks or limitations.</w:t>
      </w:r>
    </w:p>
    <w:p w14:paraId="2E4F95F0"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E37E0B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Ensure the documentation is easily accessible to relevant parties, and that it is regularly reviewed and updated as needed to maintain accuracy and relevance.</w:t>
      </w:r>
    </w:p>
    <w:p w14:paraId="00B4C618"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22032A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18430EE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F9F6CA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Formal Definition and Specification of Application Scope</w:t>
      </w:r>
    </w:p>
    <w:p w14:paraId="0219064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 structured process and documentation template to clearly define and specify the AI system’s intended application scope, including capabilities, limitations, and contextual boundaries.</w:t>
      </w:r>
    </w:p>
    <w:p w14:paraId="1511758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9D5AEC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Scope documents outlining system purpose, target tasks, and environmental conditions.</w:t>
      </w:r>
    </w:p>
    <w:p w14:paraId="759FF69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Use case descriptions with boundaries and constraints.</w:t>
      </w:r>
    </w:p>
    <w:p w14:paraId="14C4E6D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Categorization frameworks classifying the AI’s application domain and risk levels.</w:t>
      </w:r>
    </w:p>
    <w:p w14:paraId="60D7841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specification documents.</w:t>
      </w:r>
    </w:p>
    <w:p w14:paraId="46F4427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3A6F20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Stakeholder Engagement and Validation of Scope</w:t>
      </w:r>
    </w:p>
    <w:p w14:paraId="56A0AB3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engagement sessions with relevant stakeholders (e.g., domain experts, end users) to review, validate, and refine the specified application scope, ensuring alignment with organizational goals and AI Trustworthy Principles.</w:t>
      </w:r>
    </w:p>
    <w:p w14:paraId="6CD6778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AB3BE7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agendas, interview transcripts, or workshops with stakeholder input.</w:t>
      </w:r>
    </w:p>
    <w:p w14:paraId="5C9DFDF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forms and validation logs confirming stakeholder agreement.</w:t>
      </w:r>
    </w:p>
    <w:p w14:paraId="3424015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discussions aligning scope with organizational objectives.</w:t>
      </w:r>
    </w:p>
    <w:p w14:paraId="6454F51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Sign-off documentation from key stakeholders.</w:t>
      </w:r>
    </w:p>
    <w:p w14:paraId="2A4B8F4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FC496C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Assessment of Capabilities, Limitations, and Context</w:t>
      </w:r>
    </w:p>
    <w:p w14:paraId="23D8E6B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Perform and document assessments of the system’s actual capabilities and limitations within the specified scope, considering operational environment and broader implications.</w:t>
      </w:r>
    </w:p>
    <w:p w14:paraId="5317206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94375F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Capability and limitation assessment reports.</w:t>
      </w:r>
    </w:p>
    <w:p w14:paraId="6C11A7C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analysis focusing on misapplication or scope creep.</w:t>
      </w:r>
    </w:p>
    <w:p w14:paraId="7C5E3A5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Contextual analysis considering external factors.</w:t>
      </w:r>
    </w:p>
    <w:p w14:paraId="45F1B6C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Evaluation matrices comparing specifications with real-world performance.</w:t>
      </w:r>
    </w:p>
    <w:p w14:paraId="64FD1A8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CEE7B2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Alignment with Organizational Goals and AI Trustworthy Principles</w:t>
      </w:r>
    </w:p>
    <w:p w14:paraId="43F7CBD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Verify that the targeted application scope aligns with organizational goals, policies, and AI Trustworthy Principles such as fairness, transparency, and safety.</w:t>
      </w:r>
    </w:p>
    <w:p w14:paraId="145462F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466098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Alignment matrices showing the relationship between scope and principles.</w:t>
      </w:r>
    </w:p>
    <w:p w14:paraId="598871C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review and sign-off records affirming consistency.</w:t>
      </w:r>
    </w:p>
    <w:p w14:paraId="6281FB8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Policy compliance checklists applied during scope validation.</w:t>
      </w:r>
    </w:p>
    <w:p w14:paraId="2F9AEC7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Internal reports demonstrating decision traceability.</w:t>
      </w:r>
    </w:p>
    <w:p w14:paraId="656D7DB2"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47BFCEB"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Periodic Review and Adjustment of Application Scope</w:t>
      </w:r>
    </w:p>
    <w:p w14:paraId="13A2826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review the scope in light of operational feedback, technological evolution, and emerging risks, updating specifications and stakeholder consensus as needed.</w:t>
      </w:r>
    </w:p>
    <w:p w14:paraId="5C70E09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164C56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Scheduled review agendas and meeting minutes.</w:t>
      </w:r>
    </w:p>
    <w:p w14:paraId="41F6551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scope documents reflecting re-assessment outcomes.</w:t>
      </w:r>
    </w:p>
    <w:p w14:paraId="222A33D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logs from users and domain experts informing scope adjustments.</w:t>
      </w:r>
    </w:p>
    <w:p w14:paraId="4813573B" w14:textId="77777777" w:rsidR="00963E47" w:rsidRPr="00963E47" w:rsidRDefault="00963E47" w:rsidP="004C3837">
      <w:pPr>
        <w:rPr>
          <w:rFonts w:ascii="Aptos" w:eastAsia="Aptos" w:hAnsi="Aptos" w:cs="Times New Roman"/>
          <w:color w:val="auto"/>
          <w:kern w:val="2"/>
          <w:sz w:val="20"/>
          <w:szCs w:val="20"/>
          <w:lang w:val="fr-CA"/>
          <w14:ligatures w14:val="standardContextual"/>
        </w:rPr>
      </w:pPr>
      <w:r w:rsidRPr="00963E47">
        <w:rPr>
          <w:rFonts w:ascii="Aptos" w:eastAsia="Aptos" w:hAnsi="Aptos" w:cs="Times New Roman"/>
          <w:noProof/>
          <w:color w:val="auto"/>
          <w:kern w:val="2"/>
          <w:sz w:val="20"/>
          <w:szCs w:val="20"/>
          <w:lang w:val="fr-CA"/>
          <w14:ligatures w14:val="standardContextual"/>
        </w:rPr>
        <w:t>• Change management records documenting scope revisions.</w:t>
      </w:r>
    </w:p>
    <w:p w14:paraId="29065F02"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40" w:name="_Toc214874785"/>
      <w:r w:rsidRPr="00963E47">
        <w:rPr>
          <w:rFonts w:ascii="Aptos" w:eastAsia="Aptos" w:hAnsi="Aptos" w:cs="Times New Roman"/>
          <w:b/>
          <w:bCs/>
          <w:noProof/>
          <w:color w:val="35256B"/>
          <w:kern w:val="2"/>
          <w:sz w:val="24"/>
          <w14:ligatures w14:val="standardContextual"/>
        </w:rPr>
        <w:t>MAP / Understanding Costs and Benefits / Defining Operator Proficiency</w:t>
      </w:r>
      <w:bookmarkEnd w:id="40"/>
      <w:r w:rsidRPr="00963E47">
        <w:rPr>
          <w:rFonts w:ascii="Aptos" w:eastAsia="Aptos" w:hAnsi="Aptos" w:cs="Times New Roman"/>
          <w:b/>
          <w:bCs/>
          <w:noProof/>
          <w:color w:val="35256B"/>
          <w:kern w:val="2"/>
          <w:sz w:val="24"/>
          <w14:ligatures w14:val="standardContextual"/>
        </w:rPr>
        <w:t xml:space="preserve"> </w:t>
      </w:r>
    </w:p>
    <w:p w14:paraId="74778AC4"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2913868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6D1BBBB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327A9313" w14:textId="77777777" w:rsidTr="005C00A5">
        <w:tc>
          <w:tcPr>
            <w:tcW w:w="1170" w:type="dxa"/>
          </w:tcPr>
          <w:p w14:paraId="5BFDEFF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37EBBA7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695D11A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16E87D90" w14:textId="77777777" w:rsidTr="005C00A5">
        <w:tc>
          <w:tcPr>
            <w:tcW w:w="1170" w:type="dxa"/>
          </w:tcPr>
          <w:p w14:paraId="2369193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MP-3.4.1</w:t>
            </w:r>
          </w:p>
        </w:tc>
        <w:tc>
          <w:tcPr>
            <w:tcW w:w="2160" w:type="dxa"/>
          </w:tcPr>
          <w:p w14:paraId="11F9409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Operator and Practitioner Proficiency Levels</w:t>
            </w:r>
          </w:p>
        </w:tc>
        <w:tc>
          <w:tcPr>
            <w:tcW w:w="6740" w:type="dxa"/>
          </w:tcPr>
          <w:p w14:paraId="223023D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defines and documents required proficiency levels for operators and practitioners interacting with the AI system, considering performance and trustworthiness characteristics, as well as relevant technical standards and certifications.</w:t>
            </w:r>
          </w:p>
          <w:p w14:paraId="2BDAFAE5" w14:textId="77777777" w:rsidR="00963E47" w:rsidRPr="00963E47" w:rsidRDefault="00963E47" w:rsidP="004C3837">
            <w:pPr>
              <w:keepNext/>
              <w:rPr>
                <w:rFonts w:ascii="Aptos" w:hAnsi="Aptos" w:cs="Times New Roman"/>
                <w:b/>
                <w:bCs/>
                <w:color w:val="000000"/>
                <w:sz w:val="20"/>
                <w:szCs w:val="20"/>
              </w:rPr>
            </w:pPr>
          </w:p>
          <w:p w14:paraId="0AD7E13C" w14:textId="77777777" w:rsidR="00963E47" w:rsidRPr="00963E47" w:rsidRDefault="00963E47" w:rsidP="004C3837">
            <w:pPr>
              <w:keepNext/>
              <w:rPr>
                <w:rFonts w:ascii="Aptos" w:hAnsi="Aptos" w:cs="Times New Roman"/>
                <w:b/>
                <w:bCs/>
                <w:color w:val="000000"/>
                <w:sz w:val="20"/>
                <w:szCs w:val="20"/>
              </w:rPr>
            </w:pPr>
            <w:hyperlink r:id="rId125" w:anchor="map-3-4" w:history="1">
              <w:r w:rsidRPr="00963E47">
                <w:rPr>
                  <w:rFonts w:ascii="Aptos" w:hAnsi="Aptos" w:cs="Times New Roman"/>
                  <w:color w:val="000000"/>
                  <w:sz w:val="20"/>
                  <w:szCs w:val="20"/>
                  <w:u w:val="single"/>
                </w:rPr>
                <w:t>Link to NIST AI RMF Playbook</w:t>
              </w:r>
            </w:hyperlink>
          </w:p>
        </w:tc>
      </w:tr>
    </w:tbl>
    <w:p w14:paraId="7025AAB7"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0133187"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lastRenderedPageBreak/>
        <w:t>Adoption Stage Applicability:</w:t>
      </w:r>
      <w:r w:rsidRPr="00963E47">
        <w:rPr>
          <w:rFonts w:ascii="Aptos" w:eastAsia="Aptos" w:hAnsi="Aptos" w:cs="Times New Roman"/>
          <w:color w:val="C00000"/>
          <w:kern w:val="2"/>
          <w:sz w:val="20"/>
          <w:szCs w:val="20"/>
          <w14:ligatures w14:val="standardContextual"/>
        </w:rPr>
        <w:t xml:space="preserve"> </w:t>
      </w:r>
    </w:p>
    <w:p w14:paraId="2B5FFC68"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2873C709" w14:textId="77777777" w:rsidTr="005C00A5">
        <w:trPr>
          <w:tblHeader/>
        </w:trPr>
        <w:tc>
          <w:tcPr>
            <w:tcW w:w="2160" w:type="dxa"/>
            <w:shd w:val="clear" w:color="auto" w:fill="CCDCDC"/>
            <w:vAlign w:val="center"/>
          </w:tcPr>
          <w:p w14:paraId="1C62FF12"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1CE00E7D"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5A9886AF"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7D05F4E8" w14:textId="77777777" w:rsidTr="005C00A5">
        <w:tc>
          <w:tcPr>
            <w:tcW w:w="2160" w:type="dxa"/>
            <w:shd w:val="clear" w:color="auto" w:fill="CCDCDC"/>
          </w:tcPr>
          <w:p w14:paraId="7CA7677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3D39B0E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94451E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2F6094D1" w14:textId="77777777" w:rsidTr="005C00A5">
        <w:tc>
          <w:tcPr>
            <w:tcW w:w="2160" w:type="dxa"/>
            <w:shd w:val="clear" w:color="auto" w:fill="CCDCDC"/>
          </w:tcPr>
          <w:p w14:paraId="6891761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2F6D574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0B94A3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have begun defining and documenting proficiency requirements for AI system operators and practitioners, but the process may not yet comprehensively consider all relevant factors or align fully with technical standards and certifications.</w:t>
            </w:r>
          </w:p>
        </w:tc>
      </w:tr>
      <w:tr w:rsidR="00963E47" w:rsidRPr="00963E47" w14:paraId="3F55B3BD" w14:textId="77777777" w:rsidTr="005C00A5">
        <w:tc>
          <w:tcPr>
            <w:tcW w:w="2160" w:type="dxa"/>
            <w:shd w:val="clear" w:color="auto" w:fill="CCDCDC"/>
          </w:tcPr>
          <w:p w14:paraId="2739ED4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7451282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87DDB5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evolving stage have established clear processes for thoroughly defining and documenting required proficiency levels for AI system operators and practitioners based on a comprehensive consideration of performance, trustworthiness, and relevant technical standards and certifications.</w:t>
            </w:r>
          </w:p>
        </w:tc>
      </w:tr>
      <w:tr w:rsidR="00963E47" w:rsidRPr="00963E47" w14:paraId="0BA90A06" w14:textId="77777777" w:rsidTr="005C00A5">
        <w:tc>
          <w:tcPr>
            <w:tcW w:w="2160" w:type="dxa"/>
            <w:shd w:val="clear" w:color="auto" w:fill="CCDCDC"/>
          </w:tcPr>
          <w:p w14:paraId="55DD268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201C3D8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671ED4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embed proficiency standards into training and certification programs, ensuring consistent expertise and responsible AI operation aligned with AI Trustworthy Principles.</w:t>
            </w:r>
          </w:p>
        </w:tc>
      </w:tr>
    </w:tbl>
    <w:p w14:paraId="6EF24F6F"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6582880C" w14:textId="77777777" w:rsidTr="005C00A5">
        <w:tc>
          <w:tcPr>
            <w:tcW w:w="2250" w:type="dxa"/>
          </w:tcPr>
          <w:p w14:paraId="60DE4B8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4B059F1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31B41B2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42168404" w14:textId="77777777" w:rsidTr="005C00A5">
        <w:tc>
          <w:tcPr>
            <w:tcW w:w="2250" w:type="dxa"/>
          </w:tcPr>
          <w:p w14:paraId="5BAA2F3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2AE3332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Undefined Proficiency Levels</w:t>
            </w:r>
          </w:p>
        </w:tc>
        <w:tc>
          <w:tcPr>
            <w:tcW w:w="5300" w:type="dxa"/>
          </w:tcPr>
          <w:p w14:paraId="692EC3B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Required proficiency levels for interacting with the AI system are not defined or documented</w:t>
            </w:r>
          </w:p>
        </w:tc>
      </w:tr>
    </w:tbl>
    <w:p w14:paraId="74D36D0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E0BCFF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5635DF6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BC8D79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To effectively define and document the required proficiency levels for operators and practitioners interacting with the AI system, conduct an analysis of the system's performance and trustworthiness characteristics, as well as relevant technical standards and certifications. Engage relevant stakeholders, such as data scientists, domain experts, and system architects, to gather input on the specific skills, knowledge, and competencies required to safely and effectively operate the AI system.</w:t>
      </w:r>
    </w:p>
    <w:p w14:paraId="1304E11B"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D3C837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Consider factors such as the system's complexity, potential risks and limitations, and the context of use during this analysis. Document the results of this analysis, including clear and concise definitions of the required proficiency levels for each relevant role, as well as any applicable technical standards or certifications.</w:t>
      </w:r>
    </w:p>
    <w:p w14:paraId="558CC1C6"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13F2BCB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Ensure the documentation is easily accessible to relevant parties and regularly reviewed and updated as needed to maintain accuracy and relevance.</w:t>
      </w:r>
    </w:p>
    <w:p w14:paraId="623DC47D"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6A7E8B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2297B79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16B8A5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Competency and Proficiency Framework</w:t>
      </w:r>
    </w:p>
    <w:p w14:paraId="05A77EC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formal framework for defining proficiency levels, including knowledge, skills, and certifications required for operators, practitioners, and relevant personnel.</w:t>
      </w:r>
    </w:p>
    <w:p w14:paraId="05B686B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65AAA5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Competency matrices outlining required knowledge, skills, and certification levels.</w:t>
      </w:r>
    </w:p>
    <w:p w14:paraId="1F469F1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Role-based proficiency level definitions aligned with system complexity and risk.</w:t>
      </w:r>
    </w:p>
    <w:p w14:paraId="7352A92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Certification or training program outlines linked to proficiency levels.</w:t>
      </w:r>
    </w:p>
    <w:p w14:paraId="4530D91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proficiency frameworks.</w:t>
      </w:r>
    </w:p>
    <w:p w14:paraId="7E046A8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A77482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Performance and Trustworthiness Criteria</w:t>
      </w:r>
    </w:p>
    <w:p w14:paraId="1D1715B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Explicitly document performance, safety, and trustworthiness criteria that influence proficiency requirements, ensuring alignment with organizational standards to create a clear framework that guides personnel development and AI system interaction.</w:t>
      </w:r>
    </w:p>
    <w:p w14:paraId="19A8233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25C78E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Performance benchmarks and trustworthiness standards incorporated into proficiency definitions.</w:t>
      </w:r>
    </w:p>
    <w:p w14:paraId="10973A6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materials explaining the relationship between skills and trustworthiness characteristics.</w:t>
      </w:r>
    </w:p>
    <w:p w14:paraId="14A7ED9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Assessment rubrics evaluating proficiency against critical system attributes.</w:t>
      </w:r>
    </w:p>
    <w:p w14:paraId="095181F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Certification prerequisites linked to system trust and safety.</w:t>
      </w:r>
    </w:p>
    <w:p w14:paraId="16F45DC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7BDEB0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Certification, Training, and Assessment Procedures</w:t>
      </w:r>
    </w:p>
    <w:p w14:paraId="0BEEB96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structured training, certification, and evaluation processes to verify personnel attainment of proficiency levels, maintaining records of assessment to ensure accountability and track the progress of operators and practitioners.</w:t>
      </w:r>
    </w:p>
    <w:p w14:paraId="604A4A1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D08AF9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curricula with assessments aligned to proficiency levels.</w:t>
      </w:r>
    </w:p>
    <w:p w14:paraId="7144206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Certification records or digital badges indicating proficiency achievement.</w:t>
      </w:r>
    </w:p>
    <w:p w14:paraId="5D9BB0E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Exam or practical test results demonstrating skill levels.</w:t>
      </w:r>
    </w:p>
    <w:p w14:paraId="38DEBBF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Periodic re-assessment and recertification logs.</w:t>
      </w:r>
    </w:p>
    <w:p w14:paraId="53DE3DC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FF52B4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into Role Management and Performance Reviews</w:t>
      </w:r>
    </w:p>
    <w:p w14:paraId="4B8AF64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structured training, certification, and evaluation processes to verify personnel attainment of proficiency levels, maintaining records of assessment to ensure accountability and track the progress of operators and practitioners.</w:t>
      </w:r>
    </w:p>
    <w:p w14:paraId="2D17ACD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04E3E7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Role descriptions referencing proficiency and certification prerequisites.</w:t>
      </w:r>
    </w:p>
    <w:p w14:paraId="54BE77C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Performance review documentation evaluating proficiency in system interactions.</w:t>
      </w:r>
    </w:p>
    <w:p w14:paraId="2A06CBE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Career development plans linking skill levels to progression pathways.</w:t>
      </w:r>
    </w:p>
    <w:p w14:paraId="61C8B89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Recruitment assessments verifying required proficiencies.</w:t>
      </w:r>
    </w:p>
    <w:p w14:paraId="6C5DDBE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7CB355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Review and Updating of Proficiency Standards</w:t>
      </w:r>
    </w:p>
    <w:p w14:paraId="79C9480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review and update proficiency levels and certification requirements to reflect system changes, emerging standards, and lessons learned to maintain relevance and effectiveness in the training and evaluation of operators and practitioners.</w:t>
      </w:r>
    </w:p>
    <w:p w14:paraId="39DC379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04C6A0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with documented updates.</w:t>
      </w:r>
    </w:p>
    <w:p w14:paraId="1E8D4D4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practitioners and trainers on proficiency adequacy.</w:t>
      </w:r>
    </w:p>
    <w:p w14:paraId="2DDADE2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Changes incorporated into training modules and certification criteria.</w:t>
      </w:r>
    </w:p>
    <w:p w14:paraId="408A83C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Archived versions showing evolution of proficiency standards.</w:t>
      </w:r>
    </w:p>
    <w:p w14:paraId="1CEEF0F8"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159F14FE"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12F4FEE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5BE3F1A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01424ACD" w14:textId="77777777" w:rsidTr="005C00A5">
        <w:tc>
          <w:tcPr>
            <w:tcW w:w="1170" w:type="dxa"/>
          </w:tcPr>
          <w:p w14:paraId="52BB938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01176A6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7A5A9CE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377B6547" w14:textId="77777777" w:rsidTr="005C00A5">
        <w:tc>
          <w:tcPr>
            <w:tcW w:w="1170" w:type="dxa"/>
          </w:tcPr>
          <w:p w14:paraId="673C434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MP-3.4.2</w:t>
            </w:r>
          </w:p>
        </w:tc>
        <w:tc>
          <w:tcPr>
            <w:tcW w:w="2160" w:type="dxa"/>
          </w:tcPr>
          <w:p w14:paraId="0DEF075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Proficiency Assessment and Maintenance Plan</w:t>
            </w:r>
          </w:p>
        </w:tc>
        <w:tc>
          <w:tcPr>
            <w:tcW w:w="6740" w:type="dxa"/>
          </w:tcPr>
          <w:p w14:paraId="25F876A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maintains the proficiency of operators and practitioners concerning the AI system's operation, risks, limitations, and knowledge boundaries. This is achieved through a structured proficiency assessment and maintenance plan encompassing regular training, certification, and evaluation programs. The plan incorporates continuous monitoring and performance metrics to identify areas for improvement and adapt training as needed, ensuring sustained capability for safe and effective AI system management within its sector and context of use.</w:t>
            </w:r>
          </w:p>
          <w:p w14:paraId="47ECE8C4" w14:textId="77777777" w:rsidR="00963E47" w:rsidRPr="00963E47" w:rsidRDefault="00963E47" w:rsidP="004C3837">
            <w:pPr>
              <w:keepNext/>
              <w:rPr>
                <w:rFonts w:ascii="Aptos" w:hAnsi="Aptos" w:cs="Times New Roman"/>
                <w:b/>
                <w:bCs/>
                <w:color w:val="000000"/>
                <w:sz w:val="20"/>
                <w:szCs w:val="20"/>
              </w:rPr>
            </w:pPr>
          </w:p>
          <w:p w14:paraId="66AA89F5" w14:textId="77777777" w:rsidR="00963E47" w:rsidRPr="00963E47" w:rsidRDefault="00963E47" w:rsidP="004C3837">
            <w:pPr>
              <w:keepNext/>
              <w:rPr>
                <w:rFonts w:ascii="Aptos" w:hAnsi="Aptos" w:cs="Times New Roman"/>
                <w:b/>
                <w:bCs/>
                <w:color w:val="000000"/>
                <w:sz w:val="20"/>
                <w:szCs w:val="20"/>
              </w:rPr>
            </w:pPr>
            <w:hyperlink r:id="rId126" w:anchor="map-3-4" w:history="1">
              <w:r w:rsidRPr="00963E47">
                <w:rPr>
                  <w:rFonts w:ascii="Aptos" w:hAnsi="Aptos" w:cs="Times New Roman"/>
                  <w:color w:val="000000"/>
                  <w:sz w:val="20"/>
                  <w:szCs w:val="20"/>
                  <w:u w:val="single"/>
                </w:rPr>
                <w:t>Link to NIST AI RMF Playbook</w:t>
              </w:r>
            </w:hyperlink>
          </w:p>
        </w:tc>
      </w:tr>
    </w:tbl>
    <w:p w14:paraId="13E93681"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4DCA0F1"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4F173297"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67C1A6B0" w14:textId="77777777" w:rsidTr="005C00A5">
        <w:trPr>
          <w:tblHeader/>
        </w:trPr>
        <w:tc>
          <w:tcPr>
            <w:tcW w:w="2160" w:type="dxa"/>
            <w:shd w:val="clear" w:color="auto" w:fill="CCDCDC"/>
            <w:vAlign w:val="center"/>
          </w:tcPr>
          <w:p w14:paraId="47FC9A34"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40B4A471"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6D155DF0"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06EA0CC7" w14:textId="77777777" w:rsidTr="005C00A5">
        <w:tc>
          <w:tcPr>
            <w:tcW w:w="2160" w:type="dxa"/>
            <w:shd w:val="clear" w:color="auto" w:fill="CCDCDC"/>
          </w:tcPr>
          <w:p w14:paraId="0B249A5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16428EE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270A80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03853EBD" w14:textId="77777777" w:rsidTr="005C00A5">
        <w:tc>
          <w:tcPr>
            <w:tcW w:w="2160" w:type="dxa"/>
            <w:shd w:val="clear" w:color="auto" w:fill="CCDCDC"/>
          </w:tcPr>
          <w:p w14:paraId="5BF8DCA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75369D0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B3320F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38FD6651" w14:textId="77777777" w:rsidTr="005C00A5">
        <w:tc>
          <w:tcPr>
            <w:tcW w:w="2160" w:type="dxa"/>
            <w:shd w:val="clear" w:color="auto" w:fill="CCDCDC"/>
          </w:tcPr>
          <w:p w14:paraId="29C48E4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749448A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7B36A2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begin establishing processes for assessing and maintaining AI system operator and practitioner proficiency through training, certification, and evaluation programs that cover key topics such as risks, limitations, and safe operation.</w:t>
            </w:r>
          </w:p>
        </w:tc>
      </w:tr>
      <w:tr w:rsidR="00963E47" w:rsidRPr="00963E47" w14:paraId="2C28CEBB" w14:textId="77777777" w:rsidTr="005C00A5">
        <w:tc>
          <w:tcPr>
            <w:tcW w:w="2160" w:type="dxa"/>
            <w:shd w:val="clear" w:color="auto" w:fill="CCDCDC"/>
          </w:tcPr>
          <w:p w14:paraId="6C4AF1C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122AAD5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A48F69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integrate continuous training, certification, and performance monitoring into their operational routines, ensuring ongoing proficiency in managing AI risks and supporting responsible AI use aligned with AI Trustworthy Principles.</w:t>
            </w:r>
          </w:p>
        </w:tc>
      </w:tr>
    </w:tbl>
    <w:p w14:paraId="348FA78A"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1C2A873D" w14:textId="77777777" w:rsidTr="005C00A5">
        <w:tc>
          <w:tcPr>
            <w:tcW w:w="2250" w:type="dxa"/>
          </w:tcPr>
          <w:p w14:paraId="061B172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5854DC1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4A8CF1F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54AE9882" w14:textId="77777777" w:rsidTr="005C00A5">
        <w:tc>
          <w:tcPr>
            <w:tcW w:w="2250" w:type="dxa"/>
          </w:tcPr>
          <w:p w14:paraId="2692FD1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70040B3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Insufficient Proficiency Assessment and Maintenance Plan</w:t>
            </w:r>
          </w:p>
        </w:tc>
        <w:tc>
          <w:tcPr>
            <w:tcW w:w="5300" w:type="dxa"/>
          </w:tcPr>
          <w:p w14:paraId="662FD94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Proficiency levels of operators and practitioners are not adequately assessed, maintained, or sustained over time</w:t>
            </w:r>
          </w:p>
        </w:tc>
      </w:tr>
    </w:tbl>
    <w:p w14:paraId="491DA3C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1208FA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2934311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24C325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and implement a comprehensive plan for assessing and maintaining the proficiency of operators and practitioners concerning the AI system. This plan should include regular training, certification, and evaluation programs designed to address system risks, limitations, knowledge boundaries, and safe operation.</w:t>
      </w:r>
    </w:p>
    <w:p w14:paraId="50353962"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24E73A6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and continuously update a training curriculum that covers relevant aspects of the AI system, such as its technical specifications, performance metrics, potential risks and limitations, and best practices for safe and effective use. Tailor this training to the specific roles and responsibilities, utilizing various delivery methods like classroom instruction, hands-on workshops, and online modules to ensure ongoing learning.</w:t>
      </w:r>
    </w:p>
    <w:p w14:paraId="55B80DB5"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10F2AA8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Implement a certification and evaluation program that regularly assesses and validates proficiency. This should require operators and practitioners to demonstrate sustained capability through a combination of written exams, practical assessments, and ongoing performance evaluations. Integrate continuous monitoring and performance metrics to identify evolving proficiency gaps, adapt training content and methods as needed, and ensure that </w:t>
      </w:r>
      <w:r w:rsidRPr="00963E47">
        <w:rPr>
          <w:rFonts w:ascii="Aptos" w:eastAsia="Aptos" w:hAnsi="Aptos" w:cs="Times New Roman"/>
          <w:noProof/>
          <w:color w:val="auto"/>
          <w:kern w:val="2"/>
          <w:sz w:val="20"/>
          <w:szCs w:val="20"/>
          <w14:ligatures w14:val="standardContextual"/>
        </w:rPr>
        <w:lastRenderedPageBreak/>
        <w:t>certification remains current and relevant to the latest technical standards, best practices, and organizational requirements.</w:t>
      </w:r>
    </w:p>
    <w:p w14:paraId="4883D0DC"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3F0520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3587A2A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F7868F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Formal Definition of Competency and Proficiency Standards</w:t>
      </w:r>
    </w:p>
    <w:p w14:paraId="395EB1D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clear, sector-specific criteria describing proficiency levels, including knowledge of system risks, limitations, and boundaries, documented for assessment and development purposes.</w:t>
      </w:r>
    </w:p>
    <w:p w14:paraId="00D8E86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C58C82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Proficiency standards aligned with sector norms, safety, and risk management standards.</w:t>
      </w:r>
    </w:p>
    <w:p w14:paraId="150463D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proficiency levels linked to roles and responsibilities.</w:t>
      </w:r>
    </w:p>
    <w:p w14:paraId="6477910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Definitions of knowledge boundaries related to system operation and risk mitigation.</w:t>
      </w:r>
    </w:p>
    <w:p w14:paraId="5A0482A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 control of standards and criteria.</w:t>
      </w:r>
    </w:p>
    <w:p w14:paraId="7A159B4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9F4009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Assessment Methodologies and Documentation of Results</w:t>
      </w:r>
    </w:p>
    <w:p w14:paraId="10C7611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and implement assessment methods (tests, practical exercises, simulations) to evaluate practitioners’ and operators’ proficiency, recording and analyzing results to ensure that all personnel are adequately equipped to handle the AI system's complexities and risks.</w:t>
      </w:r>
    </w:p>
    <w:p w14:paraId="4BE3BC9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AC5D60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Assessment plans and rubrics cover technical skills and risk awareness.</w:t>
      </w:r>
    </w:p>
    <w:p w14:paraId="12B08BB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assessments, tests, certifications, and performance scores.</w:t>
      </w:r>
    </w:p>
    <w:p w14:paraId="19ED5FF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Logbooks of practical exercises and scenario-based evaluations.</w:t>
      </w:r>
    </w:p>
    <w:p w14:paraId="4287A18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Evaluation reports highlighting strengths and gaps.</w:t>
      </w:r>
    </w:p>
    <w:p w14:paraId="684CC29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3D1C8B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Training, Certification, and Reassessment Programs</w:t>
      </w:r>
    </w:p>
    <w:p w14:paraId="020DCE4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regular training sessions, certifications, and re-evaluations to ensure ongoing proficiency in managing risks, with documented findings and improvement actions to reinforce knowledge and skills required for safe and effective AI system management.</w:t>
      </w:r>
    </w:p>
    <w:p w14:paraId="66AE48C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72C2C0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curricula aligned with proficiency standards and risk topics.</w:t>
      </w:r>
    </w:p>
    <w:p w14:paraId="04A2F36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Certification issuance and expiry records.</w:t>
      </w:r>
    </w:p>
    <w:p w14:paraId="7A61440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Reassessment schedules and performance tracking.</w:t>
      </w:r>
    </w:p>
    <w:p w14:paraId="007AEF6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training adjustments based on findings.</w:t>
      </w:r>
    </w:p>
    <w:p w14:paraId="073EDA7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150133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Monitoring Metrics and Feedback for Continuous Improvement</w:t>
      </w:r>
    </w:p>
    <w:p w14:paraId="47FD563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performance metrics and feedback from assessments, incidents, and observations to identify proficiency gaps and improve training and assessment programs to promote continuous learning and ensure that all operational challenges are addressed effectively.</w:t>
      </w:r>
    </w:p>
    <w:p w14:paraId="5CE0830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C0EC6C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Dashboards tracking assessment scores and incident reports related to operator performance.</w:t>
      </w:r>
    </w:p>
    <w:p w14:paraId="4DECC57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surveys from participants and supervisors.</w:t>
      </w:r>
    </w:p>
    <w:p w14:paraId="0F5F514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Root cause analyses of proficiency-related errors or failures.</w:t>
      </w:r>
    </w:p>
    <w:p w14:paraId="56BDC05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Improvement action logs and updates to training content.</w:t>
      </w:r>
    </w:p>
    <w:p w14:paraId="4889E37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CE815B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and Review of Proficiency Findings</w:t>
      </w:r>
    </w:p>
    <w:p w14:paraId="1E96AE6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records of assessment results, training outcomes, and improvement plans, reviewing regularly to adapt programs and maintain proficiency standards aligned with evolving risks and standards to ensure that the organization remains compliant and competitive in its approach to AI management.</w:t>
      </w:r>
    </w:p>
    <w:p w14:paraId="15AD8ED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E4DBDC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Assessment result archives with analysis summaries.</w:t>
      </w:r>
    </w:p>
    <w:p w14:paraId="47753AF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Training revision records and update logs.</w:t>
      </w:r>
    </w:p>
    <w:p w14:paraId="7763721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minutes demonstrating program updates based on findings.</w:t>
      </w:r>
    </w:p>
    <w:p w14:paraId="3D1BBE5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plans for addressing identified deficiencies.</w:t>
      </w:r>
    </w:p>
    <w:p w14:paraId="6C6199B8"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775315B0"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4973E5D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7E4642E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6AD5FC89" w14:textId="77777777" w:rsidTr="005C00A5">
        <w:tc>
          <w:tcPr>
            <w:tcW w:w="1170" w:type="dxa"/>
          </w:tcPr>
          <w:p w14:paraId="688155C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44C5C18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719E8EB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383408F2" w14:textId="77777777" w:rsidTr="005C00A5">
        <w:tc>
          <w:tcPr>
            <w:tcW w:w="1170" w:type="dxa"/>
          </w:tcPr>
          <w:p w14:paraId="2E460FE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MP-3.4.3</w:t>
            </w:r>
          </w:p>
        </w:tc>
        <w:tc>
          <w:tcPr>
            <w:tcW w:w="2160" w:type="dxa"/>
          </w:tcPr>
          <w:p w14:paraId="50DDD03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Operator and End-User Testing and Feedback</w:t>
            </w:r>
          </w:p>
        </w:tc>
        <w:tc>
          <w:tcPr>
            <w:tcW w:w="6740" w:type="dxa"/>
          </w:tcPr>
          <w:p w14:paraId="68889A2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involves operators, practitioners, and end users in AI system prototyping and testing activities to gather feedback on performance and trustworthiness, validating human-AI configurations and identifying requisite proficiency levels and training needs.</w:t>
            </w:r>
          </w:p>
          <w:p w14:paraId="5B8EA667" w14:textId="77777777" w:rsidR="00963E47" w:rsidRPr="00963E47" w:rsidRDefault="00963E47" w:rsidP="004C3837">
            <w:pPr>
              <w:keepNext/>
              <w:rPr>
                <w:rFonts w:ascii="Aptos" w:hAnsi="Aptos" w:cs="Times New Roman"/>
                <w:b/>
                <w:bCs/>
                <w:color w:val="000000"/>
                <w:sz w:val="20"/>
                <w:szCs w:val="20"/>
              </w:rPr>
            </w:pPr>
          </w:p>
          <w:p w14:paraId="0A92AE43" w14:textId="77777777" w:rsidR="00963E47" w:rsidRPr="00963E47" w:rsidRDefault="00963E47" w:rsidP="004C3837">
            <w:pPr>
              <w:keepNext/>
              <w:rPr>
                <w:rFonts w:ascii="Aptos" w:hAnsi="Aptos" w:cs="Times New Roman"/>
                <w:b/>
                <w:bCs/>
                <w:color w:val="000000"/>
                <w:sz w:val="20"/>
                <w:szCs w:val="20"/>
              </w:rPr>
            </w:pPr>
            <w:hyperlink r:id="rId127" w:anchor="map-3-4" w:history="1">
              <w:r w:rsidRPr="00963E47">
                <w:rPr>
                  <w:rFonts w:ascii="Aptos" w:hAnsi="Aptos" w:cs="Times New Roman"/>
                  <w:color w:val="000000"/>
                  <w:sz w:val="20"/>
                  <w:szCs w:val="20"/>
                  <w:u w:val="single"/>
                </w:rPr>
                <w:t>Link to NIST AI RMF Playbook</w:t>
              </w:r>
            </w:hyperlink>
          </w:p>
        </w:tc>
      </w:tr>
    </w:tbl>
    <w:p w14:paraId="3F480621"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91FEE23"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68FF9FDC"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0F3528DE" w14:textId="77777777" w:rsidTr="005C00A5">
        <w:trPr>
          <w:tblHeader/>
        </w:trPr>
        <w:tc>
          <w:tcPr>
            <w:tcW w:w="2160" w:type="dxa"/>
            <w:shd w:val="clear" w:color="auto" w:fill="CCDCDC"/>
            <w:vAlign w:val="center"/>
          </w:tcPr>
          <w:p w14:paraId="31A4B162"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1635DD1D"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2B705337"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543C9707" w14:textId="77777777" w:rsidTr="005C00A5">
        <w:tc>
          <w:tcPr>
            <w:tcW w:w="2160" w:type="dxa"/>
            <w:shd w:val="clear" w:color="auto" w:fill="CCDCDC"/>
          </w:tcPr>
          <w:p w14:paraId="056D95D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581AB7C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409BA4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4E3773BB" w14:textId="77777777" w:rsidTr="005C00A5">
        <w:tc>
          <w:tcPr>
            <w:tcW w:w="2160" w:type="dxa"/>
            <w:shd w:val="clear" w:color="auto" w:fill="CCDCDC"/>
          </w:tcPr>
          <w:p w14:paraId="337AC1D5"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076ADD8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9C0382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1A0D55FC" w14:textId="77777777" w:rsidTr="005C00A5">
        <w:tc>
          <w:tcPr>
            <w:tcW w:w="2160" w:type="dxa"/>
            <w:shd w:val="clear" w:color="auto" w:fill="CCDCDC"/>
          </w:tcPr>
          <w:p w14:paraId="405FA9E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3106862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2560BB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0FD2546C" w14:textId="77777777" w:rsidTr="005C00A5">
        <w:tc>
          <w:tcPr>
            <w:tcW w:w="2160" w:type="dxa"/>
            <w:shd w:val="clear" w:color="auto" w:fill="CCDCDC"/>
          </w:tcPr>
          <w:p w14:paraId="0CA875D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35BDBC6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AF0B81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fully incorporate stakeholder engagements into their development processes, continuously refining training needs and proficiency requirements, supporting responsible and trustworthy AI deployment aligned with AI Trustworthy Principles.</w:t>
            </w:r>
          </w:p>
        </w:tc>
      </w:tr>
    </w:tbl>
    <w:p w14:paraId="12FD6A76"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22B273BC" w14:textId="77777777" w:rsidTr="005C00A5">
        <w:tc>
          <w:tcPr>
            <w:tcW w:w="2250" w:type="dxa"/>
          </w:tcPr>
          <w:p w14:paraId="1EE9DF5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0D293E4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0248174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6DEDCB35" w14:textId="77777777" w:rsidTr="005C00A5">
        <w:tc>
          <w:tcPr>
            <w:tcW w:w="2250" w:type="dxa"/>
          </w:tcPr>
          <w:p w14:paraId="330EC4D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58A18EB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Users Not Involved in Testing</w:t>
            </w:r>
          </w:p>
        </w:tc>
        <w:tc>
          <w:tcPr>
            <w:tcW w:w="5300" w:type="dxa"/>
          </w:tcPr>
          <w:p w14:paraId="48EE02C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Operators, practitioners, and end users are not involved in AI system testing</w:t>
            </w:r>
          </w:p>
        </w:tc>
      </w:tr>
    </w:tbl>
    <w:p w14:paraId="5699A99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00AD62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1AC64BA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451AD1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Involve operators, practitioners, and end-users in AI system prototyping and testing activities to gather feedback on performance and trustworthiness, validating human-AI configurations. Establish a user-centered design process that engages these stakeholders throughout the development and deployment of the AI system, from early prototyping to final testing and validation. </w:t>
      </w:r>
    </w:p>
    <w:p w14:paraId="0C6B5B7A"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DA1094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Conduct regular user testing sessions, focus groups, and surveys to gather feedback on the system's usability, reliability, and overall performance. Use this feedback to identify areas for improvement and validate the effectiveness of human-AI configurations, such as user interfaces, decision support tools, and collaborative workflows.</w:t>
      </w:r>
    </w:p>
    <w:p w14:paraId="75EE885D"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AF25D3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Document the results of these activities, including identified issues or recommendations, and ensure that they are communicated to relevant stakeholders and incorporated into ongoing system development and refinement efforts.</w:t>
      </w:r>
    </w:p>
    <w:p w14:paraId="1EEF8D9B"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7183FB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2851F3A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AFC234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Stakeholder Involvement in Prototyping</w:t>
      </w:r>
    </w:p>
    <w:p w14:paraId="65E2590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Engage operators, practitioners, and end users in the prototyping phase of AI system development, ensuring their perspectives shape the design and functionality of the system.</w:t>
      </w:r>
    </w:p>
    <w:p w14:paraId="377EFDB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1DD960C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stakeholder involvement strategies during prototyping.</w:t>
      </w:r>
    </w:p>
    <w:p w14:paraId="37637F3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meetings or workshops held with stakeholders for feedback collection.</w:t>
      </w:r>
    </w:p>
    <w:p w14:paraId="7F13A27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forms and summaries documenting stakeholder inputs on prototypes.</w:t>
      </w:r>
    </w:p>
    <w:p w14:paraId="2F4D82E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Iteration logs showing how stakeholder feedback influenced design changes.</w:t>
      </w:r>
    </w:p>
    <w:p w14:paraId="4BA2DA1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196655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Testing Protocol Development</w:t>
      </w:r>
    </w:p>
    <w:p w14:paraId="41BAE6D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testing protocols that outline the procedures and metrics for evaluating AI system performance and trustworthiness during operator and end-user testing phases.</w:t>
      </w:r>
    </w:p>
    <w:p w14:paraId="3A379CD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288441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Testing protocol documents detailing procedures and evaluation criteria.</w:t>
      </w:r>
    </w:p>
    <w:p w14:paraId="40A9D0D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 case scenarios that incorporate operator and end-user requirements.</w:t>
      </w:r>
    </w:p>
    <w:p w14:paraId="4DBEC7A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Logs of test execution that record results against established metrics.</w:t>
      </w:r>
    </w:p>
    <w:p w14:paraId="2AFEAEA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summarizing testing outcomes and identified issues.</w:t>
      </w:r>
    </w:p>
    <w:p w14:paraId="077E499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2D98C9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User Experience and Satisfaction Surveys</w:t>
      </w:r>
    </w:p>
    <w:p w14:paraId="3EF3E7F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surveys to assess user experience and satisfaction during testing, capturing insights on system usability, trustworthiness, and effectiveness.</w:t>
      </w:r>
    </w:p>
    <w:p w14:paraId="2E17619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20712A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Survey instruments used to collect user feedback on AI systems.</w:t>
      </w:r>
    </w:p>
    <w:p w14:paraId="7462763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Summary reports analyzing survey responses and feedback trends.</w:t>
      </w:r>
    </w:p>
    <w:p w14:paraId="005EF48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plans developed based on user survey results to address concerns.</w:t>
      </w:r>
    </w:p>
    <w:p w14:paraId="55D6B38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Follow-up surveys indicating changes in user satisfaction over time.</w:t>
      </w:r>
    </w:p>
    <w:p w14:paraId="28B24AD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AEEDC1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Training Needs Assessment</w:t>
      </w:r>
    </w:p>
    <w:p w14:paraId="187D8BF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Perform assessments to identify proficiency levels and training needs of operators and end users, ensuring they are equipped to effectively utilize AI systems.</w:t>
      </w:r>
    </w:p>
    <w:p w14:paraId="236E312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560A37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needs assessment surveys or instruments administered to users.</w:t>
      </w:r>
    </w:p>
    <w:p w14:paraId="776D226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identified proficiency gaps and associated training requirements.</w:t>
      </w:r>
    </w:p>
    <w:p w14:paraId="30CE303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plans developed in response to assessed needs.</w:t>
      </w:r>
    </w:p>
    <w:p w14:paraId="711BD96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completed training sessions, including participant feedback.</w:t>
      </w:r>
    </w:p>
    <w:p w14:paraId="546F820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4DC497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Feedback Mechanism</w:t>
      </w:r>
    </w:p>
    <w:p w14:paraId="21FA5A6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mechanisms for ongoing feedback from operators and end users post-deployment to continuously enhance AI system performance and user trust.</w:t>
      </w:r>
    </w:p>
    <w:p w14:paraId="1C6AFFE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FE81CA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feedback collection methods (e.g., surveys, interviews).</w:t>
      </w:r>
    </w:p>
    <w:p w14:paraId="169F32E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feedback submissions from users, including patterns and themes.</w:t>
      </w:r>
    </w:p>
    <w:p w14:paraId="7471207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Improvement logs indicating changes made based on user feedback over time.</w:t>
      </w:r>
    </w:p>
    <w:p w14:paraId="32F7267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summarizing the impact of iterative changes on system performance and user satisfaction.</w:t>
      </w:r>
    </w:p>
    <w:p w14:paraId="4E8B3D61"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41" w:name="_Toc214874786"/>
      <w:r w:rsidRPr="00963E47">
        <w:rPr>
          <w:rFonts w:ascii="Aptos" w:eastAsia="Aptos" w:hAnsi="Aptos" w:cs="Times New Roman"/>
          <w:b/>
          <w:bCs/>
          <w:noProof/>
          <w:color w:val="35256B"/>
          <w:kern w:val="2"/>
          <w:sz w:val="24"/>
          <w14:ligatures w14:val="standardContextual"/>
        </w:rPr>
        <w:lastRenderedPageBreak/>
        <w:t>MAP / Understanding Costs and Benefits / Establishing Human Oversight Processes</w:t>
      </w:r>
      <w:bookmarkEnd w:id="41"/>
      <w:r w:rsidRPr="00963E47">
        <w:rPr>
          <w:rFonts w:ascii="Aptos" w:eastAsia="Aptos" w:hAnsi="Aptos" w:cs="Times New Roman"/>
          <w:b/>
          <w:bCs/>
          <w:noProof/>
          <w:color w:val="35256B"/>
          <w:kern w:val="2"/>
          <w:sz w:val="24"/>
          <w14:ligatures w14:val="standardContextual"/>
        </w:rPr>
        <w:t xml:space="preserve"> </w:t>
      </w:r>
    </w:p>
    <w:p w14:paraId="4EBE9B23"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015272F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5310709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70031E83" w14:textId="77777777" w:rsidTr="005C00A5">
        <w:tc>
          <w:tcPr>
            <w:tcW w:w="1170" w:type="dxa"/>
          </w:tcPr>
          <w:p w14:paraId="38BC90C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3509DBA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563CA7E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593896AF" w14:textId="77777777" w:rsidTr="005C00A5">
        <w:tc>
          <w:tcPr>
            <w:tcW w:w="1170" w:type="dxa"/>
          </w:tcPr>
          <w:p w14:paraId="42B68B9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MP-3.5.1</w:t>
            </w:r>
          </w:p>
        </w:tc>
        <w:tc>
          <w:tcPr>
            <w:tcW w:w="2160" w:type="dxa"/>
          </w:tcPr>
          <w:p w14:paraId="7016E1F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Human Oversight Roles and Responsibilities</w:t>
            </w:r>
          </w:p>
        </w:tc>
        <w:tc>
          <w:tcPr>
            <w:tcW w:w="6740" w:type="dxa"/>
          </w:tcPr>
          <w:p w14:paraId="38E7E26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defines and documents roles and responsibilities for human oversight of the AI system, considering its capabilities, context of use, potential risks, and knowledge limits.</w:t>
            </w:r>
          </w:p>
          <w:p w14:paraId="32E648D7" w14:textId="77777777" w:rsidR="00963E47" w:rsidRPr="00963E47" w:rsidRDefault="00963E47" w:rsidP="004C3837">
            <w:pPr>
              <w:keepNext/>
              <w:rPr>
                <w:rFonts w:ascii="Aptos" w:hAnsi="Aptos" w:cs="Times New Roman"/>
                <w:b/>
                <w:bCs/>
                <w:color w:val="000000"/>
                <w:sz w:val="20"/>
                <w:szCs w:val="20"/>
              </w:rPr>
            </w:pPr>
          </w:p>
          <w:p w14:paraId="47852065" w14:textId="77777777" w:rsidR="00963E47" w:rsidRPr="00963E47" w:rsidRDefault="00963E47" w:rsidP="004C3837">
            <w:pPr>
              <w:keepNext/>
              <w:rPr>
                <w:rFonts w:ascii="Aptos" w:hAnsi="Aptos" w:cs="Times New Roman"/>
                <w:b/>
                <w:bCs/>
                <w:color w:val="000000"/>
                <w:sz w:val="20"/>
                <w:szCs w:val="20"/>
              </w:rPr>
            </w:pPr>
            <w:hyperlink r:id="rId128" w:anchor="map-3-5" w:history="1">
              <w:r w:rsidRPr="00963E47">
                <w:rPr>
                  <w:rFonts w:ascii="Aptos" w:hAnsi="Aptos" w:cs="Times New Roman"/>
                  <w:color w:val="000000"/>
                  <w:sz w:val="20"/>
                  <w:szCs w:val="20"/>
                  <w:u w:val="single"/>
                </w:rPr>
                <w:t>Link to NIST AI RMF Playbook</w:t>
              </w:r>
            </w:hyperlink>
          </w:p>
        </w:tc>
      </w:tr>
    </w:tbl>
    <w:p w14:paraId="6AF9A92A"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6DB9830"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316A1A84"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57BD23EE" w14:textId="77777777" w:rsidTr="005C00A5">
        <w:trPr>
          <w:tblHeader/>
        </w:trPr>
        <w:tc>
          <w:tcPr>
            <w:tcW w:w="2160" w:type="dxa"/>
            <w:shd w:val="clear" w:color="auto" w:fill="CCDCDC"/>
            <w:vAlign w:val="center"/>
          </w:tcPr>
          <w:p w14:paraId="4E8812D1"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5546C619"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172A95AF"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61E9AA0E" w14:textId="77777777" w:rsidTr="005C00A5">
        <w:tc>
          <w:tcPr>
            <w:tcW w:w="2160" w:type="dxa"/>
            <w:shd w:val="clear" w:color="auto" w:fill="CCDCDC"/>
          </w:tcPr>
          <w:p w14:paraId="0E1834A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51A7F62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39B251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F46AF91" w14:textId="77777777" w:rsidTr="005C00A5">
        <w:tc>
          <w:tcPr>
            <w:tcW w:w="2160" w:type="dxa"/>
            <w:shd w:val="clear" w:color="auto" w:fill="CCDCDC"/>
          </w:tcPr>
          <w:p w14:paraId="5C2DD3B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6520249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D29950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have begun defining and documenting roles and responsibilities for human oversight of AI systems, but the process may not yet comprehensively consider all relevant factors or align fully with established governance practices.</w:t>
            </w:r>
          </w:p>
        </w:tc>
      </w:tr>
      <w:tr w:rsidR="00963E47" w:rsidRPr="00963E47" w14:paraId="722FC73D" w14:textId="77777777" w:rsidTr="005C00A5">
        <w:tc>
          <w:tcPr>
            <w:tcW w:w="2160" w:type="dxa"/>
            <w:shd w:val="clear" w:color="auto" w:fill="CCDCDC"/>
          </w:tcPr>
          <w:p w14:paraId="35CA23D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26CDEAF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4BBC2D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evolving stage have established clear processes for thoroughly defining and documenting roles and responsibilities for human oversight of AI systems based on a comprehensive consideration of capabilities, context of use, risks, and knowledge limits, in close alignment with governance practices established by the GOVERN function.</w:t>
            </w:r>
          </w:p>
        </w:tc>
      </w:tr>
      <w:tr w:rsidR="00963E47" w:rsidRPr="00963E47" w14:paraId="0A43E1C9" w14:textId="77777777" w:rsidTr="005C00A5">
        <w:tc>
          <w:tcPr>
            <w:tcW w:w="2160" w:type="dxa"/>
            <w:shd w:val="clear" w:color="auto" w:fill="CCDCDC"/>
          </w:tcPr>
          <w:p w14:paraId="2DFB746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22ACABF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54D1C4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integrate roles and responsibilities into operational procedures, continuously refining oversight practices to ensure responsible AI use aligned with AI Trustworthy Principles.</w:t>
            </w:r>
          </w:p>
        </w:tc>
      </w:tr>
    </w:tbl>
    <w:p w14:paraId="6939A2C0"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6FE6C436" w14:textId="77777777" w:rsidTr="005C00A5">
        <w:tc>
          <w:tcPr>
            <w:tcW w:w="2250" w:type="dxa"/>
          </w:tcPr>
          <w:p w14:paraId="63258B9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3268487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65B1C53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54015E39" w14:textId="77777777" w:rsidTr="005C00A5">
        <w:tc>
          <w:tcPr>
            <w:tcW w:w="2250" w:type="dxa"/>
          </w:tcPr>
          <w:p w14:paraId="03023C8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07D9236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Undefined or Poorly Defined Human Oversight Roles</w:t>
            </w:r>
          </w:p>
        </w:tc>
        <w:tc>
          <w:tcPr>
            <w:tcW w:w="5300" w:type="dxa"/>
          </w:tcPr>
          <w:p w14:paraId="30309CF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Roles and responsibilities for human oversight of AI system are undefined or poorly defined</w:t>
            </w:r>
          </w:p>
        </w:tc>
      </w:tr>
    </w:tbl>
    <w:p w14:paraId="5388806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6B2700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768034A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F71A7E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To effectively define and document roles and responsibilities for human oversight of the AI system, conduct a thorough analysis of the system's capabilities, context of use, potential risks, and knowledge limits. Engage relevant stakeholders, such as data scientists, domain experts, and risk management professionals, to gather input on the specific oversight needs and requirements for the AI system. </w:t>
      </w:r>
    </w:p>
    <w:p w14:paraId="3643988C"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A3FF2D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Ensure that the defined roles and responsibilities align with the governance practices established by the GOVERN function, such as policies for accountability, transparency, and risk management. Document the results of this analysis, providing clear and concise descriptions of each oversight role, its associated responsibilities, and the required skills and qualifications.</w:t>
      </w:r>
    </w:p>
    <w:p w14:paraId="62544D51"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726F82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Ensure the documentation is easily accessible to relevant parties, and regularly review and update it as needed to maintain accuracy and relevance.</w:t>
      </w:r>
    </w:p>
    <w:p w14:paraId="0D0A3D25"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CD8738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lastRenderedPageBreak/>
        <w:t xml:space="preserve">Example Controls and Evidence: </w:t>
      </w:r>
    </w:p>
    <w:p w14:paraId="76D4FFF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46DC07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Establishment of Role Definitions and Responsibilities</w:t>
      </w:r>
    </w:p>
    <w:p w14:paraId="617C6A9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formal role descriptions and responsibilities for personnel involved in human oversight, explicitly aligning oversight duties with system capabilities, risks, and context.</w:t>
      </w:r>
    </w:p>
    <w:p w14:paraId="7D1318B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0A9400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Role matrices and responsibility charts specifying oversight duties across teams.</w:t>
      </w:r>
    </w:p>
    <w:p w14:paraId="580B763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Written role descriptions delineating decision authority, review points, and escalation paths.</w:t>
      </w:r>
    </w:p>
    <w:p w14:paraId="4AC2CBA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Clear documentation of oversight responsibilities aligned with system design and risk profiles.</w:t>
      </w:r>
    </w:p>
    <w:p w14:paraId="2E0AF3C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Sign-off records from responsible personnel.</w:t>
      </w:r>
    </w:p>
    <w:p w14:paraId="7536B84F"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F49B68B"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Oversight Procedures and Decision Points</w:t>
      </w:r>
    </w:p>
    <w:p w14:paraId="59ECD87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Create detailed procedures outlining oversight activities, including key decision points where human judgment is critical, based on the system’s capabilities and knowledge limits.</w:t>
      </w:r>
    </w:p>
    <w:p w14:paraId="6E397BF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E557CB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Standard Operating Procedures (SOPs) describing oversight tasks and decision requirements.</w:t>
      </w:r>
    </w:p>
    <w:p w14:paraId="209D2A3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Flowcharts illustrating oversight workflows, review, and escalation steps.</w:t>
      </w:r>
    </w:p>
    <w:p w14:paraId="4868E48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Checklists for human review during system operation.</w:t>
      </w:r>
    </w:p>
    <w:p w14:paraId="7B15095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materials for personnel on oversight procedures.</w:t>
      </w:r>
    </w:p>
    <w:p w14:paraId="7114C5D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4F7BF5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Alignment of Roles with System Capabilities and Risks</w:t>
      </w:r>
    </w:p>
    <w:p w14:paraId="6F7584B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Ensure oversight responsibilities are tailored to the AI system’s known limitations, potential risks, and appropriate levels of human intervention.</w:t>
      </w:r>
    </w:p>
    <w:p w14:paraId="0A722FB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99D261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and knowledge gap assessments linked to role responsibilities.</w:t>
      </w:r>
    </w:p>
    <w:p w14:paraId="7CCA48E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Oversight plans emphasizing critical control points based on system limitations.</w:t>
      </w:r>
    </w:p>
    <w:p w14:paraId="775C4B0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reports highlighting areas requiring increased human oversight.</w:t>
      </w:r>
    </w:p>
    <w:p w14:paraId="2AB7BF9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linking role responsibilities to system risk profiles.</w:t>
      </w:r>
    </w:p>
    <w:p w14:paraId="663DA832"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66A63A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Implementation of Oversight Tools and Documentation</w:t>
      </w:r>
    </w:p>
    <w:p w14:paraId="1A7EB1B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Equip personnel with tools, dashboards, and documentation to facilitate effective oversight, with records of oversight activities, reviews, and decision-making processes that ensure accountability and traceability in AI system management.</w:t>
      </w:r>
    </w:p>
    <w:p w14:paraId="0973EF4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FB03D8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Oversight dashboards showing system status and review points.</w:t>
      </w:r>
    </w:p>
    <w:p w14:paraId="67364F9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Activity logs capturing oversight actions, reviews, and approvals.</w:t>
      </w:r>
    </w:p>
    <w:p w14:paraId="2998605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reports or anomalies flagged during oversight.</w:t>
      </w:r>
    </w:p>
    <w:p w14:paraId="55B4FFE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oversight manuals and training.</w:t>
      </w:r>
    </w:p>
    <w:p w14:paraId="1BCA75B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112F92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Periodic Review and Adjustment of Oversight Roles and Responsibilities</w:t>
      </w:r>
    </w:p>
    <w:p w14:paraId="0FECF07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review and update oversight roles and responsibilities to reflect system changes, lessons learned, and evolving risks, ensuring ongoing alignment and effectiveness.</w:t>
      </w:r>
    </w:p>
    <w:p w14:paraId="0FD1A78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915870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with documented updates and approvals.</w:t>
      </w:r>
    </w:p>
    <w:p w14:paraId="49EA7B0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oversight personnel and stakeholders.</w:t>
      </w:r>
    </w:p>
    <w:p w14:paraId="437E80B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Revision logs of roles, procedures, and responsibilities.</w:t>
      </w:r>
    </w:p>
    <w:p w14:paraId="671C45F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lessons learned incorporated into oversight practice updates.</w:t>
      </w:r>
    </w:p>
    <w:p w14:paraId="42B506FF"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35DA3E8D"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109E7FD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2B9C168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695D0250" w14:textId="77777777" w:rsidTr="005C00A5">
        <w:tc>
          <w:tcPr>
            <w:tcW w:w="1170" w:type="dxa"/>
          </w:tcPr>
          <w:p w14:paraId="1E1A143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69853DA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379BA6D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112D9597" w14:textId="77777777" w:rsidTr="005C00A5">
        <w:tc>
          <w:tcPr>
            <w:tcW w:w="1170" w:type="dxa"/>
          </w:tcPr>
          <w:p w14:paraId="302EA05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MP-3.5.2</w:t>
            </w:r>
          </w:p>
        </w:tc>
        <w:tc>
          <w:tcPr>
            <w:tcW w:w="2160" w:type="dxa"/>
          </w:tcPr>
          <w:p w14:paraId="07C9E4F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Oversight Training and Resources</w:t>
            </w:r>
          </w:p>
        </w:tc>
        <w:tc>
          <w:tcPr>
            <w:tcW w:w="6740" w:type="dxa"/>
          </w:tcPr>
          <w:p w14:paraId="676112B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provides training and resources to individuals responsible for human oversight of the AI system, equipping them with the necessary skills, knowledge, and authority to perform their roles effectively.</w:t>
            </w:r>
          </w:p>
          <w:p w14:paraId="121811E3" w14:textId="77777777" w:rsidR="00963E47" w:rsidRPr="00963E47" w:rsidRDefault="00963E47" w:rsidP="004C3837">
            <w:pPr>
              <w:keepNext/>
              <w:rPr>
                <w:rFonts w:ascii="Aptos" w:hAnsi="Aptos" w:cs="Times New Roman"/>
                <w:b/>
                <w:bCs/>
                <w:color w:val="000000"/>
                <w:sz w:val="20"/>
                <w:szCs w:val="20"/>
              </w:rPr>
            </w:pPr>
          </w:p>
          <w:p w14:paraId="4072DA4D" w14:textId="77777777" w:rsidR="00963E47" w:rsidRPr="00963E47" w:rsidRDefault="00963E47" w:rsidP="004C3837">
            <w:pPr>
              <w:keepNext/>
              <w:rPr>
                <w:rFonts w:ascii="Aptos" w:hAnsi="Aptos" w:cs="Times New Roman"/>
                <w:b/>
                <w:bCs/>
                <w:color w:val="000000"/>
                <w:sz w:val="20"/>
                <w:szCs w:val="20"/>
              </w:rPr>
            </w:pPr>
            <w:hyperlink r:id="rId129" w:anchor="map-3-5" w:history="1">
              <w:r w:rsidRPr="00963E47">
                <w:rPr>
                  <w:rFonts w:ascii="Aptos" w:hAnsi="Aptos" w:cs="Times New Roman"/>
                  <w:color w:val="000000"/>
                  <w:sz w:val="20"/>
                  <w:szCs w:val="20"/>
                  <w:u w:val="single"/>
                </w:rPr>
                <w:t>Link to NIST AI RMF Playbook</w:t>
              </w:r>
            </w:hyperlink>
          </w:p>
        </w:tc>
      </w:tr>
    </w:tbl>
    <w:p w14:paraId="1CD07EA0"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5967F85"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79A6B80D"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2AB9A0B3" w14:textId="77777777" w:rsidTr="005C00A5">
        <w:trPr>
          <w:tblHeader/>
        </w:trPr>
        <w:tc>
          <w:tcPr>
            <w:tcW w:w="2160" w:type="dxa"/>
            <w:shd w:val="clear" w:color="auto" w:fill="CCDCDC"/>
            <w:vAlign w:val="center"/>
          </w:tcPr>
          <w:p w14:paraId="0BEFC768"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08C19DDA"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06D16919"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77DA3675" w14:textId="77777777" w:rsidTr="005C00A5">
        <w:tc>
          <w:tcPr>
            <w:tcW w:w="2160" w:type="dxa"/>
            <w:shd w:val="clear" w:color="auto" w:fill="CCDCDC"/>
          </w:tcPr>
          <w:p w14:paraId="2E56CAD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52B095D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5B70222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02A040D9" w14:textId="77777777" w:rsidTr="005C00A5">
        <w:tc>
          <w:tcPr>
            <w:tcW w:w="2160" w:type="dxa"/>
            <w:shd w:val="clear" w:color="auto" w:fill="CCDCDC"/>
          </w:tcPr>
          <w:p w14:paraId="09682AF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7C45980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4E725C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621EDCE7" w14:textId="77777777" w:rsidTr="005C00A5">
        <w:tc>
          <w:tcPr>
            <w:tcW w:w="2160" w:type="dxa"/>
            <w:shd w:val="clear" w:color="auto" w:fill="CCDCDC"/>
          </w:tcPr>
          <w:p w14:paraId="58E46F3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4E8C700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CB2602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begin providing training and resources to individuals responsible for human oversight of AI systems, aiming to equip them with the necessary skills, knowledge, and authority to perform their roles effectively.</w:t>
            </w:r>
          </w:p>
        </w:tc>
      </w:tr>
      <w:tr w:rsidR="00963E47" w:rsidRPr="00963E47" w14:paraId="53208DE0" w14:textId="77777777" w:rsidTr="005C00A5">
        <w:tc>
          <w:tcPr>
            <w:tcW w:w="2160" w:type="dxa"/>
            <w:shd w:val="clear" w:color="auto" w:fill="CCDCDC"/>
          </w:tcPr>
          <w:p w14:paraId="550D812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021FA87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38E3F5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fully integrate ongoing training and comprehensive resource provisions into their operations, ensuring oversight is performed effectively and responsibly.</w:t>
            </w:r>
          </w:p>
        </w:tc>
      </w:tr>
    </w:tbl>
    <w:p w14:paraId="22EFADBB"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2536588A" w14:textId="77777777" w:rsidTr="005C00A5">
        <w:tc>
          <w:tcPr>
            <w:tcW w:w="2250" w:type="dxa"/>
          </w:tcPr>
          <w:p w14:paraId="5FE8B33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7D309F2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4D57326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76254AB4" w14:textId="77777777" w:rsidTr="005C00A5">
        <w:tc>
          <w:tcPr>
            <w:tcW w:w="2250" w:type="dxa"/>
          </w:tcPr>
          <w:p w14:paraId="30EF70E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6CCB7F1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Inadequate Oversight Resources</w:t>
            </w:r>
          </w:p>
        </w:tc>
        <w:tc>
          <w:tcPr>
            <w:tcW w:w="5300" w:type="dxa"/>
          </w:tcPr>
          <w:p w14:paraId="55D8B85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Training and resources for human oversight of AI systems are inadequate</w:t>
            </w:r>
          </w:p>
        </w:tc>
      </w:tr>
    </w:tbl>
    <w:p w14:paraId="0FAFDED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903C27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5048B84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0D1921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Provide training and resources to individuals responsible for human oversight of the AI system, equipping them with the necessary skills, knowledge, and authority to perform their roles effectively. Develop a training curriculum that encompasses relevant aspects of the AI system, including its technical specifications, performance metrics, potential risks and limitations, and best practices for effective oversight. </w:t>
      </w:r>
    </w:p>
    <w:p w14:paraId="52DD8B10"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182CCC7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Ensure that the training is tailored to the specific roles and responsibilities of each oversight professional, and deliver it through a variety of methods, such as classroom instruction, hands-on workshops, and online modules.</w:t>
      </w:r>
    </w:p>
    <w:p w14:paraId="09ABC68C"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1DECA4E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Provide ongoing support and resources, including reference materials, case studies, and access to subject matter experts, to help oversight professionals stay informed about the latest developments and best practices in AI governance. Regularly review and update the training and resource offerings to maintain their effectiveness and relevance as the AI system and its context of use evolve.</w:t>
      </w:r>
    </w:p>
    <w:p w14:paraId="1A7E122C"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18BF1E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20CD306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AC6731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Role-Specific Training Programs</w:t>
      </w:r>
    </w:p>
    <w:p w14:paraId="2A3B63B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Create tailored training curricula that address the responsibilities, skills, and knowledge required for oversight roles, aligned with system capabilities, risks, and organizational standards.</w:t>
      </w:r>
    </w:p>
    <w:p w14:paraId="436C922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730EBD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Role-specific training modules covering system operation, risk management, and decision-making.</w:t>
      </w:r>
    </w:p>
    <w:p w14:paraId="6AD47DF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Training outlines, schedules, and attendance records.</w:t>
      </w:r>
    </w:p>
    <w:p w14:paraId="74F1EF1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Certification or proficiency assessments demonstrating preparedness.</w:t>
      </w:r>
    </w:p>
    <w:p w14:paraId="006DDDD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training content reflecting system changes or lessons learned.</w:t>
      </w:r>
    </w:p>
    <w:p w14:paraId="11E503B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9CB245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Provision of Resources and Support Materials</w:t>
      </w:r>
    </w:p>
    <w:p w14:paraId="213E2C2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Offer manuals, checklists, decision-support tools, and reference materials tailored for oversight personnel to support effective monitoring and decision-making.</w:t>
      </w:r>
    </w:p>
    <w:p w14:paraId="6930D71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1B8FD7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Operations manuals, oversight checklists, and quick reference guides.</w:t>
      </w:r>
    </w:p>
    <w:p w14:paraId="00E0878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Access logs indicating resource utilization.</w:t>
      </w:r>
    </w:p>
    <w:p w14:paraId="40BB78C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Digital toolkits or dashboards enabling effective monitoring.</w:t>
      </w:r>
    </w:p>
    <w:p w14:paraId="7315D32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Knowledge bases and FAQs for ongoing support.</w:t>
      </w:r>
    </w:p>
    <w:p w14:paraId="2753129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8FD930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Training on Authority and Escalation Procedures</w:t>
      </w:r>
    </w:p>
    <w:p w14:paraId="72FF7C9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Ensure oversight personnel are trained on their decision-making authority, escalation paths, and protocols for addressing issues or anomalies.</w:t>
      </w:r>
    </w:p>
    <w:p w14:paraId="4E5C8EE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FE2A46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modules emphasizing authority levels and escalation steps.</w:t>
      </w:r>
    </w:p>
    <w:p w14:paraId="44CA12F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Role-playing exercises simulating response scenarios.</w:t>
      </w:r>
    </w:p>
    <w:p w14:paraId="174701E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Protocol review attendance rosters.</w:t>
      </w:r>
    </w:p>
    <w:p w14:paraId="1A21934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Acknowledgment and sign-off on authority levels.</w:t>
      </w:r>
    </w:p>
    <w:p w14:paraId="151CBF4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AE2B32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 Refresher and Continuing Education Programs</w:t>
      </w:r>
    </w:p>
    <w:p w14:paraId="35FFA70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ongoing training and refresher sessions to keep oversight personnel updated on system changes, emerging risks, and best practices.</w:t>
      </w:r>
    </w:p>
    <w:p w14:paraId="2BB7727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7AE03B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Scheduled refresher courses and attendance records.</w:t>
      </w:r>
    </w:p>
    <w:p w14:paraId="29D037F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training materials incorporating lessons learned.</w:t>
      </w:r>
    </w:p>
    <w:p w14:paraId="34003EC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surveys on training relevance and effectiveness.</w:t>
      </w:r>
    </w:p>
    <w:p w14:paraId="0874FA5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certifications or ongoing professional development.</w:t>
      </w:r>
    </w:p>
    <w:p w14:paraId="0AB3946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64FDB0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Monitoring and Feedback for Training Effectiveness</w:t>
      </w:r>
    </w:p>
    <w:p w14:paraId="60925F3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Assess training impact through performance metrics, simulation exercises, and feedback, and adjust programs as necessary to address gaps.</w:t>
      </w:r>
    </w:p>
    <w:p w14:paraId="6A5B288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62FA12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Post-training evaluations and testing outcomes.</w:t>
      </w:r>
    </w:p>
    <w:p w14:paraId="2C475A7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Simulated oversight scenarios and debrief reports.</w:t>
      </w:r>
    </w:p>
    <w:p w14:paraId="48678C7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Performance dashboards tracking oversight effectiveness.</w:t>
      </w:r>
    </w:p>
    <w:p w14:paraId="47853C6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logs from participants and supervisors.</w:t>
      </w:r>
    </w:p>
    <w:p w14:paraId="5D6BF118"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110D1B36"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3ED992E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3BE568C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07F02649" w14:textId="77777777" w:rsidTr="005C00A5">
        <w:tc>
          <w:tcPr>
            <w:tcW w:w="1170" w:type="dxa"/>
          </w:tcPr>
          <w:p w14:paraId="6AF28C3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75F9EA9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0FAA00D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7E6AA283" w14:textId="77777777" w:rsidTr="005C00A5">
        <w:tc>
          <w:tcPr>
            <w:tcW w:w="1170" w:type="dxa"/>
          </w:tcPr>
          <w:p w14:paraId="22F965A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MP-3.5.3</w:t>
            </w:r>
          </w:p>
        </w:tc>
        <w:tc>
          <w:tcPr>
            <w:tcW w:w="2160" w:type="dxa"/>
          </w:tcPr>
          <w:p w14:paraId="54BCCAA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Criteria and Thresholds for Intervention</w:t>
            </w:r>
          </w:p>
        </w:tc>
        <w:tc>
          <w:tcPr>
            <w:tcW w:w="6740" w:type="dxa"/>
          </w:tcPr>
          <w:p w14:paraId="69B7112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documents and communicates criteria and thresholds for human intervention in AI system operation, procedures for escalating issues, and guidelines for making oversight decisions. Wherever possible, these criteria are embedded within the AI systems to facilitate timely human intervention.</w:t>
            </w:r>
          </w:p>
          <w:p w14:paraId="2F18FC20" w14:textId="77777777" w:rsidR="00963E47" w:rsidRPr="00963E47" w:rsidRDefault="00963E47" w:rsidP="004C3837">
            <w:pPr>
              <w:keepNext/>
              <w:rPr>
                <w:rFonts w:ascii="Aptos" w:hAnsi="Aptos" w:cs="Times New Roman"/>
                <w:b/>
                <w:bCs/>
                <w:color w:val="000000"/>
                <w:sz w:val="20"/>
                <w:szCs w:val="20"/>
              </w:rPr>
            </w:pPr>
          </w:p>
          <w:p w14:paraId="6C8D28FF" w14:textId="77777777" w:rsidR="00963E47" w:rsidRPr="00963E47" w:rsidRDefault="00963E47" w:rsidP="004C3837">
            <w:pPr>
              <w:keepNext/>
              <w:rPr>
                <w:rFonts w:ascii="Aptos" w:hAnsi="Aptos" w:cs="Times New Roman"/>
                <w:b/>
                <w:bCs/>
                <w:color w:val="000000"/>
                <w:sz w:val="20"/>
                <w:szCs w:val="20"/>
              </w:rPr>
            </w:pPr>
            <w:hyperlink r:id="rId130" w:anchor="map-3-5" w:history="1">
              <w:r w:rsidRPr="00963E47">
                <w:rPr>
                  <w:rFonts w:ascii="Aptos" w:hAnsi="Aptos" w:cs="Times New Roman"/>
                  <w:color w:val="000000"/>
                  <w:sz w:val="20"/>
                  <w:szCs w:val="20"/>
                  <w:u w:val="single"/>
                </w:rPr>
                <w:t>Link to NIST AI RMF Playbook</w:t>
              </w:r>
            </w:hyperlink>
          </w:p>
        </w:tc>
      </w:tr>
    </w:tbl>
    <w:p w14:paraId="5BE980BC"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7FCA3F6"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222ACAEB"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726BDC2B" w14:textId="77777777" w:rsidTr="005C00A5">
        <w:trPr>
          <w:tblHeader/>
        </w:trPr>
        <w:tc>
          <w:tcPr>
            <w:tcW w:w="2160" w:type="dxa"/>
            <w:shd w:val="clear" w:color="auto" w:fill="CCDCDC"/>
            <w:vAlign w:val="center"/>
          </w:tcPr>
          <w:p w14:paraId="5EB755D6"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3A64E2FC"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4B64BB22"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7ACFEB04" w14:textId="77777777" w:rsidTr="005C00A5">
        <w:tc>
          <w:tcPr>
            <w:tcW w:w="2160" w:type="dxa"/>
            <w:shd w:val="clear" w:color="auto" w:fill="CCDCDC"/>
          </w:tcPr>
          <w:p w14:paraId="2EEA4F2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6DEAD2B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4A3CBD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2780DA76" w14:textId="77777777" w:rsidTr="005C00A5">
        <w:tc>
          <w:tcPr>
            <w:tcW w:w="2160" w:type="dxa"/>
            <w:shd w:val="clear" w:color="auto" w:fill="CCDCDC"/>
          </w:tcPr>
          <w:p w14:paraId="1577F895"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368836F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2B226A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099D3E94" w14:textId="77777777" w:rsidTr="005C00A5">
        <w:tc>
          <w:tcPr>
            <w:tcW w:w="2160" w:type="dxa"/>
            <w:shd w:val="clear" w:color="auto" w:fill="CCDCDC"/>
          </w:tcPr>
          <w:p w14:paraId="1549B0E5"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4713F45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392964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begin documenting and communicating criteria and thresholds for human intervention in AI system operation, along with issue escalation procedures and oversight decision guidelines, and start embedding these criteria within the systems where possible.</w:t>
            </w:r>
          </w:p>
        </w:tc>
      </w:tr>
      <w:tr w:rsidR="00963E47" w:rsidRPr="00963E47" w14:paraId="4817BC33" w14:textId="77777777" w:rsidTr="005C00A5">
        <w:tc>
          <w:tcPr>
            <w:tcW w:w="2160" w:type="dxa"/>
            <w:shd w:val="clear" w:color="auto" w:fill="CCDCDC"/>
          </w:tcPr>
          <w:p w14:paraId="70765A2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076C7DD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823FFC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utilize autonomous decision-making and high-sensitivity data processing, so they enhance the documentation and communication from the evolving stage to cover the expanded scope of the AI systems. Embedding human intervention criteria within AI systems becomes a standard practice to ensure timely and effective oversight in critical business functions.</w:t>
            </w:r>
          </w:p>
        </w:tc>
      </w:tr>
    </w:tbl>
    <w:p w14:paraId="519BBAA1"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49BFABF3" w14:textId="77777777" w:rsidTr="005C00A5">
        <w:tc>
          <w:tcPr>
            <w:tcW w:w="2250" w:type="dxa"/>
          </w:tcPr>
          <w:p w14:paraId="5E53A4F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49ECF9A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2331D4D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743DD7FF" w14:textId="77777777" w:rsidTr="005C00A5">
        <w:tc>
          <w:tcPr>
            <w:tcW w:w="2250" w:type="dxa"/>
          </w:tcPr>
          <w:p w14:paraId="593473A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4C468AF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Undocumented Intervention Criteria</w:t>
            </w:r>
          </w:p>
        </w:tc>
        <w:tc>
          <w:tcPr>
            <w:tcW w:w="5300" w:type="dxa"/>
          </w:tcPr>
          <w:p w14:paraId="494EEF4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Criteria for human intervention in AI system operation are undocumented</w:t>
            </w:r>
          </w:p>
        </w:tc>
      </w:tr>
    </w:tbl>
    <w:p w14:paraId="039438B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851821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19F8F85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F5AD8D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Document and communicate clear criteria and thresholds for human intervention in AI system operation, procedures for escalating issues, and guidelines for making oversight decisions. Engage relevant stakeholders, such as data scientists, domain experts, and risk management professionals, to define these criteria and thresholds based on the AI system's capabilities, context of use, and potential risks.</w:t>
      </w:r>
    </w:p>
    <w:p w14:paraId="5B3ECB9C"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13160F6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Ensure the criteria are specific, measurable, and actionable, aligning them with the organization's overall risk appetite and tolerance. Wherever possible, embed these criteria within the AI system itself, using automated monitoring and alerting tools to facilitate timely human intervention when necessary.</w:t>
      </w:r>
    </w:p>
    <w:p w14:paraId="5059427F"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B58F3C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clear communication channels and escalation paths for reporting issues or concerns related to the AI system's operation, ensuring relevant parties are informed and trained on these procedures. Regularly review and update the intervention criteria and escalation procedures to maintain their effectiveness and relevance as the AI system and its context of use evolve over time.</w:t>
      </w:r>
    </w:p>
    <w:p w14:paraId="6E8DEE5D"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5FE5F6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lastRenderedPageBreak/>
        <w:t xml:space="preserve">Example Controls and Evidence: </w:t>
      </w:r>
    </w:p>
    <w:p w14:paraId="1A9E780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C6FE30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Human Intervention Criteria and Thresholds</w:t>
      </w:r>
    </w:p>
    <w:p w14:paraId="7B64B99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Create clear, documented criteria and thresholds signaling when human oversight and intervention are required, aligned with system risks and operational objectives.</w:t>
      </w:r>
    </w:p>
    <w:p w14:paraId="6230A4F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F3603D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Official policies or protocols defining escalation thresholds for various risk levels.</w:t>
      </w:r>
    </w:p>
    <w:p w14:paraId="563DC34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Decision matrices linking system alerts to required human actions.</w:t>
      </w:r>
    </w:p>
    <w:p w14:paraId="1A78ED3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Technical specifications embedding thresholds for automatic alerts or intervention triggers.</w:t>
      </w:r>
    </w:p>
    <w:p w14:paraId="2C31CEF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criteria documents.</w:t>
      </w:r>
    </w:p>
    <w:p w14:paraId="0DDEC8F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6D01AF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Procedures for Escalation and Oversight Decisions</w:t>
      </w:r>
    </w:p>
    <w:p w14:paraId="68A69BB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formal procedures articulating steps for escalating issues, roles involved, and decision points to ensure consistent and timely oversight responses.</w:t>
      </w:r>
    </w:p>
    <w:p w14:paraId="5AB19C1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ABE16E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Escalation flowcharts and action plans.</w:t>
      </w:r>
    </w:p>
    <w:p w14:paraId="1981F2D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response playbooks with escalation criteria.</w:t>
      </w:r>
    </w:p>
    <w:p w14:paraId="294CED4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Role-specific procedures and responsibilities documentation.</w:t>
      </w:r>
    </w:p>
    <w:p w14:paraId="073897B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materials emphasizing escalation processes.</w:t>
      </w:r>
    </w:p>
    <w:p w14:paraId="2120FACF"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9429AF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Embedding Criteria and Procedures into Systems and Workflows</w:t>
      </w:r>
    </w:p>
    <w:p w14:paraId="5B3EA47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Integrate escalation thresholds and oversight guidelines directly into AI systems and operational workflows, enabling automatic alerts and facilitating timely human actions.</w:t>
      </w:r>
    </w:p>
    <w:p w14:paraId="0D37E9F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51814F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System configurations with embedded alert rules and thresholds.</w:t>
      </w:r>
    </w:p>
    <w:p w14:paraId="77E9B00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Workflow diagrams showing automated and manual intervention points.</w:t>
      </w:r>
    </w:p>
    <w:p w14:paraId="5B1219D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User interface alerts, notification templates, and decision-support tools.</w:t>
      </w:r>
    </w:p>
    <w:p w14:paraId="607704B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logs of system-triggered alerts and human responses.</w:t>
      </w:r>
    </w:p>
    <w:p w14:paraId="50FD64C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410273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Communication and Awareness of Oversight Criteria</w:t>
      </w:r>
    </w:p>
    <w:p w14:paraId="1ABE668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Ensure all relevant personnel are aware of the criteria, thresholds, and procedures through training, documentation, and regular updates.</w:t>
      </w:r>
    </w:p>
    <w:p w14:paraId="156FAC8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839561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sessions, manuals, and quick-reference guides.</w:t>
      </w:r>
    </w:p>
    <w:p w14:paraId="4AA93F1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Internal communications or newsletters highlighting criteria and procedures.</w:t>
      </w:r>
    </w:p>
    <w:p w14:paraId="59E579B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Acknowledgment logs from staff confirming understanding.</w:t>
      </w:r>
    </w:p>
    <w:p w14:paraId="537B5C1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Regular briefings or refreshers focusing on escalation policies.</w:t>
      </w:r>
    </w:p>
    <w:p w14:paraId="3E87B1F2"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6C26C7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Review and Fine-tuning of Criteria and Guidelines</w:t>
      </w:r>
    </w:p>
    <w:p w14:paraId="1BC85CD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Periodically review and update intervention criteria, thresholds, and procedures based on system performance data, incident lessons learned, and evolving risks.</w:t>
      </w:r>
    </w:p>
    <w:p w14:paraId="709D5EF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0512DE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with documented updates.</w:t>
      </w:r>
    </w:p>
    <w:p w14:paraId="255AE0A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analysis reports leading to threshold adjustments.</w:t>
      </w:r>
    </w:p>
    <w:p w14:paraId="2A68D8B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oversight teams on criteria effectiveness.</w:t>
      </w:r>
    </w:p>
    <w:p w14:paraId="134F600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Revision logs signifying ongoing improvements.</w:t>
      </w:r>
    </w:p>
    <w:p w14:paraId="67234A60"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4FE9254F"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3E4918C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15482BF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7AC0C5B5" w14:textId="77777777" w:rsidTr="005C00A5">
        <w:tc>
          <w:tcPr>
            <w:tcW w:w="1170" w:type="dxa"/>
          </w:tcPr>
          <w:p w14:paraId="0CCA5F0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4AAC0B9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4544C83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3821E02D" w14:textId="77777777" w:rsidTr="005C00A5">
        <w:tc>
          <w:tcPr>
            <w:tcW w:w="1170" w:type="dxa"/>
          </w:tcPr>
          <w:p w14:paraId="506D9CA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MP-3.5.4</w:t>
            </w:r>
          </w:p>
        </w:tc>
        <w:tc>
          <w:tcPr>
            <w:tcW w:w="2160" w:type="dxa"/>
          </w:tcPr>
          <w:p w14:paraId="181F7BB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Oversight Effectiveness Evaluation and Improvement</w:t>
            </w:r>
          </w:p>
        </w:tc>
        <w:tc>
          <w:tcPr>
            <w:tcW w:w="6740" w:type="dxa"/>
          </w:tcPr>
          <w:p w14:paraId="0ADA45D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documents and reviews processes to regularly evaluate the effectiveness of human oversight mechanisms through qualitative and quantitative methods, such as audits, performance evaluations, and stakeholder feedback, while implementing a plan to assess human oversight and update documentation based on changes in the AI system's capabilities, context of use, or identified risks. These evaluations inform continuous improvement efforts and maintain alignment with governance policies.</w:t>
            </w:r>
          </w:p>
          <w:p w14:paraId="72B7316F" w14:textId="77777777" w:rsidR="00963E47" w:rsidRPr="00963E47" w:rsidRDefault="00963E47" w:rsidP="004C3837">
            <w:pPr>
              <w:keepNext/>
              <w:rPr>
                <w:rFonts w:ascii="Aptos" w:hAnsi="Aptos" w:cs="Times New Roman"/>
                <w:b/>
                <w:bCs/>
                <w:color w:val="000000"/>
                <w:sz w:val="20"/>
                <w:szCs w:val="20"/>
              </w:rPr>
            </w:pPr>
          </w:p>
          <w:p w14:paraId="78F05CB7" w14:textId="77777777" w:rsidR="00963E47" w:rsidRPr="00963E47" w:rsidRDefault="00963E47" w:rsidP="004C3837">
            <w:pPr>
              <w:keepNext/>
              <w:rPr>
                <w:rFonts w:ascii="Aptos" w:hAnsi="Aptos" w:cs="Times New Roman"/>
                <w:b/>
                <w:bCs/>
                <w:color w:val="000000"/>
                <w:sz w:val="20"/>
                <w:szCs w:val="20"/>
              </w:rPr>
            </w:pPr>
            <w:hyperlink r:id="rId131" w:anchor="map-3-5" w:history="1">
              <w:r w:rsidRPr="00963E47">
                <w:rPr>
                  <w:rFonts w:ascii="Aptos" w:hAnsi="Aptos" w:cs="Times New Roman"/>
                  <w:color w:val="000000"/>
                  <w:sz w:val="20"/>
                  <w:szCs w:val="20"/>
                  <w:u w:val="single"/>
                </w:rPr>
                <w:t>Link to NIST AI RMF Playbook</w:t>
              </w:r>
            </w:hyperlink>
          </w:p>
        </w:tc>
      </w:tr>
    </w:tbl>
    <w:p w14:paraId="06A1F664"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E761E37"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6471ED2F"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12494CBB" w14:textId="77777777" w:rsidTr="005C00A5">
        <w:trPr>
          <w:tblHeader/>
        </w:trPr>
        <w:tc>
          <w:tcPr>
            <w:tcW w:w="2160" w:type="dxa"/>
            <w:shd w:val="clear" w:color="auto" w:fill="CCDCDC"/>
            <w:vAlign w:val="center"/>
          </w:tcPr>
          <w:p w14:paraId="01A50FAD"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34570D08"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0A9BB3B1"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4CC87184" w14:textId="77777777" w:rsidTr="005C00A5">
        <w:tc>
          <w:tcPr>
            <w:tcW w:w="2160" w:type="dxa"/>
            <w:shd w:val="clear" w:color="auto" w:fill="CCDCDC"/>
          </w:tcPr>
          <w:p w14:paraId="21115F5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32834DA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247EFD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4DC70EA2" w14:textId="77777777" w:rsidTr="005C00A5">
        <w:tc>
          <w:tcPr>
            <w:tcW w:w="2160" w:type="dxa"/>
            <w:shd w:val="clear" w:color="auto" w:fill="CCDCDC"/>
          </w:tcPr>
          <w:p w14:paraId="40B7C0E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6471141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11DC2C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3543A086" w14:textId="77777777" w:rsidTr="005C00A5">
        <w:tc>
          <w:tcPr>
            <w:tcW w:w="2160" w:type="dxa"/>
            <w:shd w:val="clear" w:color="auto" w:fill="CCDCDC"/>
          </w:tcPr>
          <w:p w14:paraId="688946B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756B1A4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8DCAF7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begin establishing processes to regularly assess the effectiveness of human oversight mechanisms for AI systems using a combination of qualitative and quantitative methods, such as audits, performance evaluations, and stakeholder feedback.</w:t>
            </w:r>
          </w:p>
        </w:tc>
      </w:tr>
      <w:tr w:rsidR="00963E47" w:rsidRPr="00963E47" w14:paraId="3C508DC9" w14:textId="77777777" w:rsidTr="005C00A5">
        <w:tc>
          <w:tcPr>
            <w:tcW w:w="2160" w:type="dxa"/>
            <w:shd w:val="clear" w:color="auto" w:fill="CCDCDC"/>
          </w:tcPr>
          <w:p w14:paraId="7E72150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799DEAB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A4320D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expand documentation and review processes to ensure human oversight remains effective as AI systems become more complex and integrated. These evaluations inform continuous improvement efforts and maintain alignment with governance policies across all scalable and interconnected AI systems.</w:t>
            </w:r>
          </w:p>
        </w:tc>
      </w:tr>
    </w:tbl>
    <w:p w14:paraId="795C2724"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5096A36E" w14:textId="77777777" w:rsidTr="005C00A5">
        <w:tc>
          <w:tcPr>
            <w:tcW w:w="2250" w:type="dxa"/>
          </w:tcPr>
          <w:p w14:paraId="5F56891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15D5F85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4CA427C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63C422FF" w14:textId="77777777" w:rsidTr="005C00A5">
        <w:tc>
          <w:tcPr>
            <w:tcW w:w="2250" w:type="dxa"/>
          </w:tcPr>
          <w:p w14:paraId="3E089E4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6BAC280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Unevaluated Oversight Effectiveness</w:t>
            </w:r>
          </w:p>
        </w:tc>
        <w:tc>
          <w:tcPr>
            <w:tcW w:w="5300" w:type="dxa"/>
          </w:tcPr>
          <w:p w14:paraId="4687D35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Effectiveness of human oversight is not regularly evaluated</w:t>
            </w:r>
          </w:p>
        </w:tc>
      </w:tr>
    </w:tbl>
    <w:p w14:paraId="767F81C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4A293C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3C0BDCB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E1FEEE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Document and review the effectiveness of human oversight mechanisms using both qualitative and quantitative methods, such as audits, performance evaluations, and feedback from relevant stakeholders. Develop a set of key performance indicators (KPIs) and metrics to track the effectiveness of human oversight over time, including response times, decision accuracy, and stakeholder satisfaction. </w:t>
      </w:r>
    </w:p>
    <w:p w14:paraId="1A1D5FF3"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73F6B80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Implement automated monitoring tools and processes to collect and analyze this data on an ongoing basis, establishing regular reporting and review cycles to ensure that issues or trends are promptly identified and addressed. Conduct periodic audits or assessments of the human oversight processes, using independent third-party experts where appropriate, to identify areas for improvement and ensure compliance with relevant standards.</w:t>
      </w:r>
    </w:p>
    <w:p w14:paraId="5AFFD590"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23B0E57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Gather feedback from relevant stakeholders, such as end-users, domain experts, and regulatory bodies, to gain additional insights into the effectiveness and appropriateness of the human oversight mechanisms. Use the results of these assessments to inform ongoing improvements and updates to the oversight processes and documentation, ensuring they remain effective and relevant.</w:t>
      </w:r>
    </w:p>
    <w:p w14:paraId="5460764D"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3A740E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12721BC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EA0D28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Formal Documentation of Oversight Evaluation Processes</w:t>
      </w:r>
    </w:p>
    <w:p w14:paraId="3AB8423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and maintain clear procedures for evaluating the effectiveness of human oversight mechanisms, including methods, frequency, and responsible parties.</w:t>
      </w:r>
    </w:p>
    <w:p w14:paraId="49D1A11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A1D7FB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Process documents outlining audit, evaluation, and feedback methods.</w:t>
      </w:r>
    </w:p>
    <w:p w14:paraId="28B873B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Checklists for qualitative and quantitative assessment activities.</w:t>
      </w:r>
    </w:p>
    <w:p w14:paraId="473BA86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Defined roles and responsibilities for oversight evaluations.</w:t>
      </w:r>
    </w:p>
    <w:p w14:paraId="56B7E2A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procedures and schedules.</w:t>
      </w:r>
    </w:p>
    <w:p w14:paraId="677F618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CCD8D1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of Qualitative and Quantitative Evaluation Methods</w:t>
      </w:r>
    </w:p>
    <w:p w14:paraId="14A9F69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Apply a mix of qualitative (e.g., stakeholder interviews, reviews) and quantitative (e.g., performance metrics, incident rates) methods to assess oversight effectiveness.</w:t>
      </w:r>
    </w:p>
    <w:p w14:paraId="576676F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0EDE53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reports assessing compliance and effectiveness of oversight.</w:t>
      </w:r>
    </w:p>
    <w:p w14:paraId="117EB3B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Performance dashboards tracking key oversight metrics.</w:t>
      </w:r>
    </w:p>
    <w:p w14:paraId="44C1335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feedback summaries.</w:t>
      </w:r>
    </w:p>
    <w:p w14:paraId="42DAA15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Evaluation results documented in systematic reports.</w:t>
      </w:r>
    </w:p>
    <w:p w14:paraId="586C4432"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C8117D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Ongoing Review and Update of Oversight Processes and Documentation</w:t>
      </w:r>
    </w:p>
    <w:p w14:paraId="0F7C7F9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Schedule periodic reviews of oversight processes and documentation, ensuring updates are made in response to system changes, operational experience, or new risks.</w:t>
      </w:r>
    </w:p>
    <w:p w14:paraId="3638116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FFFBFA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meeting minutes, and change logs.</w:t>
      </w:r>
    </w:p>
    <w:p w14:paraId="31686ED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procedures reflecting lessons learned and system evolution.</w:t>
      </w:r>
    </w:p>
    <w:p w14:paraId="0E70192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process improvement initiatives.</w:t>
      </w:r>
    </w:p>
    <w:p w14:paraId="7D819CB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approval documentation.</w:t>
      </w:r>
    </w:p>
    <w:p w14:paraId="7067325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202FD4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Incorporation of Lessons Learned and Feedback</w:t>
      </w:r>
    </w:p>
    <w:p w14:paraId="07BABC1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Utilize insights from evaluations, incident analysis, and stakeholder feedback to refine oversight processes and documentation continuously, ensuring they remain effective and relevant in adapting to changes in the AI system's capabilities, context of use, or identified risks.</w:t>
      </w:r>
    </w:p>
    <w:p w14:paraId="21CECCD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5964CE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reports and action plans.</w:t>
      </w:r>
    </w:p>
    <w:p w14:paraId="4211BF4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oversight teams, users, or external stakeholders.</w:t>
      </w:r>
    </w:p>
    <w:p w14:paraId="3DE3831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criteria, thresholds, or oversight procedures.</w:t>
      </w:r>
    </w:p>
    <w:p w14:paraId="5C2A19E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revision records based on evaluation findings.</w:t>
      </w:r>
    </w:p>
    <w:p w14:paraId="56314E8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C9E31B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Performance Monitoring and Continuous Improvement Initiatives</w:t>
      </w:r>
    </w:p>
    <w:p w14:paraId="1BE5F47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Track oversight performance over time through dashboards and KPIs, and initiate continuous improvement projects to enhance oversight effectiveness and governance alignment.</w:t>
      </w:r>
    </w:p>
    <w:p w14:paraId="5FDFB7B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498D74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KPIs showing trends in oversight effectiveness.</w:t>
      </w:r>
    </w:p>
    <w:p w14:paraId="168898A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Improvement project records with implemented actions.</w:t>
      </w:r>
    </w:p>
    <w:p w14:paraId="1155769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Review presentation materials or dashboards for governance review.</w:t>
      </w:r>
    </w:p>
    <w:p w14:paraId="16B4627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satisfaction surveys related to oversight practices.</w:t>
      </w:r>
    </w:p>
    <w:p w14:paraId="21324B9F"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42" w:name="_Toc214874787"/>
      <w:r w:rsidRPr="00963E47">
        <w:rPr>
          <w:rFonts w:ascii="Aptos" w:eastAsia="Aptos" w:hAnsi="Aptos" w:cs="Times New Roman"/>
          <w:b/>
          <w:bCs/>
          <w:noProof/>
          <w:color w:val="35256B"/>
          <w:kern w:val="2"/>
          <w:sz w:val="24"/>
          <w14:ligatures w14:val="standardContextual"/>
        </w:rPr>
        <w:t>MAP / Understanding AI System Components / Understanding the Risk of AI System Components</w:t>
      </w:r>
      <w:bookmarkEnd w:id="42"/>
      <w:r w:rsidRPr="00963E47">
        <w:rPr>
          <w:rFonts w:ascii="Aptos" w:eastAsia="Aptos" w:hAnsi="Aptos" w:cs="Times New Roman"/>
          <w:b/>
          <w:bCs/>
          <w:noProof/>
          <w:color w:val="35256B"/>
          <w:kern w:val="2"/>
          <w:sz w:val="24"/>
          <w14:ligatures w14:val="standardContextual"/>
        </w:rPr>
        <w:t xml:space="preserve"> </w:t>
      </w:r>
    </w:p>
    <w:p w14:paraId="218BC4D1"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0A0A464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47375FD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7AB1B144" w14:textId="77777777" w:rsidTr="005C00A5">
        <w:tc>
          <w:tcPr>
            <w:tcW w:w="1170" w:type="dxa"/>
          </w:tcPr>
          <w:p w14:paraId="3264CEF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6063B57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6C36504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5E1727C5" w14:textId="77777777" w:rsidTr="005C00A5">
        <w:tc>
          <w:tcPr>
            <w:tcW w:w="1170" w:type="dxa"/>
          </w:tcPr>
          <w:p w14:paraId="0DEA6E0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MP-4.1.1</w:t>
            </w:r>
          </w:p>
        </w:tc>
        <w:tc>
          <w:tcPr>
            <w:tcW w:w="2160" w:type="dxa"/>
          </w:tcPr>
          <w:p w14:paraId="758B9A7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Legal Risk Management Processes</w:t>
            </w:r>
          </w:p>
        </w:tc>
        <w:tc>
          <w:tcPr>
            <w:tcW w:w="6740" w:type="dxa"/>
          </w:tcPr>
          <w:p w14:paraId="07B0DF1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documents processes for identifying, mapping, assessing, and managing potential legal risks associated with the AI system and its components, including, but not limited to, fair lending practices, model risk, data privacy, intellectual property, third-party rights, and the use of third-party data or software, as available.</w:t>
            </w:r>
          </w:p>
          <w:p w14:paraId="276AF030" w14:textId="77777777" w:rsidR="00963E47" w:rsidRPr="00963E47" w:rsidRDefault="00963E47" w:rsidP="004C3837">
            <w:pPr>
              <w:keepNext/>
              <w:rPr>
                <w:rFonts w:ascii="Aptos" w:hAnsi="Aptos" w:cs="Times New Roman"/>
                <w:b/>
                <w:bCs/>
                <w:color w:val="000000"/>
                <w:sz w:val="20"/>
                <w:szCs w:val="20"/>
              </w:rPr>
            </w:pPr>
          </w:p>
          <w:p w14:paraId="4C8D26D2" w14:textId="77777777" w:rsidR="00963E47" w:rsidRPr="00963E47" w:rsidRDefault="00963E47" w:rsidP="004C3837">
            <w:pPr>
              <w:keepNext/>
              <w:rPr>
                <w:rFonts w:ascii="Aptos" w:hAnsi="Aptos" w:cs="Times New Roman"/>
                <w:b/>
                <w:bCs/>
                <w:color w:val="000000"/>
                <w:sz w:val="20"/>
                <w:szCs w:val="20"/>
              </w:rPr>
            </w:pPr>
            <w:hyperlink r:id="rId132" w:anchor="map-4-1" w:history="1">
              <w:r w:rsidRPr="00963E47">
                <w:rPr>
                  <w:rFonts w:ascii="Aptos" w:hAnsi="Aptos" w:cs="Times New Roman"/>
                  <w:color w:val="000000"/>
                  <w:sz w:val="20"/>
                  <w:szCs w:val="20"/>
                  <w:u w:val="single"/>
                </w:rPr>
                <w:t>Link to NIST AI RMF Playbook</w:t>
              </w:r>
            </w:hyperlink>
          </w:p>
        </w:tc>
      </w:tr>
    </w:tbl>
    <w:p w14:paraId="395D9678"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66254A1"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155598EE"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767EE544" w14:textId="77777777" w:rsidTr="005C00A5">
        <w:trPr>
          <w:tblHeader/>
        </w:trPr>
        <w:tc>
          <w:tcPr>
            <w:tcW w:w="2160" w:type="dxa"/>
            <w:shd w:val="clear" w:color="auto" w:fill="CCDCDC"/>
            <w:vAlign w:val="center"/>
          </w:tcPr>
          <w:p w14:paraId="0FD8A048"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04899804"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2D998B39"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49B60B51" w14:textId="77777777" w:rsidTr="005C00A5">
        <w:tc>
          <w:tcPr>
            <w:tcW w:w="2160" w:type="dxa"/>
            <w:shd w:val="clear" w:color="auto" w:fill="CCDCDC"/>
          </w:tcPr>
          <w:p w14:paraId="7D2E608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773B155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0AF21F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0DF67F41" w14:textId="77777777" w:rsidTr="005C00A5">
        <w:tc>
          <w:tcPr>
            <w:tcW w:w="2160" w:type="dxa"/>
            <w:shd w:val="clear" w:color="auto" w:fill="CCDCDC"/>
          </w:tcPr>
          <w:p w14:paraId="67DD0A6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25E5D5E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D4CFF9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have begun establishing processes for identifying, mapping, and assessing legal risks associated with AI systems and their components, but the processes may not yet be comprehensive, well-documented, or consistently followed.</w:t>
            </w:r>
          </w:p>
        </w:tc>
      </w:tr>
      <w:tr w:rsidR="00963E47" w:rsidRPr="00963E47" w14:paraId="04C8D5BB" w14:textId="77777777" w:rsidTr="005C00A5">
        <w:tc>
          <w:tcPr>
            <w:tcW w:w="2160" w:type="dxa"/>
            <w:shd w:val="clear" w:color="auto" w:fill="CCDCDC"/>
          </w:tcPr>
          <w:p w14:paraId="447C9F0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7BEDB52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94B31F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evolving stage have established clear, well-documented processes for thoroughly identifying, mapping, and assessing legal risks associated with AI systems and their components, including data privacy, intellectual property, third-party rights, and the use of third-party data or software. These processes are consistently followed.</w:t>
            </w:r>
          </w:p>
        </w:tc>
      </w:tr>
      <w:tr w:rsidR="00963E47" w:rsidRPr="00963E47" w14:paraId="79ECE26E" w14:textId="77777777" w:rsidTr="005C00A5">
        <w:tc>
          <w:tcPr>
            <w:tcW w:w="2160" w:type="dxa"/>
            <w:shd w:val="clear" w:color="auto" w:fill="CCDCDC"/>
          </w:tcPr>
          <w:p w14:paraId="27BC2A3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78AC848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D65154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comprehensively document and manage legal risks associated with AI systems. This involves a sophisticated approach to legal risk management that encompasses all aspects of AI, from fair lending practices in autonomous financial systems to data privacy in high-sensitivity applications, intellectual property, and third-party dependencies, ensuring that the scalability and interconnectedness of AI across the organization do not introduce unacceptable legal exposures.</w:t>
            </w:r>
          </w:p>
        </w:tc>
      </w:tr>
    </w:tbl>
    <w:p w14:paraId="0FB7A048"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224B0035" w14:textId="77777777" w:rsidTr="005C00A5">
        <w:tc>
          <w:tcPr>
            <w:tcW w:w="2250" w:type="dxa"/>
          </w:tcPr>
          <w:p w14:paraId="128CA9A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39540CD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687D199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70EA2D64" w14:textId="77777777" w:rsidTr="005C00A5">
        <w:tc>
          <w:tcPr>
            <w:tcW w:w="2250" w:type="dxa"/>
          </w:tcPr>
          <w:p w14:paraId="3253C8F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5352AD0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Unmanaged Legal Risks</w:t>
            </w:r>
          </w:p>
        </w:tc>
        <w:tc>
          <w:tcPr>
            <w:tcW w:w="5300" w:type="dxa"/>
          </w:tcPr>
          <w:p w14:paraId="25C425C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Legal risks associated with the AI system are not managed or documented</w:t>
            </w:r>
          </w:p>
        </w:tc>
      </w:tr>
    </w:tbl>
    <w:p w14:paraId="62DC36F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53548E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583B392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30BBE6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To effectively identify, map, and assess potential legal risks associated with the AI system and its components, document clear processes outlining the steps, responsibilities, and tools involved. Conduct a thorough inventory of AI system components, including data sources, algorithms, third-party software, and other relevant elements. </w:t>
      </w:r>
    </w:p>
    <w:p w14:paraId="2494EC62"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03D397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For each component, identify potential legal risks, such as data privacy violations, intellectual property infringement, or breach of third party rights. Develop a standardized risk assessment framework that considers factors such as the likelihood and impact of each risk, as well as any mitigating controls or safeguards in place.</w:t>
      </w:r>
    </w:p>
    <w:p w14:paraId="47D1E66A"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A81511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Document the results of the risk assessment, providing a clear mapping of each component to its associated legal risks and ensure this documentation is regularly updated as the AI system evolves or new risks emerge. Assign clear roles and responsibilities for conducting and maintaining the risk assessment, and provide training and resources to ensure that relevant parties have the necessary skills and knowledge to effectively identify and manage legal risks.</w:t>
      </w:r>
    </w:p>
    <w:p w14:paraId="2E10CCC1"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58BC31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6DC7D49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633AE8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Legal Risk Identification and Mapping Procedures</w:t>
      </w:r>
    </w:p>
    <w:p w14:paraId="27BA31E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formal procedures to identify and map legal risks associated with AI components, including relevant laws, regulations, and contractual obligations.</w:t>
      </w:r>
    </w:p>
    <w:p w14:paraId="2D1936B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B56105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Process documents outlining steps for legal risk identification and mapping.</w:t>
      </w:r>
    </w:p>
    <w:p w14:paraId="6FBD69A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Checklists covering data privacy, IP rights, third-party data use, and fair lending.</w:t>
      </w:r>
    </w:p>
    <w:p w14:paraId="508A8D7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Legal and compliance stakeholder engagement records.</w:t>
      </w:r>
    </w:p>
    <w:p w14:paraId="6E622D2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process manuals.</w:t>
      </w:r>
    </w:p>
    <w:p w14:paraId="476B14F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2106C3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Implementation of Risk Assessment and Tracking</w:t>
      </w:r>
    </w:p>
    <w:p w14:paraId="7B13AEE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assessments to evaluate the severity, likelihood, and potential impact of identified legal risks, linking them to risk registers or dashboards that facilitate ongoing tracking and management of these risks.</w:t>
      </w:r>
    </w:p>
    <w:p w14:paraId="3D29ADC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2FBBD3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assessment reports with legal risk ratings and impact analysis.</w:t>
      </w:r>
    </w:p>
    <w:p w14:paraId="0E97141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Matrices linking risks to legal requirements and controls.</w:t>
      </w:r>
    </w:p>
    <w:p w14:paraId="54E99A4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Issue logs tracking legal risk mitigation actions.</w:t>
      </w:r>
    </w:p>
    <w:p w14:paraId="20D09F4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Regular updates based on new legal developments.</w:t>
      </w:r>
    </w:p>
    <w:p w14:paraId="7E7B994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6B3DF8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Management of Legal Risks through Contracts and Controls</w:t>
      </w:r>
    </w:p>
    <w:p w14:paraId="1D933AC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and document contractual provisions, policies, and controls to mitigate identified legal risks, including data rights, licensing, compliance, and liability clauses that ensure alignment with legal and regulatory requirements.</w:t>
      </w:r>
    </w:p>
    <w:p w14:paraId="34438E8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EBEE85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Standard contract templates with legal risk mitigation clauses.</w:t>
      </w:r>
    </w:p>
    <w:p w14:paraId="1CE5418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Negotiation records and contractual amendments addressing legal concerns.</w:t>
      </w:r>
    </w:p>
    <w:p w14:paraId="220EC62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sharing and third-party agreement documentation.</w:t>
      </w:r>
    </w:p>
    <w:p w14:paraId="2BD4D3A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Compliance checklists and approval workflows.</w:t>
      </w:r>
    </w:p>
    <w:p w14:paraId="1EC7C54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0E8A71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Ongoing Monitoring and Legal Compliance Review</w:t>
      </w:r>
    </w:p>
    <w:p w14:paraId="285FC75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Integrate legal risk monitoring into ongoing system oversight, periodically reviewing legal risk exposure, compliance with evolving regulations, and re-assessing mitigation effectiveness to ensure that risks are managed proactively.</w:t>
      </w:r>
    </w:p>
    <w:p w14:paraId="7D6F63A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54E814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Compliance monitoring reports and audit logs.</w:t>
      </w:r>
    </w:p>
    <w:p w14:paraId="1FC1DCC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Legal risk dashboards reflecting current risk levels.</w:t>
      </w:r>
    </w:p>
    <w:p w14:paraId="6B3EA3C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reports related to legal violations or IP disputes.</w:t>
      </w:r>
    </w:p>
    <w:p w14:paraId="5D1E67C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Policy review and update records aligned with legal developments.</w:t>
      </w:r>
    </w:p>
    <w:p w14:paraId="727F3C3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634FEEB"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Training and Awareness on Legal Risks</w:t>
      </w:r>
    </w:p>
    <w:p w14:paraId="0A242C0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Provide regular training to relevant teams on legal requirements, contractual obligations, and risk mitigation strategies concerning AI systems and components, fostering a culture of compliance and awareness of legal obligations.</w:t>
      </w:r>
    </w:p>
    <w:p w14:paraId="28BACEC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19BA34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modules, attendance records, and certifications.</w:t>
      </w:r>
    </w:p>
    <w:p w14:paraId="6AD2AAD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Internal memos or newsletters highlighting legal risk updates.</w:t>
      </w:r>
    </w:p>
    <w:p w14:paraId="2EF1A73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Guidelines on legal considerations incorporated into development and procurement workflows.</w:t>
      </w:r>
    </w:p>
    <w:p w14:paraId="07A9CFF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surveys assessing awareness levels.</w:t>
      </w:r>
    </w:p>
    <w:p w14:paraId="189BF36D"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31D65505"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0688720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3B8BBF9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240BB42B" w14:textId="77777777" w:rsidTr="005C00A5">
        <w:tc>
          <w:tcPr>
            <w:tcW w:w="1170" w:type="dxa"/>
          </w:tcPr>
          <w:p w14:paraId="7B41515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13DAD99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4DD94A7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5D948B79" w14:textId="77777777" w:rsidTr="005C00A5">
        <w:tc>
          <w:tcPr>
            <w:tcW w:w="1170" w:type="dxa"/>
          </w:tcPr>
          <w:p w14:paraId="700B9AC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MP-4.1.2</w:t>
            </w:r>
          </w:p>
        </w:tc>
        <w:tc>
          <w:tcPr>
            <w:tcW w:w="2160" w:type="dxa"/>
          </w:tcPr>
          <w:p w14:paraId="083DB73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Third-Party Resource Documentation</w:t>
            </w:r>
          </w:p>
        </w:tc>
        <w:tc>
          <w:tcPr>
            <w:tcW w:w="6740" w:type="dxa"/>
          </w:tcPr>
          <w:p w14:paraId="42AB44D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maintains documentation of third-party AI resources used in its AI systems, including information on provenance, functionality, limitations, and potential risks, regularly updating this documentation as new information becomes available.</w:t>
            </w:r>
          </w:p>
          <w:p w14:paraId="3F7D20AF" w14:textId="77777777" w:rsidR="00963E47" w:rsidRPr="00963E47" w:rsidRDefault="00963E47" w:rsidP="004C3837">
            <w:pPr>
              <w:keepNext/>
              <w:rPr>
                <w:rFonts w:ascii="Aptos" w:hAnsi="Aptos" w:cs="Times New Roman"/>
                <w:b/>
                <w:bCs/>
                <w:color w:val="000000"/>
                <w:sz w:val="20"/>
                <w:szCs w:val="20"/>
              </w:rPr>
            </w:pPr>
          </w:p>
          <w:p w14:paraId="3E5BA9F9" w14:textId="77777777" w:rsidR="00963E47" w:rsidRPr="00963E47" w:rsidRDefault="00963E47" w:rsidP="004C3837">
            <w:pPr>
              <w:keepNext/>
              <w:rPr>
                <w:rFonts w:ascii="Aptos" w:hAnsi="Aptos" w:cs="Times New Roman"/>
                <w:b/>
                <w:bCs/>
                <w:color w:val="000000"/>
                <w:sz w:val="20"/>
                <w:szCs w:val="20"/>
              </w:rPr>
            </w:pPr>
            <w:hyperlink r:id="rId133" w:anchor="map-4-1" w:history="1">
              <w:r w:rsidRPr="00963E47">
                <w:rPr>
                  <w:rFonts w:ascii="Aptos" w:hAnsi="Aptos" w:cs="Times New Roman"/>
                  <w:color w:val="000000"/>
                  <w:sz w:val="20"/>
                  <w:szCs w:val="20"/>
                  <w:u w:val="single"/>
                </w:rPr>
                <w:t>Link to NIST AI RMF Playbook</w:t>
              </w:r>
            </w:hyperlink>
          </w:p>
        </w:tc>
      </w:tr>
    </w:tbl>
    <w:p w14:paraId="26B78EE1"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AF1131F"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3D776DBE"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40853FC4" w14:textId="77777777" w:rsidTr="005C00A5">
        <w:trPr>
          <w:tblHeader/>
        </w:trPr>
        <w:tc>
          <w:tcPr>
            <w:tcW w:w="2160" w:type="dxa"/>
            <w:shd w:val="clear" w:color="auto" w:fill="CCDCDC"/>
            <w:vAlign w:val="center"/>
          </w:tcPr>
          <w:p w14:paraId="29B9F801"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5E6BFA01"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6F62E8AE"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7FFDC77B" w14:textId="77777777" w:rsidTr="005C00A5">
        <w:tc>
          <w:tcPr>
            <w:tcW w:w="2160" w:type="dxa"/>
            <w:shd w:val="clear" w:color="auto" w:fill="CCDCDC"/>
          </w:tcPr>
          <w:p w14:paraId="52EC130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45A3B33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41E0DA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0B633A94" w14:textId="77777777" w:rsidTr="005C00A5">
        <w:tc>
          <w:tcPr>
            <w:tcW w:w="2160" w:type="dxa"/>
            <w:shd w:val="clear" w:color="auto" w:fill="CCDCDC"/>
          </w:tcPr>
          <w:p w14:paraId="45DAAC6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7114A27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FAA82A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minimal stage maintain documentation of third-party AI resources used in their AI systems, including information on provenance, functionality, limitations, and potential risks. However, this documentation may not be fully comprehensive or consistently updated as new information becomes available, as AI systems are not yet critical to their operations.</w:t>
            </w:r>
          </w:p>
        </w:tc>
      </w:tr>
      <w:tr w:rsidR="00963E47" w:rsidRPr="00963E47" w14:paraId="221232A2" w14:textId="77777777" w:rsidTr="005C00A5">
        <w:tc>
          <w:tcPr>
            <w:tcW w:w="2160" w:type="dxa"/>
            <w:shd w:val="clear" w:color="auto" w:fill="CCDCDC"/>
          </w:tcPr>
          <w:p w14:paraId="78CB078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1FED602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08E66F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maintain comprehensive documentation of third-party AI resources used in their AI systems, including detailed information on provenance, functionality, limitations, and potential risks. This documentation is regularly updated as new information becomes available, ensuring accuracy and relevance.</w:t>
            </w:r>
          </w:p>
        </w:tc>
      </w:tr>
      <w:tr w:rsidR="00963E47" w:rsidRPr="00963E47" w14:paraId="2EA494A3" w14:textId="77777777" w:rsidTr="005C00A5">
        <w:tc>
          <w:tcPr>
            <w:tcW w:w="2160" w:type="dxa"/>
            <w:shd w:val="clear" w:color="auto" w:fill="CCDCDC"/>
          </w:tcPr>
          <w:p w14:paraId="2F2D3D3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7591D14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6156A8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maintaining dynamic, real-time documentation of third-party AI resources used in their AI systems, with comprehensive information on provenance, functionality, limitations, and potential risks continuously updated based on data-driven insights and collaboration with third-party providers. This documentation is seamlessly integrated with organizational risk management processes and used to proactively optimize risk mitigation strategies and inform strategic decision-making.</w:t>
            </w:r>
          </w:p>
        </w:tc>
      </w:tr>
    </w:tbl>
    <w:p w14:paraId="7AE6F1BA"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64CA9C68" w14:textId="77777777" w:rsidTr="005C00A5">
        <w:tc>
          <w:tcPr>
            <w:tcW w:w="2250" w:type="dxa"/>
          </w:tcPr>
          <w:p w14:paraId="08D4557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lastRenderedPageBreak/>
              <w:t>AI Principle</w:t>
            </w:r>
          </w:p>
        </w:tc>
        <w:tc>
          <w:tcPr>
            <w:tcW w:w="2520" w:type="dxa"/>
          </w:tcPr>
          <w:p w14:paraId="54DFC1D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271B7E5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09E32091" w14:textId="77777777" w:rsidTr="005C00A5">
        <w:tc>
          <w:tcPr>
            <w:tcW w:w="2250" w:type="dxa"/>
          </w:tcPr>
          <w:p w14:paraId="4BDF229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4A3EC86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Incomplete Third-Party Documentation</w:t>
            </w:r>
          </w:p>
        </w:tc>
        <w:tc>
          <w:tcPr>
            <w:tcW w:w="5300" w:type="dxa"/>
          </w:tcPr>
          <w:p w14:paraId="659B178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Documentation of third-party AI resources is incomplete or not maintained</w:t>
            </w:r>
          </w:p>
        </w:tc>
      </w:tr>
    </w:tbl>
    <w:p w14:paraId="696511D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569998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1F32B92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7F5544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Maintain documentation of third-party AI resources used in the organization's AI systems, including information on provenance, functionality, limitations, and potential risks. Ensure that this documentation is regularly updated as new information becomes available, and that it is easily accessible to all relevant personnel.</w:t>
      </w:r>
    </w:p>
    <w:p w14:paraId="19AFC69F"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763818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clear procedures for documenting third-party AI resources, including templates, workflows, and approval processes. Ensure that the documentation process is consistent and thorough, and that it captures all relevant information needed to effectively manage risks and benefits associated with these resources.</w:t>
      </w:r>
    </w:p>
    <w:p w14:paraId="0F6CE1A0"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F1878D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48E08F0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9DC890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a Centralized Third-Party AI Resource Registry</w:t>
      </w:r>
    </w:p>
    <w:p w14:paraId="4C81272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Create and maintain a formal repository documenting all third-party AI components, sources, and providers, including key details and risk information.</w:t>
      </w:r>
    </w:p>
    <w:p w14:paraId="11C7248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FD165C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An inventory database with fields for provenance, function, limitations, and known risks.</w:t>
      </w:r>
    </w:p>
    <w:p w14:paraId="3F3B2EA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records of resource entries reflecting updates over time.</w:t>
      </w:r>
    </w:p>
    <w:p w14:paraId="5C78C96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Access logs demonstrating ongoing reviews and data integrity checks.</w:t>
      </w:r>
    </w:p>
    <w:p w14:paraId="20D44CD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Guidelines for adding or updating entries.</w:t>
      </w:r>
    </w:p>
    <w:p w14:paraId="0B95943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463412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Provenance, Function, and Limitations</w:t>
      </w:r>
    </w:p>
    <w:p w14:paraId="6EC7E3E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For each third-party resource, document its origin, intended function, data sources, known limitations, and any associated risks or vulnerabilities that could impact the organization’s AI system performance.</w:t>
      </w:r>
    </w:p>
    <w:p w14:paraId="057E706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EABF44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Provenance reports citing source data and development history.</w:t>
      </w:r>
    </w:p>
    <w:p w14:paraId="05C6B96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sheets or white papers describing capabilities and limitations.</w:t>
      </w:r>
    </w:p>
    <w:p w14:paraId="33C3A96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assessments associated with each resource.</w:t>
      </w:r>
    </w:p>
    <w:p w14:paraId="7447312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User manuals or technical documentation.</w:t>
      </w:r>
    </w:p>
    <w:p w14:paraId="6A35A9B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7BCB7C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 Review and Update Processes</w:t>
      </w:r>
    </w:p>
    <w:p w14:paraId="0DE264F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Schedule periodic reviews of the resource documentation to incorporate new information, such as updates on provenance, changes in function, or emerging risks, ensuring the documentation remains current and comprehensive.</w:t>
      </w:r>
    </w:p>
    <w:p w14:paraId="4149441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2C6A5D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with documented updates.</w:t>
      </w:r>
    </w:p>
    <w:p w14:paraId="09D5D1E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records reviewing and revising resource documentation.</w:t>
      </w:r>
    </w:p>
    <w:p w14:paraId="6AE22A6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reflecting updates with rationales.</w:t>
      </w:r>
    </w:p>
    <w:p w14:paraId="0180FCE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New assessment reports following resource modifications or new findings.</w:t>
      </w:r>
    </w:p>
    <w:p w14:paraId="4C72AA7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601954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Risk Management Integration and Alerts</w:t>
      </w:r>
    </w:p>
    <w:p w14:paraId="65C9B7F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Link resource documentation to risk management systems and enable alerts for significant updates or identified vulnerabilities, allowing for timely responses to changes that may affect the AI system.</w:t>
      </w:r>
    </w:p>
    <w:p w14:paraId="06A438E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527E78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registers referencing specific third-party resources.</w:t>
      </w:r>
    </w:p>
    <w:p w14:paraId="46E94E2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Automated alerts triggered by documentation updates or new risk findings.</w:t>
      </w:r>
    </w:p>
    <w:p w14:paraId="7F68058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logs related to third-party resource vulnerabilities.</w:t>
      </w:r>
    </w:p>
    <w:p w14:paraId="54A92AA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Action plans addressing newly identified risks.</w:t>
      </w:r>
    </w:p>
    <w:p w14:paraId="78D6AA2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E497CD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Stakeholder Communication and Transparency</w:t>
      </w:r>
    </w:p>
    <w:p w14:paraId="44464D0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Ensure relevant stakeholders are informed of updates to third-party resource documentation, especially regarding risks, provenance changes, or limitations impacting system performance or compliance, promoting awareness and proactive management.</w:t>
      </w:r>
    </w:p>
    <w:p w14:paraId="5806872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D7B82B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Communication records and release notes.</w:t>
      </w:r>
    </w:p>
    <w:p w14:paraId="56526C0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update reports or dashboards.</w:t>
      </w:r>
    </w:p>
    <w:p w14:paraId="33069E8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or briefing records explaining resource updates.</w:t>
      </w:r>
    </w:p>
    <w:p w14:paraId="1FFBBEE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or confirmation from internal teams on document accuracy.</w:t>
      </w:r>
    </w:p>
    <w:p w14:paraId="17D6E641"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2A4C12A6"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4374254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59C6C66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639C89CE" w14:textId="77777777" w:rsidTr="005C00A5">
        <w:tc>
          <w:tcPr>
            <w:tcW w:w="1170" w:type="dxa"/>
          </w:tcPr>
          <w:p w14:paraId="39B5F3F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145D64C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5DF037E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357FA6E0" w14:textId="77777777" w:rsidTr="005C00A5">
        <w:tc>
          <w:tcPr>
            <w:tcW w:w="1170" w:type="dxa"/>
          </w:tcPr>
          <w:p w14:paraId="075F803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MP-4.1.3</w:t>
            </w:r>
          </w:p>
        </w:tc>
        <w:tc>
          <w:tcPr>
            <w:tcW w:w="2160" w:type="dxa"/>
          </w:tcPr>
          <w:p w14:paraId="75C6E31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Legal Risk Communication and Updates</w:t>
            </w:r>
          </w:p>
        </w:tc>
        <w:tc>
          <w:tcPr>
            <w:tcW w:w="6740" w:type="dxa"/>
          </w:tcPr>
          <w:p w14:paraId="6A0402F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communicates identified legal risks associated with the AI system, and relevant changes in laws, regulations, and industry standards, to relevant stakeholders (e.g., developers, users, decision-makers), facilitating informed decision-making and effective risk mitigation.</w:t>
            </w:r>
          </w:p>
          <w:p w14:paraId="36F37EF3" w14:textId="77777777" w:rsidR="00963E47" w:rsidRPr="00963E47" w:rsidRDefault="00963E47" w:rsidP="004C3837">
            <w:pPr>
              <w:keepNext/>
              <w:rPr>
                <w:rFonts w:ascii="Aptos" w:hAnsi="Aptos" w:cs="Times New Roman"/>
                <w:b/>
                <w:bCs/>
                <w:color w:val="000000"/>
                <w:sz w:val="20"/>
                <w:szCs w:val="20"/>
              </w:rPr>
            </w:pPr>
          </w:p>
          <w:p w14:paraId="3659FE5B" w14:textId="77777777" w:rsidR="00963E47" w:rsidRPr="00963E47" w:rsidRDefault="00963E47" w:rsidP="004C3837">
            <w:pPr>
              <w:keepNext/>
              <w:rPr>
                <w:rFonts w:ascii="Aptos" w:hAnsi="Aptos" w:cs="Times New Roman"/>
                <w:b/>
                <w:bCs/>
                <w:color w:val="000000"/>
                <w:sz w:val="20"/>
                <w:szCs w:val="20"/>
              </w:rPr>
            </w:pPr>
            <w:hyperlink r:id="rId134" w:anchor="map-4-1" w:history="1">
              <w:r w:rsidRPr="00963E47">
                <w:rPr>
                  <w:rFonts w:ascii="Aptos" w:hAnsi="Aptos" w:cs="Times New Roman"/>
                  <w:color w:val="000000"/>
                  <w:sz w:val="20"/>
                  <w:szCs w:val="20"/>
                  <w:u w:val="single"/>
                </w:rPr>
                <w:t>Link to NIST AI RMF Playbook</w:t>
              </w:r>
            </w:hyperlink>
          </w:p>
        </w:tc>
      </w:tr>
    </w:tbl>
    <w:p w14:paraId="7D31B397"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6C3AE59"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4C048E55"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5496AA9A" w14:textId="77777777" w:rsidTr="005C00A5">
        <w:trPr>
          <w:tblHeader/>
        </w:trPr>
        <w:tc>
          <w:tcPr>
            <w:tcW w:w="2160" w:type="dxa"/>
            <w:shd w:val="clear" w:color="auto" w:fill="CCDCDC"/>
            <w:vAlign w:val="center"/>
          </w:tcPr>
          <w:p w14:paraId="65D53269"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3EFBD6B0"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5E67F108"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19E0F6A8" w14:textId="77777777" w:rsidTr="005C00A5">
        <w:tc>
          <w:tcPr>
            <w:tcW w:w="2160" w:type="dxa"/>
            <w:shd w:val="clear" w:color="auto" w:fill="CCDCDC"/>
          </w:tcPr>
          <w:p w14:paraId="331BC8F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4BF9583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7BAF1F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3087960F" w14:textId="77777777" w:rsidTr="005C00A5">
        <w:tc>
          <w:tcPr>
            <w:tcW w:w="2160" w:type="dxa"/>
            <w:shd w:val="clear" w:color="auto" w:fill="CCDCDC"/>
          </w:tcPr>
          <w:p w14:paraId="66635CC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0CEB1EA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303B6C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have begun establishing policies and procedures for managing AI system legal risks, including obtaining necessary licenses, permissions, and consents for third-party data or software usage, but these policies and procedures may not yet be comprehensive or consistently implemented.</w:t>
            </w:r>
          </w:p>
        </w:tc>
      </w:tr>
      <w:tr w:rsidR="00963E47" w:rsidRPr="00963E47" w14:paraId="681B5100" w14:textId="77777777" w:rsidTr="005C00A5">
        <w:tc>
          <w:tcPr>
            <w:tcW w:w="2160" w:type="dxa"/>
            <w:shd w:val="clear" w:color="auto" w:fill="CCDCDC"/>
          </w:tcPr>
          <w:p w14:paraId="5C9485E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48E1E18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C97015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evolving stage have established clear, comprehensive policies and procedures for managing AI system legal risks, including obtaining necessary licenses, permissions, and consents for third-party data or software usage. These policies and procedures are consistently implemented.</w:t>
            </w:r>
          </w:p>
        </w:tc>
      </w:tr>
      <w:tr w:rsidR="00963E47" w:rsidRPr="00963E47" w14:paraId="45A1760F" w14:textId="77777777" w:rsidTr="005C00A5">
        <w:tc>
          <w:tcPr>
            <w:tcW w:w="2160" w:type="dxa"/>
            <w:shd w:val="clear" w:color="auto" w:fill="CCDCDC"/>
          </w:tcPr>
          <w:p w14:paraId="7AFF6A8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33A5BA3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7E5CAC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ensure comprehensive communication of legal risks and regulatory changes to all relevant stakeholders. This communication is a dependency for informed decision-making and effective risk mitigation across the organization, supporting the responsible deployment of AI systems in all interconnected areas.</w:t>
            </w:r>
          </w:p>
        </w:tc>
      </w:tr>
    </w:tbl>
    <w:p w14:paraId="5E3AECCC"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26413074" w14:textId="77777777" w:rsidTr="005C00A5">
        <w:tc>
          <w:tcPr>
            <w:tcW w:w="2250" w:type="dxa"/>
          </w:tcPr>
          <w:p w14:paraId="159B35A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lastRenderedPageBreak/>
              <w:t>AI Principle</w:t>
            </w:r>
          </w:p>
        </w:tc>
        <w:tc>
          <w:tcPr>
            <w:tcW w:w="2520" w:type="dxa"/>
          </w:tcPr>
          <w:p w14:paraId="7E666F4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3AC803A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0DB30E45" w14:textId="77777777" w:rsidTr="005C00A5">
        <w:tc>
          <w:tcPr>
            <w:tcW w:w="2250" w:type="dxa"/>
          </w:tcPr>
          <w:p w14:paraId="2DECA59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6A9A38D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Uncommunicated Legal Changes</w:t>
            </w:r>
          </w:p>
        </w:tc>
        <w:tc>
          <w:tcPr>
            <w:tcW w:w="5300" w:type="dxa"/>
          </w:tcPr>
          <w:p w14:paraId="3983BB3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Legal risks and relevant changes are not communicated to stakeholders</w:t>
            </w:r>
          </w:p>
        </w:tc>
      </w:tr>
    </w:tbl>
    <w:p w14:paraId="2937314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569495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732EF6A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BB8538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Communicate identified legal risks associated with the AI system, along with relevant changes in laws, regulations, and industry standards, to stakeholders such as developers, end-users, and decision-makers. This communication facilitates informed decision-making and effective risk mitigation. </w:t>
      </w:r>
    </w:p>
    <w:p w14:paraId="1969688B"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7BDC51C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clear communication channels and protocols for sharing risk information, such as regular reports, briefings, or alerts. Tailor the content and format of the communications to the needs and preferences of each stakeholder group, using plain language and visual aids where appropriate to enhance understanding.</w:t>
      </w:r>
    </w:p>
    <w:p w14:paraId="4E39D206"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1B3B19E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Provide opportunities for stakeholders to ask questions, provide feedback, and raise concerns about legal risks. Establish processes for addressing and incorporating this input into ongoing risk management activities. Develop training and awareness programs to ensure that stakeholders have a fundamental understanding of the legal risks associated with the AI system and their roles in mitigating these risks. Regularly review and update the communication plan to maintain its effectiveness and ensure alignment with changing stakeholder needs and expectations.</w:t>
      </w:r>
    </w:p>
    <w:p w14:paraId="455D9812"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29FCC9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3779C0A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4E1DA0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Establishment of a Legal Risk Communication Framework</w:t>
      </w:r>
    </w:p>
    <w:p w14:paraId="77754FC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and formalize processes and channels for regularly communicating legal risks and regulatory updates impacting the AI system.</w:t>
      </w:r>
    </w:p>
    <w:p w14:paraId="6A83337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65ABE9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Written communication protocols and templates for legal risk notifications.</w:t>
      </w:r>
    </w:p>
    <w:p w14:paraId="224E769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Distribution lists for stakeholders including developers, users, and management.</w:t>
      </w:r>
    </w:p>
    <w:p w14:paraId="3727EFC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Scheduled updates via email newsletters, dashboards, or internal portals.</w:t>
      </w:r>
    </w:p>
    <w:p w14:paraId="12272B6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 of communications sent and stakeholder acknowledgments.</w:t>
      </w:r>
    </w:p>
    <w:p w14:paraId="03B883B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8A16B3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Timely Notification of Legal Risks and Regulatory Changes</w:t>
      </w:r>
    </w:p>
    <w:p w14:paraId="439A896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mechanisms to detect and promptly notify relevant stakeholders about new or changing legal risks, compliance obligations, and industry standards, ensuring timely awareness and responsiveness.</w:t>
      </w:r>
    </w:p>
    <w:p w14:paraId="1A96E4C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9D3796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reports or alerts for legal and regulation updates.</w:t>
      </w:r>
    </w:p>
    <w:p w14:paraId="30E4B5A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logs triggered by legal or compliance issues, with notification records.</w:t>
      </w:r>
    </w:p>
    <w:p w14:paraId="511A076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Regulatory change tracking dashboards.</w:t>
      </w:r>
    </w:p>
    <w:p w14:paraId="6E9B1A0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notification dispatches and stakeholder feedback.</w:t>
      </w:r>
    </w:p>
    <w:p w14:paraId="4F41E13F"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D6B06F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Clear and Accessible Communication Content</w:t>
      </w:r>
    </w:p>
    <w:p w14:paraId="7DF77D8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Ensure that communication content clearly explains the nature of legal risks, the implications, and recommended risk mitigation steps, using accessible language for all stakeholder levels, to foster understanding and effective action.</w:t>
      </w:r>
    </w:p>
    <w:p w14:paraId="1A97CD0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CA0904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Summary reports, FAQs, or briefings explaining legal risks and updates.</w:t>
      </w:r>
    </w:p>
    <w:p w14:paraId="46CBE9B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modules on legal compliance and risk mitigation.</w:t>
      </w:r>
    </w:p>
    <w:p w14:paraId="17D2810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Internal newsletters highlighting key legal developments.</w:t>
      </w:r>
    </w:p>
    <w:p w14:paraId="01ACB81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forms evaluating clarity and usefulness.</w:t>
      </w:r>
    </w:p>
    <w:p w14:paraId="5A1E4BC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74ED95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with Decision-Making and Risk Management Processes</w:t>
      </w:r>
    </w:p>
    <w:p w14:paraId="06F464E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Incorporate legal risk information into decision-making processes, project planning, and risk mitigation activities, ensuring that communication supports proactive action and aligns with organizational goals.</w:t>
      </w:r>
    </w:p>
    <w:p w14:paraId="68CFAF4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284544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where legal risks are discussed and decisions made.</w:t>
      </w:r>
    </w:p>
    <w:p w14:paraId="29A293B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risk assessments including recent legal updates.</w:t>
      </w:r>
    </w:p>
    <w:p w14:paraId="5D0AB95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Policy documents referencing legal risk considerations.</w:t>
      </w:r>
    </w:p>
    <w:p w14:paraId="7F751CD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plans implementing mitigation strategies.</w:t>
      </w:r>
    </w:p>
    <w:p w14:paraId="4AE1377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D19500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Ongoing Review and Refinement of Communication Practices</w:t>
      </w:r>
    </w:p>
    <w:p w14:paraId="0F1F21A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review communication effectiveness and update content, channels, and processes to address evolving legal landscapes and stakeholder information needs, promoting continual improvement in risk communication strategies.</w:t>
      </w:r>
    </w:p>
    <w:p w14:paraId="385B2E6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D110A3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surveys from stakeholders on communication clarity and timeliness.</w:t>
      </w:r>
    </w:p>
    <w:p w14:paraId="31C22BD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 logs with documented improvements.</w:t>
      </w:r>
    </w:p>
    <w:p w14:paraId="01197A2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reviewing and updating communication templates and channels.</w:t>
      </w:r>
    </w:p>
    <w:p w14:paraId="496F0A5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captured from incident or audit findings.</w:t>
      </w:r>
    </w:p>
    <w:p w14:paraId="43ECC150"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43" w:name="_Toc214874788"/>
      <w:r w:rsidRPr="00963E47">
        <w:rPr>
          <w:rFonts w:ascii="Aptos" w:eastAsia="Aptos" w:hAnsi="Aptos" w:cs="Times New Roman"/>
          <w:b/>
          <w:bCs/>
          <w:noProof/>
          <w:color w:val="35256B"/>
          <w:kern w:val="2"/>
          <w:sz w:val="24"/>
          <w14:ligatures w14:val="standardContextual"/>
        </w:rPr>
        <w:t>MAP / Understanding AI System Components / Establishing Risk Controls for AI System Components</w:t>
      </w:r>
      <w:bookmarkEnd w:id="43"/>
      <w:r w:rsidRPr="00963E47">
        <w:rPr>
          <w:rFonts w:ascii="Aptos" w:eastAsia="Aptos" w:hAnsi="Aptos" w:cs="Times New Roman"/>
          <w:b/>
          <w:bCs/>
          <w:noProof/>
          <w:color w:val="35256B"/>
          <w:kern w:val="2"/>
          <w:sz w:val="24"/>
          <w14:ligatures w14:val="standardContextual"/>
        </w:rPr>
        <w:t xml:space="preserve"> </w:t>
      </w:r>
    </w:p>
    <w:p w14:paraId="6CC0FC37"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4298C83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7A46822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407C9244" w14:textId="77777777" w:rsidTr="005C00A5">
        <w:tc>
          <w:tcPr>
            <w:tcW w:w="1170" w:type="dxa"/>
          </w:tcPr>
          <w:p w14:paraId="7DFD1D7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72612B2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14C0B8C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37739D21" w14:textId="77777777" w:rsidTr="005C00A5">
        <w:tc>
          <w:tcPr>
            <w:tcW w:w="1170" w:type="dxa"/>
          </w:tcPr>
          <w:p w14:paraId="0603FF7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MP-4.2.1</w:t>
            </w:r>
          </w:p>
        </w:tc>
        <w:tc>
          <w:tcPr>
            <w:tcW w:w="2160" w:type="dxa"/>
          </w:tcPr>
          <w:p w14:paraId="626D2E8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Internal Controls for AI Components</w:t>
            </w:r>
          </w:p>
        </w:tc>
        <w:tc>
          <w:tcPr>
            <w:tcW w:w="6740" w:type="dxa"/>
          </w:tcPr>
          <w:p w14:paraId="119E11B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identifies and documents internal controls for AI system components, including third-party technologies, to mitigate potential risks and drive system integrity. This includes mapping identified risks to the corresponding internal controls.</w:t>
            </w:r>
          </w:p>
          <w:p w14:paraId="781B3156" w14:textId="77777777" w:rsidR="00963E47" w:rsidRPr="00963E47" w:rsidRDefault="00963E47" w:rsidP="004C3837">
            <w:pPr>
              <w:keepNext/>
              <w:rPr>
                <w:rFonts w:ascii="Aptos" w:hAnsi="Aptos" w:cs="Times New Roman"/>
                <w:b/>
                <w:bCs/>
                <w:color w:val="000000"/>
                <w:sz w:val="20"/>
                <w:szCs w:val="20"/>
              </w:rPr>
            </w:pPr>
          </w:p>
          <w:p w14:paraId="46409A7E" w14:textId="77777777" w:rsidR="00963E47" w:rsidRPr="00963E47" w:rsidRDefault="00963E47" w:rsidP="004C3837">
            <w:pPr>
              <w:keepNext/>
              <w:rPr>
                <w:rFonts w:ascii="Aptos" w:hAnsi="Aptos" w:cs="Times New Roman"/>
                <w:b/>
                <w:bCs/>
                <w:color w:val="000000"/>
                <w:sz w:val="20"/>
                <w:szCs w:val="20"/>
              </w:rPr>
            </w:pPr>
            <w:hyperlink r:id="rId135" w:anchor="map-4-2" w:history="1">
              <w:r w:rsidRPr="00963E47">
                <w:rPr>
                  <w:rFonts w:ascii="Aptos" w:hAnsi="Aptos" w:cs="Times New Roman"/>
                  <w:color w:val="000000"/>
                  <w:sz w:val="20"/>
                  <w:szCs w:val="20"/>
                  <w:u w:val="single"/>
                </w:rPr>
                <w:t>Link to NIST AI RMF Playbook</w:t>
              </w:r>
            </w:hyperlink>
          </w:p>
        </w:tc>
      </w:tr>
    </w:tbl>
    <w:p w14:paraId="695FCE28"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B74C633"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69E45B0E"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0B0E02F2" w14:textId="77777777" w:rsidTr="005C00A5">
        <w:trPr>
          <w:tblHeader/>
        </w:trPr>
        <w:tc>
          <w:tcPr>
            <w:tcW w:w="2160" w:type="dxa"/>
            <w:shd w:val="clear" w:color="auto" w:fill="CCDCDC"/>
            <w:vAlign w:val="center"/>
          </w:tcPr>
          <w:p w14:paraId="788621B1"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4CC77BEF"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1BEA6AC0"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65C9660E" w14:textId="77777777" w:rsidTr="005C00A5">
        <w:tc>
          <w:tcPr>
            <w:tcW w:w="2160" w:type="dxa"/>
            <w:shd w:val="clear" w:color="auto" w:fill="CCDCDC"/>
          </w:tcPr>
          <w:p w14:paraId="3393C46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46E33A2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63AB89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8592913" w14:textId="77777777" w:rsidTr="005C00A5">
        <w:tc>
          <w:tcPr>
            <w:tcW w:w="2160" w:type="dxa"/>
            <w:shd w:val="clear" w:color="auto" w:fill="CCDCDC"/>
          </w:tcPr>
          <w:p w14:paraId="7A5D0D0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5ECB00D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CEB423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have begun identifying and documenting internal controls for AI system components, including third-party technologies, and mapping identified risks to corresponding controls, but the process may not yet be comprehensive or consistently applied.</w:t>
            </w:r>
          </w:p>
        </w:tc>
      </w:tr>
      <w:tr w:rsidR="00963E47" w:rsidRPr="00963E47" w14:paraId="0245D165" w14:textId="77777777" w:rsidTr="005C00A5">
        <w:tc>
          <w:tcPr>
            <w:tcW w:w="2160" w:type="dxa"/>
            <w:shd w:val="clear" w:color="auto" w:fill="CCDCDC"/>
          </w:tcPr>
          <w:p w14:paraId="6F89B4F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10F0334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9EB486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evolving stage have established clear processes for thoroughly identifying and documenting internal controls for AI system components, including third-party technologies, and comprehensively mapping identified risks to corresponding controls. These processes are consistently applied.</w:t>
            </w:r>
          </w:p>
        </w:tc>
      </w:tr>
      <w:tr w:rsidR="00963E47" w:rsidRPr="00963E47" w14:paraId="20612A4D" w14:textId="77777777" w:rsidTr="005C00A5">
        <w:tc>
          <w:tcPr>
            <w:tcW w:w="2160" w:type="dxa"/>
            <w:shd w:val="clear" w:color="auto" w:fill="CCDCDC"/>
          </w:tcPr>
          <w:p w14:paraId="4B7EBCB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581AE56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AE00D0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embedded stage, organizations have a comprehensive and integrated approach to identifying and documenting internal controls for all AI system components, including third-party technologies. This involves mapping risks to controls in a way that supports the integrity </w:t>
            </w:r>
            <w:r w:rsidRPr="00963E47">
              <w:rPr>
                <w:rFonts w:ascii="Aptos" w:hAnsi="Aptos" w:cs="Times New Roman"/>
                <w:noProof/>
                <w:color w:val="auto"/>
                <w:sz w:val="20"/>
                <w:szCs w:val="20"/>
              </w:rPr>
              <w:lastRenderedPageBreak/>
              <w:t>of AI systems driving critical business functions and autonomous decision-making.</w:t>
            </w:r>
          </w:p>
        </w:tc>
      </w:tr>
    </w:tbl>
    <w:p w14:paraId="4AA09481"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57100745" w14:textId="77777777" w:rsidTr="005C00A5">
        <w:tc>
          <w:tcPr>
            <w:tcW w:w="2250" w:type="dxa"/>
          </w:tcPr>
          <w:p w14:paraId="0D6DEC1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4D07C07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3D6E99D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427730F0" w14:textId="77777777" w:rsidTr="005C00A5">
        <w:tc>
          <w:tcPr>
            <w:tcW w:w="2250" w:type="dxa"/>
          </w:tcPr>
          <w:p w14:paraId="1CF3D72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5192D5E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Unidentified Internal Controls</w:t>
            </w:r>
          </w:p>
        </w:tc>
        <w:tc>
          <w:tcPr>
            <w:tcW w:w="5300" w:type="dxa"/>
          </w:tcPr>
          <w:p w14:paraId="0923EE3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Internal controls for AI system components are not identified or documented</w:t>
            </w:r>
          </w:p>
        </w:tc>
      </w:tr>
    </w:tbl>
    <w:p w14:paraId="719D496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A166CB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09561A4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73ACF3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To effectively identify and document internal controls for AI system components, including third party technologies, conduct a risk assessment of the AI system. This process should involve mapping components of the system, including data sources, algorithms, models, and third party technologies or services that are integrated into the system. </w:t>
      </w:r>
    </w:p>
    <w:p w14:paraId="362B4386"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4CA326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For each component, identify specific risks that could impact the integrity, security, or performance of the AI system, such as data breaches, model bias, or system failures. Once the risks have been identified, develop internal controls designed to mitigate or manage each risk. These controls may include technical safeguards, such as encryption or access controls, as well as procedural controls, such as regular testing and monitoring.</w:t>
      </w:r>
    </w:p>
    <w:p w14:paraId="4BFCD1F7"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D0FD92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Document each control in detail, including its purpose, implementation details, and relevant metrics or KPIs that will be used to measure its effectiveness. Ensure that this documentation is regularly updated as the AI system evolves and new risks or controls are identified.</w:t>
      </w:r>
    </w:p>
    <w:p w14:paraId="240B9B7F"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C590C2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2F3557F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C7D7AE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an Internal Control Framework for AI Components</w:t>
      </w:r>
    </w:p>
    <w:p w14:paraId="64E18CC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Create a structured framework defining key internal controls related to AI system components, including data management, model validation, security, and compliance.</w:t>
      </w:r>
    </w:p>
    <w:p w14:paraId="3BE3388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6FBE19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Control matrices specifying controls for each component and process.</w:t>
      </w:r>
    </w:p>
    <w:p w14:paraId="580A3C3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Policy documents outlining control standards and implementation requirements.</w:t>
      </w:r>
    </w:p>
    <w:p w14:paraId="1BB3F19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Checklists for assessing control effectiveness during development and deployment.</w:t>
      </w:r>
    </w:p>
    <w:p w14:paraId="6147831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control framework documents.</w:t>
      </w:r>
    </w:p>
    <w:p w14:paraId="0F7C2E3F"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A06DF2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Risk Identification and Control Mapping</w:t>
      </w:r>
    </w:p>
    <w:p w14:paraId="64ABEB2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Identify potential risks associated with AI components, particularly third-party technologies, and map these risks to appropriate internal controls to mitigate the identified vulnerabilities, ensuring a comprehensive understanding of risk management.</w:t>
      </w:r>
    </w:p>
    <w:p w14:paraId="326A21E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CA3346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registers with entries linked to specific controls.</w:t>
      </w:r>
    </w:p>
    <w:p w14:paraId="0C1DD73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Impact assessments identifying vulnerabilities and corresponding controls.</w:t>
      </w:r>
    </w:p>
    <w:p w14:paraId="6FD7231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Control mapping matrices demonstrating linkages between risks and controls.</w:t>
      </w:r>
    </w:p>
    <w:p w14:paraId="2B6AF53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Documented risk control assessment reports.</w:t>
      </w:r>
    </w:p>
    <w:p w14:paraId="414E053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929E3D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Implementation and Documentation of Controls</w:t>
      </w:r>
    </w:p>
    <w:p w14:paraId="0716B46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controls such as access restrictions, validation procedures, and audit mechanisms, ensuring they are fully documented and integrated into the system lifecycle to protect the integrity and functionality of the AI system.</w:t>
      </w:r>
    </w:p>
    <w:p w14:paraId="0D13B29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7B6A57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Control implementation manuals and standard operating procedures (SOPs).</w:t>
      </w:r>
    </w:p>
    <w:p w14:paraId="44F6ADE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Audit logs showing control enforcement activities.</w:t>
      </w:r>
    </w:p>
    <w:p w14:paraId="467B6C4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Validation reports confirming controls’ effectiveness against identified risks.</w:t>
      </w:r>
    </w:p>
    <w:p w14:paraId="07F60AC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management records for control updates.</w:t>
      </w:r>
    </w:p>
    <w:p w14:paraId="0508617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D8FDEA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Monitoring and Testing of Controls</w:t>
      </w:r>
    </w:p>
    <w:p w14:paraId="035DB75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monitor and test controls to verify their ongoing effectiveness, with results documented and linked to risk mitigation objectives, ensuring that controls remain relevant and effective against identified risks.</w:t>
      </w:r>
    </w:p>
    <w:p w14:paraId="3D50269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6E4D3A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Control testing plans, execution logs, and testing results.</w:t>
      </w:r>
    </w:p>
    <w:p w14:paraId="5398B05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Internal audit reports assessing control performance.</w:t>
      </w:r>
    </w:p>
    <w:p w14:paraId="23B1F16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Dashboards tracking control KPIs and breach incidents.</w:t>
      </w:r>
    </w:p>
    <w:p w14:paraId="7C875A5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Corrective action records for control deficiencies.</w:t>
      </w:r>
    </w:p>
    <w:p w14:paraId="6FA22FA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C0ABE0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Review and Improvement of Controls and Risk Mapping</w:t>
      </w:r>
    </w:p>
    <w:p w14:paraId="0328305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Periodically review risk assessments and control mappings to adapt to evolving threats, system changes, or new third-party risk factors, updating documentation accordingly to maintain an accurate and effective risk management framework.</w:t>
      </w:r>
    </w:p>
    <w:p w14:paraId="37D241E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836464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and meeting minutes.</w:t>
      </w:r>
    </w:p>
    <w:p w14:paraId="7532239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risk and control matrices reflecting recent assessments.</w:t>
      </w:r>
    </w:p>
    <w:p w14:paraId="1F8B90D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reports from incidents or audits.</w:t>
      </w:r>
    </w:p>
    <w:p w14:paraId="483FC10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Process change logs demonstrating control enhancements.</w:t>
      </w:r>
    </w:p>
    <w:p w14:paraId="50DBE861"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1F6EA0BD"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721941C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4DFD8EA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2422B817" w14:textId="77777777" w:rsidTr="005C00A5">
        <w:tc>
          <w:tcPr>
            <w:tcW w:w="1170" w:type="dxa"/>
          </w:tcPr>
          <w:p w14:paraId="1356F71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0A51CCF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7F315F5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3E201058" w14:textId="77777777" w:rsidTr="005C00A5">
        <w:tc>
          <w:tcPr>
            <w:tcW w:w="1170" w:type="dxa"/>
          </w:tcPr>
          <w:p w14:paraId="62FD020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MP-4.2.2</w:t>
            </w:r>
          </w:p>
        </w:tc>
        <w:tc>
          <w:tcPr>
            <w:tcW w:w="2160" w:type="dxa"/>
          </w:tcPr>
          <w:p w14:paraId="1F439ED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Controls Effectiveness and Incident Response</w:t>
            </w:r>
          </w:p>
        </w:tc>
        <w:tc>
          <w:tcPr>
            <w:tcW w:w="6740" w:type="dxa"/>
          </w:tcPr>
          <w:p w14:paraId="003043F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regularly documents and reviews the effectiveness of internal risk controls and incident response procedures for both AI system components and third-party technologies, documenting results and implementing improvements to drive secure and reliable operation.</w:t>
            </w:r>
          </w:p>
          <w:p w14:paraId="56AD241D" w14:textId="77777777" w:rsidR="00963E47" w:rsidRPr="00963E47" w:rsidRDefault="00963E47" w:rsidP="004C3837">
            <w:pPr>
              <w:keepNext/>
              <w:rPr>
                <w:rFonts w:ascii="Aptos" w:hAnsi="Aptos" w:cs="Times New Roman"/>
                <w:b/>
                <w:bCs/>
                <w:color w:val="000000"/>
                <w:sz w:val="20"/>
                <w:szCs w:val="20"/>
              </w:rPr>
            </w:pPr>
          </w:p>
          <w:p w14:paraId="4B4F5942" w14:textId="77777777" w:rsidR="00963E47" w:rsidRPr="00963E47" w:rsidRDefault="00963E47" w:rsidP="004C3837">
            <w:pPr>
              <w:keepNext/>
              <w:rPr>
                <w:rFonts w:ascii="Aptos" w:hAnsi="Aptos" w:cs="Times New Roman"/>
                <w:b/>
                <w:bCs/>
                <w:color w:val="000000"/>
                <w:sz w:val="20"/>
                <w:szCs w:val="20"/>
              </w:rPr>
            </w:pPr>
            <w:hyperlink r:id="rId136" w:anchor="map-4-2" w:history="1">
              <w:r w:rsidRPr="00963E47">
                <w:rPr>
                  <w:rFonts w:ascii="Aptos" w:hAnsi="Aptos" w:cs="Times New Roman"/>
                  <w:color w:val="000000"/>
                  <w:sz w:val="20"/>
                  <w:szCs w:val="20"/>
                  <w:u w:val="single"/>
                </w:rPr>
                <w:t>Link to NIST AI RMF Playbook</w:t>
              </w:r>
            </w:hyperlink>
          </w:p>
        </w:tc>
      </w:tr>
    </w:tbl>
    <w:p w14:paraId="6F1FD1DD"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2C2F995"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7CED8AFD"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6967C104" w14:textId="77777777" w:rsidTr="005C00A5">
        <w:trPr>
          <w:tblHeader/>
        </w:trPr>
        <w:tc>
          <w:tcPr>
            <w:tcW w:w="2160" w:type="dxa"/>
            <w:shd w:val="clear" w:color="auto" w:fill="CCDCDC"/>
            <w:vAlign w:val="center"/>
          </w:tcPr>
          <w:p w14:paraId="3FF9FF26"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74BE3CBA"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412CA94D"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40837223" w14:textId="77777777" w:rsidTr="005C00A5">
        <w:tc>
          <w:tcPr>
            <w:tcW w:w="2160" w:type="dxa"/>
            <w:shd w:val="clear" w:color="auto" w:fill="CCDCDC"/>
          </w:tcPr>
          <w:p w14:paraId="4C64B2A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4E27C38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686129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64523443" w14:textId="77777777" w:rsidTr="005C00A5">
        <w:tc>
          <w:tcPr>
            <w:tcW w:w="2160" w:type="dxa"/>
            <w:shd w:val="clear" w:color="auto" w:fill="CCDCDC"/>
          </w:tcPr>
          <w:p w14:paraId="0DBE6F4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5DC0947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00D967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6F1E1BD0" w14:textId="77777777" w:rsidTr="005C00A5">
        <w:tc>
          <w:tcPr>
            <w:tcW w:w="2160" w:type="dxa"/>
            <w:shd w:val="clear" w:color="auto" w:fill="CCDCDC"/>
          </w:tcPr>
          <w:p w14:paraId="40ABD0C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1A75EF8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972406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AI begins interacting with external users and handling sensitive data, so regularly documenting and reviewing internal risk controls and incident response for both in-house and third</w:t>
            </w:r>
            <w:r w:rsidRPr="00963E47">
              <w:rPr>
                <w:rFonts w:ascii="Cambria Math" w:hAnsi="Cambria Math" w:cs="Cambria Math"/>
                <w:noProof/>
                <w:color w:val="auto"/>
                <w:sz w:val="20"/>
                <w:szCs w:val="20"/>
              </w:rPr>
              <w:t>‑</w:t>
            </w:r>
            <w:r w:rsidRPr="00963E47">
              <w:rPr>
                <w:rFonts w:ascii="Aptos" w:hAnsi="Aptos" w:cs="Times New Roman"/>
                <w:noProof/>
                <w:color w:val="auto"/>
                <w:sz w:val="20"/>
                <w:szCs w:val="20"/>
              </w:rPr>
              <w:t>party components is critical to identify gaps and ensure coordinated mitigation before harms affect customers or operations. Formal reviews and improvement cycles build assurance that controls keep pace with evolving threats and third</w:t>
            </w:r>
            <w:r w:rsidRPr="00963E47">
              <w:rPr>
                <w:rFonts w:ascii="Cambria Math" w:hAnsi="Cambria Math" w:cs="Cambria Math"/>
                <w:noProof/>
                <w:color w:val="auto"/>
                <w:sz w:val="20"/>
                <w:szCs w:val="20"/>
              </w:rPr>
              <w:t>‑</w:t>
            </w:r>
            <w:r w:rsidRPr="00963E47">
              <w:rPr>
                <w:rFonts w:ascii="Aptos" w:hAnsi="Aptos" w:cs="Times New Roman"/>
                <w:noProof/>
                <w:color w:val="auto"/>
                <w:sz w:val="20"/>
                <w:szCs w:val="20"/>
              </w:rPr>
              <w:t>party behaviors as deployments broaden.</w:t>
            </w:r>
          </w:p>
        </w:tc>
      </w:tr>
      <w:tr w:rsidR="00963E47" w:rsidRPr="00963E47" w14:paraId="34682CFD" w14:textId="77777777" w:rsidTr="005C00A5">
        <w:tc>
          <w:tcPr>
            <w:tcW w:w="2160" w:type="dxa"/>
            <w:shd w:val="clear" w:color="auto" w:fill="CCDCDC"/>
          </w:tcPr>
          <w:p w14:paraId="711DFDA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269A1DF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17D065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embedded stage, organizations' AI is embedded in critical functions and internal model development, so comprehensive, documented evaluation of controls and incident procedures across all </w:t>
            </w:r>
            <w:r w:rsidRPr="00963E47">
              <w:rPr>
                <w:rFonts w:ascii="Aptos" w:hAnsi="Aptos" w:cs="Times New Roman"/>
                <w:noProof/>
                <w:color w:val="auto"/>
                <w:sz w:val="20"/>
                <w:szCs w:val="20"/>
              </w:rPr>
              <w:lastRenderedPageBreak/>
              <w:t>components — including vendor systems — is mandatory to preserve safety, continuity, and regulatory compliance. Continuous improvement based on review findings ensures enterprise-wide resilience, traceability for audits, and that third</w:t>
            </w:r>
            <w:r w:rsidRPr="00963E47">
              <w:rPr>
                <w:rFonts w:ascii="Cambria Math" w:hAnsi="Cambria Math" w:cs="Cambria Math"/>
                <w:noProof/>
                <w:color w:val="auto"/>
                <w:sz w:val="20"/>
                <w:szCs w:val="20"/>
              </w:rPr>
              <w:t>‑</w:t>
            </w:r>
            <w:r w:rsidRPr="00963E47">
              <w:rPr>
                <w:rFonts w:ascii="Aptos" w:hAnsi="Aptos" w:cs="Times New Roman"/>
                <w:noProof/>
                <w:color w:val="auto"/>
                <w:sz w:val="20"/>
                <w:szCs w:val="20"/>
              </w:rPr>
              <w:t>party integrations meet the organization’s rigorous operational and security standards.</w:t>
            </w:r>
          </w:p>
        </w:tc>
      </w:tr>
    </w:tbl>
    <w:p w14:paraId="1B92BE67"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493D7CDE" w14:textId="77777777" w:rsidTr="005C00A5">
        <w:tc>
          <w:tcPr>
            <w:tcW w:w="2250" w:type="dxa"/>
          </w:tcPr>
          <w:p w14:paraId="679F484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64A3A4B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74F3D4F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33BCD52B" w14:textId="77777777" w:rsidTr="005C00A5">
        <w:tc>
          <w:tcPr>
            <w:tcW w:w="2250" w:type="dxa"/>
          </w:tcPr>
          <w:p w14:paraId="56EC1D9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3B38655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Undocumented Control Effectiveness</w:t>
            </w:r>
          </w:p>
        </w:tc>
        <w:tc>
          <w:tcPr>
            <w:tcW w:w="5300" w:type="dxa"/>
          </w:tcPr>
          <w:p w14:paraId="7D940CD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Effectiveness of internal risk controls is not regularly documented or reviewed</w:t>
            </w:r>
          </w:p>
        </w:tc>
      </w:tr>
    </w:tbl>
    <w:p w14:paraId="6E4A964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E7422D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0868A40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169CDA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Regularly document and review the effectiveness of internal risk controls and incident response procedures for both AI system components and third-party technologies. Develop a set of metrics and KPIs that can be used to measure the performance and effectiveness of each control. Metrics may include the number of incidents detected and resolved, the time required to respond to and mitigate incidents, and the overall impact of incidents on the AI system and the organization. </w:t>
      </w:r>
    </w:p>
    <w:p w14:paraId="43026398"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4DB38A5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Review testing and monitoring of the controls to ensure they function as intended and that any issues or weaknesses are identified and addressed promptly. Engage with internal and external stakeholders, such as end-users, auditors, and regulators, to gather feedback on the effectiveness of the controls and to identify areas for improvement.</w:t>
      </w:r>
    </w:p>
    <w:p w14:paraId="7BCF40C9"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8F551A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Document the results of each assessment, including any identified gaps or weaknesses, and develop a plan to implement improvements or updates to the controls. Ensure that the assessment process is transparent and that relevant stakeholders are involved in the review and decision-making process. Regularly review and update the assessment plan to maintain its effectiveness and ensure alignment with the evolving risks and requirements of the AI system and the organization.</w:t>
      </w:r>
    </w:p>
    <w:p w14:paraId="564A96F0"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68D472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74EFBEC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C7755D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Establishment of a Control and Incident Review Schedule</w:t>
      </w:r>
    </w:p>
    <w:p w14:paraId="7925597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 formal schedule for periodic review of control effectiveness and incident response procedures, including roles, scope, and review criteria.</w:t>
      </w:r>
    </w:p>
    <w:p w14:paraId="28E54EA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007D17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Approved review calendar indicating review intervals.</w:t>
      </w:r>
    </w:p>
    <w:p w14:paraId="46FB5F7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agendas and minutes from control and incident review sessions.</w:t>
      </w:r>
    </w:p>
    <w:p w14:paraId="3489B8D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Revisions to control and response documentation based on review findings.</w:t>
      </w:r>
    </w:p>
    <w:p w14:paraId="2284CD1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logs from review participants.</w:t>
      </w:r>
    </w:p>
    <w:p w14:paraId="5BBD0C6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E90A5F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Control and Response Effectiveness</w:t>
      </w:r>
    </w:p>
    <w:p w14:paraId="0E3C3F4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detailed records of control testing, audit results, incident evaluations, and effectiveness assessments, including root causes and mitigation actions to document the performance of internal controls comprehensively.</w:t>
      </w:r>
    </w:p>
    <w:p w14:paraId="3853C64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0EA82F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Control testing reports and audit findings with effectiveness ratings.</w:t>
      </w:r>
    </w:p>
    <w:p w14:paraId="3FADEF4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post-mortem analyses and cause-effect diagrams.</w:t>
      </w:r>
    </w:p>
    <w:p w14:paraId="0EC24D1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Validation reports verifying control performance against standards.</w:t>
      </w:r>
    </w:p>
    <w:p w14:paraId="4F13604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Corrective action logs with status updates.</w:t>
      </w:r>
    </w:p>
    <w:p w14:paraId="3561CBE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3D9232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Incident Response Procedure Evaluation and Improvement</w:t>
      </w:r>
    </w:p>
    <w:p w14:paraId="3C268A2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evaluate incident response procedures, including scenario testing, drills, or simulations, and document lessons learned and process improvements to enhance future response efforts and readiness.</w:t>
      </w:r>
    </w:p>
    <w:p w14:paraId="2D8DCA3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3944D1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 plans, exercise logs, and debrief reports from drills.</w:t>
      </w:r>
    </w:p>
    <w:p w14:paraId="5B5F524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documents capturing gaps, strengths, and recommended changes.</w:t>
      </w:r>
    </w:p>
    <w:p w14:paraId="72E3B06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response procedures reflecting insights.</w:t>
      </w:r>
    </w:p>
    <w:p w14:paraId="23F4288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records on revised processes.</w:t>
      </w:r>
    </w:p>
    <w:p w14:paraId="68C2ADB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F8EF89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of Improvements into System Operations</w:t>
      </w:r>
    </w:p>
    <w:p w14:paraId="7AE3415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identified improvements in controls and procedures, update documentation accordingly, and communicate changes to relevant teams to ensure all personnel are informed and aligned with current practices.</w:t>
      </w:r>
    </w:p>
    <w:p w14:paraId="7B4DD4C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3E8EF5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indicating updates and approvals of procedures.</w:t>
      </w:r>
    </w:p>
    <w:p w14:paraId="4A33ECF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Revised control and incident response manuals.</w:t>
      </w:r>
    </w:p>
    <w:p w14:paraId="4515ED3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Communication records to affected teams.</w:t>
      </w:r>
    </w:p>
    <w:p w14:paraId="753AF12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Implementation plans with tracking of corrective actions.</w:t>
      </w:r>
    </w:p>
    <w:p w14:paraId="71428DF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14DB92B"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Monitoring and Feedback Loop</w:t>
      </w:r>
    </w:p>
    <w:p w14:paraId="3DC5582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control reviews and incident lessons to refine risk management and response strategies continuously, demonstrating the organization's ongoing commitment to security and reliability in AI system operations.</w:t>
      </w:r>
    </w:p>
    <w:p w14:paraId="56D3861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BCCFE5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dashboards tracking control and response KPIs.</w:t>
      </w:r>
    </w:p>
    <w:p w14:paraId="524660D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surveys from operational and incident response teams.</w:t>
      </w:r>
    </w:p>
    <w:p w14:paraId="70FD0C8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Progress reports on improvement initiatives.</w:t>
      </w:r>
    </w:p>
    <w:p w14:paraId="36D5EE9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Periodic review reports demonstrating adaptive changes.</w:t>
      </w:r>
    </w:p>
    <w:p w14:paraId="482EA0AC"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44" w:name="_Toc214874789"/>
      <w:r w:rsidRPr="00963E47">
        <w:rPr>
          <w:rFonts w:ascii="Aptos" w:eastAsia="Aptos" w:hAnsi="Aptos" w:cs="Times New Roman"/>
          <w:b/>
          <w:bCs/>
          <w:noProof/>
          <w:color w:val="35256B"/>
          <w:kern w:val="2"/>
          <w:sz w:val="24"/>
          <w14:ligatures w14:val="standardContextual"/>
        </w:rPr>
        <w:t>MAP / Understanding AI System Impacts / Identifying Risk Likelihood and Impacts</w:t>
      </w:r>
      <w:bookmarkEnd w:id="44"/>
      <w:r w:rsidRPr="00963E47">
        <w:rPr>
          <w:rFonts w:ascii="Aptos" w:eastAsia="Aptos" w:hAnsi="Aptos" w:cs="Times New Roman"/>
          <w:b/>
          <w:bCs/>
          <w:noProof/>
          <w:color w:val="35256B"/>
          <w:kern w:val="2"/>
          <w:sz w:val="24"/>
          <w14:ligatures w14:val="standardContextual"/>
        </w:rPr>
        <w:t xml:space="preserve"> </w:t>
      </w:r>
    </w:p>
    <w:p w14:paraId="3FD6B875"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2B6F2F6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637A668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77AB7021" w14:textId="77777777" w:rsidTr="005C00A5">
        <w:tc>
          <w:tcPr>
            <w:tcW w:w="1170" w:type="dxa"/>
          </w:tcPr>
          <w:p w14:paraId="69BBEFE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69F061B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45E184A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45B1411E" w14:textId="77777777" w:rsidTr="005C00A5">
        <w:tc>
          <w:tcPr>
            <w:tcW w:w="1170" w:type="dxa"/>
          </w:tcPr>
          <w:p w14:paraId="06F9A44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MP-5.1.1</w:t>
            </w:r>
          </w:p>
        </w:tc>
        <w:tc>
          <w:tcPr>
            <w:tcW w:w="2160" w:type="dxa"/>
          </w:tcPr>
          <w:p w14:paraId="32207FE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Risk Identification, Assessment, and Prioritization</w:t>
            </w:r>
          </w:p>
        </w:tc>
        <w:tc>
          <w:tcPr>
            <w:tcW w:w="6740" w:type="dxa"/>
          </w:tcPr>
          <w:p w14:paraId="23D8872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documents processes for identifying, assessing, and prioritizing AI system-specific risks, including the likelihood and magnitude of potential impacts (beneficial and harmful), using structured methodologies (e.g., risk matrices, RAG ratings, econometric approaches), TEVV practices, and adversarial testing to uncover potential misuse, vulnerabilities, unintended consequences, and content provenance harms (e.g., misinformation, deepfakes).</w:t>
            </w:r>
          </w:p>
          <w:p w14:paraId="44C5DE20" w14:textId="77777777" w:rsidR="00963E47" w:rsidRPr="00963E47" w:rsidRDefault="00963E47" w:rsidP="004C3837">
            <w:pPr>
              <w:keepNext/>
              <w:rPr>
                <w:rFonts w:ascii="Aptos" w:hAnsi="Aptos" w:cs="Times New Roman"/>
                <w:b/>
                <w:bCs/>
                <w:color w:val="000000"/>
                <w:sz w:val="20"/>
                <w:szCs w:val="20"/>
              </w:rPr>
            </w:pPr>
          </w:p>
          <w:p w14:paraId="75E74E3C" w14:textId="77777777" w:rsidR="00963E47" w:rsidRPr="00963E47" w:rsidRDefault="00963E47" w:rsidP="004C3837">
            <w:pPr>
              <w:keepNext/>
              <w:rPr>
                <w:rFonts w:ascii="Aptos" w:hAnsi="Aptos" w:cs="Times New Roman"/>
                <w:b/>
                <w:bCs/>
                <w:color w:val="000000"/>
                <w:sz w:val="20"/>
                <w:szCs w:val="20"/>
              </w:rPr>
            </w:pPr>
            <w:hyperlink r:id="rId137" w:anchor="map-5-1" w:history="1">
              <w:r w:rsidRPr="00963E47">
                <w:rPr>
                  <w:rFonts w:ascii="Aptos" w:hAnsi="Aptos" w:cs="Times New Roman"/>
                  <w:color w:val="000000"/>
                  <w:sz w:val="20"/>
                  <w:szCs w:val="20"/>
                  <w:u w:val="single"/>
                </w:rPr>
                <w:t>Link to NIST AI RMF Playbook</w:t>
              </w:r>
            </w:hyperlink>
          </w:p>
        </w:tc>
      </w:tr>
    </w:tbl>
    <w:p w14:paraId="3C1BF656"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7C6244D"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276B5665"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620E9916" w14:textId="77777777" w:rsidTr="005C00A5">
        <w:trPr>
          <w:tblHeader/>
        </w:trPr>
        <w:tc>
          <w:tcPr>
            <w:tcW w:w="2160" w:type="dxa"/>
            <w:shd w:val="clear" w:color="auto" w:fill="CCDCDC"/>
            <w:vAlign w:val="center"/>
          </w:tcPr>
          <w:p w14:paraId="5BDE31EA"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762DB3F3"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525D583A"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5871F324" w14:textId="77777777" w:rsidTr="005C00A5">
        <w:tc>
          <w:tcPr>
            <w:tcW w:w="2160" w:type="dxa"/>
            <w:shd w:val="clear" w:color="auto" w:fill="CCDCDC"/>
          </w:tcPr>
          <w:p w14:paraId="6513D00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4420CA7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9038E2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3D0A651E" w14:textId="77777777" w:rsidTr="005C00A5">
        <w:tc>
          <w:tcPr>
            <w:tcW w:w="2160" w:type="dxa"/>
            <w:shd w:val="clear" w:color="auto" w:fill="CCDCDC"/>
          </w:tcPr>
          <w:p w14:paraId="26899F05"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08A64EB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F26C2C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minimal stage, organizations have begun establishing processes for identifying, assessing, and prioritizing the likelihood and magnitude of potential AI system impacts using structured methodologies, TEVV </w:t>
            </w:r>
            <w:r w:rsidRPr="00963E47">
              <w:rPr>
                <w:rFonts w:ascii="Aptos" w:hAnsi="Aptos" w:cs="Times New Roman"/>
                <w:noProof/>
                <w:color w:val="auto"/>
                <w:sz w:val="20"/>
                <w:szCs w:val="20"/>
              </w:rPr>
              <w:lastRenderedPageBreak/>
              <w:t>practices, and adversarial testing, but these processes may not yet be comprehensive, well-documented, or consistently applied.</w:t>
            </w:r>
          </w:p>
        </w:tc>
      </w:tr>
      <w:tr w:rsidR="00963E47" w:rsidRPr="00963E47" w14:paraId="48DB4833" w14:textId="77777777" w:rsidTr="005C00A5">
        <w:tc>
          <w:tcPr>
            <w:tcW w:w="2160" w:type="dxa"/>
            <w:shd w:val="clear" w:color="auto" w:fill="CCDCDC"/>
          </w:tcPr>
          <w:p w14:paraId="52D6053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3: Evolving</w:t>
            </w:r>
          </w:p>
        </w:tc>
        <w:tc>
          <w:tcPr>
            <w:tcW w:w="1350" w:type="dxa"/>
          </w:tcPr>
          <w:p w14:paraId="7793F11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194E9D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evolving stage have established clear, well-documented processes for thoroughly identifying, assessing, and prioritizing the likelihood and magnitude of potential AI system impacts using structured methodologies, TEVV practices, and adversarial testing. These processes are comprehensive and consistently applied.</w:t>
            </w:r>
          </w:p>
        </w:tc>
      </w:tr>
      <w:tr w:rsidR="00963E47" w:rsidRPr="00963E47" w14:paraId="2D09E62A" w14:textId="77777777" w:rsidTr="005C00A5">
        <w:tc>
          <w:tcPr>
            <w:tcW w:w="2160" w:type="dxa"/>
            <w:shd w:val="clear" w:color="auto" w:fill="CCDCDC"/>
          </w:tcPr>
          <w:p w14:paraId="1F6DB2B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4E6E8BF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1FB9ED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refine and expand upon the risk identification, assessment, and prioritization processes established in the evolving stage to address the complexities of AI systems driving critical business functions and autonomous decision-making. This involves sophisticated risk management techniques, including the use of econometric approaches, TEVV practices, and comprehensive adversarial testing, to uncover potential misuse, vulnerabilities, unintended consequences, and content provenance harms (e.g., misinformation, deepfakes).</w:t>
            </w:r>
          </w:p>
        </w:tc>
      </w:tr>
    </w:tbl>
    <w:p w14:paraId="6FCFB259"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6216C38E" w14:textId="77777777" w:rsidTr="005C00A5">
        <w:tc>
          <w:tcPr>
            <w:tcW w:w="2250" w:type="dxa"/>
          </w:tcPr>
          <w:p w14:paraId="0DF9F00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487AF5F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303AFD5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54B8A4B7" w14:textId="77777777" w:rsidTr="005C00A5">
        <w:tc>
          <w:tcPr>
            <w:tcW w:w="2250" w:type="dxa"/>
          </w:tcPr>
          <w:p w14:paraId="1E59189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5B1067C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Unidentified AI System Risks</w:t>
            </w:r>
          </w:p>
        </w:tc>
        <w:tc>
          <w:tcPr>
            <w:tcW w:w="5300" w:type="dxa"/>
          </w:tcPr>
          <w:p w14:paraId="1F6A868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system-specific risks are not identified, assessed, or prioritized</w:t>
            </w:r>
          </w:p>
        </w:tc>
      </w:tr>
    </w:tbl>
    <w:p w14:paraId="4A93E3F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69E1CC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1AC2DD2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0AAF95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To effectively identify, assess, and prioritize the likelihood and magnitude of potential impacts (both beneficial and harmful) of the AI system, establish and document clear processes that leverage structured methodologies, TEVV practices, and adversarial testing. Define the scope of the impact assessment, including the specific use cases, stakeholders, and contexts that will be considered. </w:t>
      </w:r>
    </w:p>
    <w:p w14:paraId="7A2D103E"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2DD501D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criteria for evaluating the likelihood and impact, based on factors such as the impact severity, probability of occurrence, and the ability to detect and mitigate the impact. Use structured methodologies, such as risk matrices or red, amber, green (RAG) ratings, to systematically evaluate each potential impact and assign a risk rating based on the defined criteria.</w:t>
      </w:r>
    </w:p>
    <w:p w14:paraId="5FB4CE40"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659671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Incorporate TEVV practices, such as model validation, fair lending testing, and performance monitoring, to identify potential technical vulnerabilities or unintended consequences of the AI system. Conduct adversarial testing, such as penetration testing or red-teaming exercises, to uncover potential misuse, abuse of the AI system, or content provenance harms such as misinformation or deepfakes.</w:t>
      </w:r>
    </w:p>
    <w:p w14:paraId="1ED477CF"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804F83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Document the results of the impact assessment, including a clear prioritization of the identified risks based on their likelihood and magnitude, ensuring this documentation is regularly updated as the AI system evolves or new risks emerge.</w:t>
      </w:r>
    </w:p>
    <w:p w14:paraId="51B45DA1"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F78D40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296B425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2DD2B7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Risk Identification and Prioritization Framework</w:t>
      </w:r>
    </w:p>
    <w:p w14:paraId="49D8897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Create structured processes and documentation detailing methods for identifying, assessing, and prioritizing AI risks, including criteria, methodologies, and tools.</w:t>
      </w:r>
    </w:p>
    <w:p w14:paraId="131E2D9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7C6C1E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assessment templates incorporating likelihood, impact, and prioritization scales.</w:t>
      </w:r>
    </w:p>
    <w:p w14:paraId="6F09BDE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Risk matrices, RAG (Red/Amber/Green) ratings, or econometric models used in risk evaluation.</w:t>
      </w:r>
    </w:p>
    <w:p w14:paraId="63C6C12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TEVV protocols addressing misuse, vulnerabilities, and content risks.</w:t>
      </w:r>
    </w:p>
    <w:p w14:paraId="5AECA93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adversarial testing procedures targeting specific risk areas.</w:t>
      </w:r>
    </w:p>
    <w:p w14:paraId="4425929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075168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Systematic Risk Evaluation and Ranking</w:t>
      </w:r>
    </w:p>
    <w:p w14:paraId="56EEF07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structured methodologies to evaluate the likelihood and potential impact of risks, generating prioritized risk registers and dashboards for decision-making that facilitate effective risk management.</w:t>
      </w:r>
    </w:p>
    <w:p w14:paraId="278B1B5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EA5590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registers with scores and rankings based on predefined criteria.</w:t>
      </w:r>
    </w:p>
    <w:p w14:paraId="4854919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Automated risk scoring dashboards displaying risk levels and trends.</w:t>
      </w:r>
    </w:p>
    <w:p w14:paraId="6F62555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from threat modeling or adversarial testing exercises.</w:t>
      </w:r>
    </w:p>
    <w:p w14:paraId="2A703A9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Evidence of stakeholder review and endorsement of risk prioritization.</w:t>
      </w:r>
    </w:p>
    <w:p w14:paraId="2E84091F"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A5EBD6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Incorporation of TEVV and Adversarial Testing Results</w:t>
      </w:r>
    </w:p>
    <w:p w14:paraId="3F9616A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Integrate findings from TEVV activities, adversarial testing, and misuse simulations into risk assessments and risk management strategies, ensuring that vulnerabilities and potential misuse are proactively addressed.</w:t>
      </w:r>
    </w:p>
    <w:p w14:paraId="7BEEE70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7217E1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 reports identifying vulnerabilities and potential misuse scenarios.</w:t>
      </w:r>
    </w:p>
    <w:p w14:paraId="7AEDFE2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assessment updates integrating adversarial testing outcomes.</w:t>
      </w:r>
    </w:p>
    <w:p w14:paraId="173C364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plans addressing identified vulnerabilities.</w:t>
      </w:r>
    </w:p>
    <w:p w14:paraId="7BFAEB1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Root cause analysis documents related to system weaknesses.</w:t>
      </w:r>
    </w:p>
    <w:p w14:paraId="64193B53"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705D01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Content Provenance and Harm Assessment</w:t>
      </w:r>
    </w:p>
    <w:p w14:paraId="750C121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specific assessments of content provenance risks, such as misinformation and deepfakes, including potential impacts and mitigation strategies to safeguard against harmful consequences on AI outputs.</w:t>
      </w:r>
    </w:p>
    <w:p w14:paraId="6B1FB8A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AFAC71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Content risk assessment reports with mitigation measures.</w:t>
      </w:r>
    </w:p>
    <w:p w14:paraId="41B485A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provenance tracking mechanisms and their effectiveness.</w:t>
      </w:r>
    </w:p>
    <w:p w14:paraId="4578891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Adversarial example testing results related to misinformation/harm scenarios.</w:t>
      </w:r>
    </w:p>
    <w:p w14:paraId="3C3062B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dashboards for content integrity and provenance issues.</w:t>
      </w:r>
    </w:p>
    <w:p w14:paraId="2747F022"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DD4002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 Review, Validation, and Process Improvement</w:t>
      </w:r>
    </w:p>
    <w:p w14:paraId="19177E3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Periodically review and validate risk assessment processes, methodologies, and risk scores, updating tools and approaches based on emerging threats, lessons learned, and evolving standards to maintain an effective risk management framework.</w:t>
      </w:r>
    </w:p>
    <w:p w14:paraId="3550C7F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714F28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and meeting minutes documenting updates.</w:t>
      </w:r>
    </w:p>
    <w:p w14:paraId="79A7FE2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 histories of risk assessment protocols.</w:t>
      </w:r>
    </w:p>
    <w:p w14:paraId="3CCEF0E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risk teams and stakeholders.</w:t>
      </w:r>
    </w:p>
    <w:p w14:paraId="69FD48D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from incidents and testing activities informing refinements.</w:t>
      </w:r>
    </w:p>
    <w:p w14:paraId="34E0B919"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2C29CF1F"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5AFBA65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0329156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33925F10" w14:textId="77777777" w:rsidTr="005C00A5">
        <w:tc>
          <w:tcPr>
            <w:tcW w:w="1170" w:type="dxa"/>
          </w:tcPr>
          <w:p w14:paraId="5A27A47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3DDCD64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5C152DF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5AF01FB0" w14:textId="77777777" w:rsidTr="005C00A5">
        <w:tc>
          <w:tcPr>
            <w:tcW w:w="1170" w:type="dxa"/>
          </w:tcPr>
          <w:p w14:paraId="1155B0F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MP-5.1.2</w:t>
            </w:r>
          </w:p>
        </w:tc>
        <w:tc>
          <w:tcPr>
            <w:tcW w:w="2160" w:type="dxa"/>
          </w:tcPr>
          <w:p w14:paraId="1F72F0D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Risk Profile Development</w:t>
            </w:r>
          </w:p>
        </w:tc>
        <w:tc>
          <w:tcPr>
            <w:tcW w:w="6740" w:type="dxa"/>
          </w:tcPr>
          <w:p w14:paraId="178F0EC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develops comprehensive risk profiles (from all risks identified throughout MAP) that outline known and potential adverse outcomes, direct costs, indirect costs, potential systemic risks to markets and consumers, and the degree of impact on the AI system and its stakeholders, and the speed of onset of these risks.</w:t>
            </w:r>
          </w:p>
          <w:p w14:paraId="66379102" w14:textId="77777777" w:rsidR="00963E47" w:rsidRPr="00963E47" w:rsidRDefault="00963E47" w:rsidP="004C3837">
            <w:pPr>
              <w:keepNext/>
              <w:rPr>
                <w:rFonts w:ascii="Aptos" w:hAnsi="Aptos" w:cs="Times New Roman"/>
                <w:b/>
                <w:bCs/>
                <w:color w:val="000000"/>
                <w:sz w:val="20"/>
                <w:szCs w:val="20"/>
              </w:rPr>
            </w:pPr>
          </w:p>
          <w:p w14:paraId="7CC2DEF4" w14:textId="77777777" w:rsidR="00963E47" w:rsidRPr="00963E47" w:rsidRDefault="00963E47" w:rsidP="004C3837">
            <w:pPr>
              <w:keepNext/>
              <w:rPr>
                <w:rFonts w:ascii="Aptos" w:hAnsi="Aptos" w:cs="Times New Roman"/>
                <w:b/>
                <w:bCs/>
                <w:color w:val="000000"/>
                <w:sz w:val="20"/>
                <w:szCs w:val="20"/>
              </w:rPr>
            </w:pPr>
            <w:hyperlink r:id="rId138" w:anchor="map-5-1" w:history="1">
              <w:r w:rsidRPr="00963E47">
                <w:rPr>
                  <w:rFonts w:ascii="Aptos" w:hAnsi="Aptos" w:cs="Times New Roman"/>
                  <w:color w:val="000000"/>
                  <w:sz w:val="20"/>
                  <w:szCs w:val="20"/>
                  <w:u w:val="single"/>
                </w:rPr>
                <w:t>Link to NIST AI RMF Playbook</w:t>
              </w:r>
            </w:hyperlink>
          </w:p>
        </w:tc>
      </w:tr>
    </w:tbl>
    <w:p w14:paraId="48FC9640"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D1D03FF"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7D2F12F1"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50CF1C32" w14:textId="77777777" w:rsidTr="005C00A5">
        <w:trPr>
          <w:tblHeader/>
        </w:trPr>
        <w:tc>
          <w:tcPr>
            <w:tcW w:w="2160" w:type="dxa"/>
            <w:shd w:val="clear" w:color="auto" w:fill="CCDCDC"/>
            <w:vAlign w:val="center"/>
          </w:tcPr>
          <w:p w14:paraId="11F6A86E"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3EA8479F"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58D0796C"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5DFD938B" w14:textId="77777777" w:rsidTr="005C00A5">
        <w:tc>
          <w:tcPr>
            <w:tcW w:w="2160" w:type="dxa"/>
            <w:shd w:val="clear" w:color="auto" w:fill="CCDCDC"/>
          </w:tcPr>
          <w:p w14:paraId="34797C9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33AD58D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C35FB7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4A14711A" w14:textId="77777777" w:rsidTr="005C00A5">
        <w:tc>
          <w:tcPr>
            <w:tcW w:w="2160" w:type="dxa"/>
            <w:shd w:val="clear" w:color="auto" w:fill="CCDCDC"/>
          </w:tcPr>
          <w:p w14:paraId="641230F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28EE063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E706D0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4699B83C" w14:textId="77777777" w:rsidTr="005C00A5">
        <w:tc>
          <w:tcPr>
            <w:tcW w:w="2160" w:type="dxa"/>
            <w:shd w:val="clear" w:color="auto" w:fill="CCDCDC"/>
          </w:tcPr>
          <w:p w14:paraId="0D43C31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7B9F4E1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983F6A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begin developing comprehensive risk profiles that outline known and potential vulnerabilities, likelihood of occurrence, and potential impacts on the AI system and its stakeholders, based on risks identified throughout the MAP function.</w:t>
            </w:r>
          </w:p>
        </w:tc>
      </w:tr>
      <w:tr w:rsidR="00963E47" w:rsidRPr="00963E47" w14:paraId="2EC40F97" w14:textId="77777777" w:rsidTr="005C00A5">
        <w:tc>
          <w:tcPr>
            <w:tcW w:w="2160" w:type="dxa"/>
            <w:shd w:val="clear" w:color="auto" w:fill="CCDCDC"/>
          </w:tcPr>
          <w:p w14:paraId="123DBAA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652E5EE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EFA98C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enhance and expand upon the comprehensive risk profiles to provide a detailed understanding of potential adverse outcomes, costs, systemic risks, and the speed of impact on the AI system and its stakeholders in an interconnected way.</w:t>
            </w:r>
          </w:p>
        </w:tc>
      </w:tr>
    </w:tbl>
    <w:p w14:paraId="3296F304"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3D0AB638" w14:textId="77777777" w:rsidTr="005C00A5">
        <w:tc>
          <w:tcPr>
            <w:tcW w:w="2250" w:type="dxa"/>
          </w:tcPr>
          <w:p w14:paraId="63F5AE2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6326F5D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68B32E7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0A2A2D05" w14:textId="77777777" w:rsidTr="005C00A5">
        <w:tc>
          <w:tcPr>
            <w:tcW w:w="2250" w:type="dxa"/>
          </w:tcPr>
          <w:p w14:paraId="5EFD492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35EC299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Undeveloped Risk Profiles</w:t>
            </w:r>
          </w:p>
        </w:tc>
        <w:tc>
          <w:tcPr>
            <w:tcW w:w="5300" w:type="dxa"/>
          </w:tcPr>
          <w:p w14:paraId="4004908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Comprehensive risk profiles outlining adverse outcomes are not developed</w:t>
            </w:r>
          </w:p>
        </w:tc>
      </w:tr>
    </w:tbl>
    <w:p w14:paraId="0F0DCA5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F186E4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074B919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91DABC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Develop risk profiles for the AI system that outline known and potential adverse outcomes, direct costs, and indirect costs, likelihood of occurrence, and potential impacts on the system and its stakeholders. Aggregate and synthesize the risks identified throughout the MAP function, including those related to data quality, model performance, security, and privacy. </w:t>
      </w:r>
    </w:p>
    <w:p w14:paraId="02546557"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7AC05EF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For each identified risk, document the specific vulnerability or weakness that could be exploited, as well as the potential consequences if the risk were to materialize. Assess the likelihood of occurrence for each risk based on factors such as the system’s complexity, the level of security controls in place, and the potential motivations of attackers or adversaries.</w:t>
      </w:r>
    </w:p>
    <w:p w14:paraId="4107476D"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4F4C058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Evaluate the potential impact of each risk by considering both direct and indirect consequences for the AI system, its users, and other stakeholders. Use a standardized risk rating framework to assign a risk level to each identified vulnerability, based on the combination of likelihood and impact.</w:t>
      </w:r>
    </w:p>
    <w:p w14:paraId="327CD938"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7AA616A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Document the risk profiles in a centralized repository, ensuring they are regularly reviewed and updated as the AI system evolves or new risks emerge. Share the risk profiles with relevant stakeholders, such as system owners, </w:t>
      </w:r>
      <w:r w:rsidRPr="00963E47">
        <w:rPr>
          <w:rFonts w:ascii="Aptos" w:eastAsia="Aptos" w:hAnsi="Aptos" w:cs="Times New Roman"/>
          <w:noProof/>
          <w:color w:val="auto"/>
          <w:kern w:val="2"/>
          <w:sz w:val="20"/>
          <w:szCs w:val="20"/>
          <w14:ligatures w14:val="standardContextual"/>
        </w:rPr>
        <w:lastRenderedPageBreak/>
        <w:t>developers, and risk management teams, to facilitate informed decision-making and effective risk mitigation strategies.</w:t>
      </w:r>
    </w:p>
    <w:p w14:paraId="50BEFDCC"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A1B56B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15DBBCD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9E8940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Creation of a Centralized Risk Profile Repository</w:t>
      </w:r>
    </w:p>
    <w:p w14:paraId="5A84413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formal process and documentation framework for compiling all risks into comprehensive profiles, integrating data from multiple MAP phases.</w:t>
      </w:r>
    </w:p>
    <w:p w14:paraId="1EC69EF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4CC53B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profile templates capturing outcomes, costs, impact levels, and onset speed.</w:t>
      </w:r>
    </w:p>
    <w:p w14:paraId="6DB4C7A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Consolidated risk register linked to system models and assessments.</w:t>
      </w:r>
    </w:p>
    <w:p w14:paraId="4B5D587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profiles with updates following reviews.</w:t>
      </w:r>
    </w:p>
    <w:p w14:paraId="5718C46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Centralized database or tools with access controls.</w:t>
      </w:r>
    </w:p>
    <w:p w14:paraId="6C3342B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59423A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Known and Potential Adverse Outcomes and Costs</w:t>
      </w:r>
    </w:p>
    <w:p w14:paraId="1F28932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Record in detail both identified adverse outcomes and potential future impacts, including direct costs (e.g., system failures), indirect costs (e.g., reputation), and systemic risks to markets and consumers to create a thorough understanding of risk implications.</w:t>
      </w:r>
    </w:p>
    <w:p w14:paraId="72A26F6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C987E4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Impact analysis reports listing adverse outcomes and their severity.</w:t>
      </w:r>
    </w:p>
    <w:p w14:paraId="6131957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Cost estimation models for direct and indirect impacts.</w:t>
      </w:r>
    </w:p>
    <w:p w14:paraId="463F624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Scenario analyses showing systemic risk pathways.</w:t>
      </w:r>
    </w:p>
    <w:p w14:paraId="08AAF1A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input documenting potential harms.</w:t>
      </w:r>
    </w:p>
    <w:p w14:paraId="21063B3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71962E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Assessment of Impact Severity and Speed of Onset</w:t>
      </w:r>
    </w:p>
    <w:p w14:paraId="73F3EFD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 the degree of impact on the AI system and stakeholders, including how quickly risks could manifest, supporting prioritization and response planning to ensure timely and effective risk management actions.</w:t>
      </w:r>
    </w:p>
    <w:p w14:paraId="7043EBB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8B757C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matrices indicating severity levels and onset timelines.</w:t>
      </w:r>
    </w:p>
    <w:p w14:paraId="2CB0187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dashboards with real-time risk impact indicators.</w:t>
      </w:r>
    </w:p>
    <w:p w14:paraId="7AA80BC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Scenario planning exercises outlined with onset assumptions.</w:t>
      </w:r>
    </w:p>
    <w:p w14:paraId="1BD812F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records for impact level calibration.</w:t>
      </w:r>
    </w:p>
    <w:p w14:paraId="4B5BEFAF"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106ECA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of Risk Profiles into Decision-Making Processes</w:t>
      </w:r>
    </w:p>
    <w:p w14:paraId="21B0D77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comprehensive risk profiles to inform design, deployment, and mitigation planning, ensuring risks are explicitly considered in operational and strategic decision-making processes to enhance system resilience.</w:t>
      </w:r>
    </w:p>
    <w:p w14:paraId="18460D0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26E8C8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profiles incorporated into project risk assessments and decision logs.</w:t>
      </w:r>
    </w:p>
    <w:p w14:paraId="7610E4D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Mitigation strategies directly linked to risk profiles.</w:t>
      </w:r>
    </w:p>
    <w:p w14:paraId="0128CE6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Management review meeting notes referencing risk profile insights.</w:t>
      </w:r>
    </w:p>
    <w:p w14:paraId="1581F57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policies aligning with systemic risk considerations.</w:t>
      </w:r>
    </w:p>
    <w:p w14:paraId="35B3BA9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B0A13B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 Review and Updating of Risk Profiles</w:t>
      </w:r>
    </w:p>
    <w:p w14:paraId="5CA29E4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Schedule ongoing reviews of risk profiles, incorporating new data, lessons learned, and evolving risk landscapes to maintain accuracy and relevance, ensuring that risk management practices adapt to changing conditions.</w:t>
      </w:r>
    </w:p>
    <w:p w14:paraId="659F0B5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1830AF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with documented outcomes and updates.</w:t>
      </w:r>
    </w:p>
    <w:p w14:paraId="3B491B1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 histories of risk profiles reflecting recent assessments.</w:t>
      </w:r>
    </w:p>
    <w:p w14:paraId="7EA2493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from incidents or new external threats incorporated into profiles.</w:t>
      </w:r>
    </w:p>
    <w:p w14:paraId="32E0358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Stakeholder feedback informing profile refinement.</w:t>
      </w:r>
    </w:p>
    <w:p w14:paraId="5E722E78"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5D6D94CC"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4FF242D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1BFAAE5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4A9CA964" w14:textId="77777777" w:rsidTr="005C00A5">
        <w:tc>
          <w:tcPr>
            <w:tcW w:w="1170" w:type="dxa"/>
          </w:tcPr>
          <w:p w14:paraId="7AFFD61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43C5F67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1C8C3A1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65631076" w14:textId="77777777" w:rsidTr="005C00A5">
        <w:tc>
          <w:tcPr>
            <w:tcW w:w="1170" w:type="dxa"/>
          </w:tcPr>
          <w:p w14:paraId="771B4DE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MP-5.1.3</w:t>
            </w:r>
          </w:p>
        </w:tc>
        <w:tc>
          <w:tcPr>
            <w:tcW w:w="2160" w:type="dxa"/>
          </w:tcPr>
          <w:p w14:paraId="6D8851F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Decision Rationale and Stakeholder Validation</w:t>
            </w:r>
          </w:p>
        </w:tc>
        <w:tc>
          <w:tcPr>
            <w:tcW w:w="6740" w:type="dxa"/>
          </w:tcPr>
          <w:p w14:paraId="21BD294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documents the rationale behind its risk prioritization decisions and risk tolerance, including the factors considered, trade-offs made between different risk response options, and input received from relevant stakeholders, while also engaging these stakeholders (e.g., technical experts, domain specialists, impacted communities) to validate its decisions on risk prioritization, risk appetite and tolerance, and resource allocation, thereby incorporating multidisciplinary perspectives into the risk response process.</w:t>
            </w:r>
          </w:p>
          <w:p w14:paraId="70E64E34" w14:textId="77777777" w:rsidR="00963E47" w:rsidRPr="00963E47" w:rsidRDefault="00963E47" w:rsidP="004C3837">
            <w:pPr>
              <w:keepNext/>
              <w:rPr>
                <w:rFonts w:ascii="Aptos" w:hAnsi="Aptos" w:cs="Times New Roman"/>
                <w:b/>
                <w:bCs/>
                <w:color w:val="000000"/>
                <w:sz w:val="20"/>
                <w:szCs w:val="20"/>
              </w:rPr>
            </w:pPr>
          </w:p>
          <w:p w14:paraId="4E531BEC" w14:textId="77777777" w:rsidR="00963E47" w:rsidRPr="00963E47" w:rsidRDefault="00963E47" w:rsidP="004C3837">
            <w:pPr>
              <w:keepNext/>
              <w:rPr>
                <w:rFonts w:ascii="Aptos" w:hAnsi="Aptos" w:cs="Times New Roman"/>
                <w:b/>
                <w:bCs/>
                <w:color w:val="000000"/>
                <w:sz w:val="20"/>
                <w:szCs w:val="20"/>
              </w:rPr>
            </w:pPr>
            <w:hyperlink r:id="rId139" w:anchor="map-5-1" w:history="1">
              <w:r w:rsidRPr="00963E47">
                <w:rPr>
                  <w:rFonts w:ascii="Aptos" w:hAnsi="Aptos" w:cs="Times New Roman"/>
                  <w:color w:val="000000"/>
                  <w:sz w:val="20"/>
                  <w:szCs w:val="20"/>
                  <w:u w:val="single"/>
                </w:rPr>
                <w:t>Link to NIST AI RMF Playbook</w:t>
              </w:r>
            </w:hyperlink>
          </w:p>
        </w:tc>
      </w:tr>
    </w:tbl>
    <w:p w14:paraId="247B7601"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F6AD6DC"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30C18F3D"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42AC3E50" w14:textId="77777777" w:rsidTr="005C00A5">
        <w:trPr>
          <w:tblHeader/>
        </w:trPr>
        <w:tc>
          <w:tcPr>
            <w:tcW w:w="2160" w:type="dxa"/>
            <w:shd w:val="clear" w:color="auto" w:fill="CCDCDC"/>
            <w:vAlign w:val="center"/>
          </w:tcPr>
          <w:p w14:paraId="0CA0DE6C"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12817EBF"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0CE830FE"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56536D7A" w14:textId="77777777" w:rsidTr="005C00A5">
        <w:tc>
          <w:tcPr>
            <w:tcW w:w="2160" w:type="dxa"/>
            <w:shd w:val="clear" w:color="auto" w:fill="CCDCDC"/>
          </w:tcPr>
          <w:p w14:paraId="64DF6C2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6A46413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4406AF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0EBE1AB" w14:textId="77777777" w:rsidTr="005C00A5">
        <w:tc>
          <w:tcPr>
            <w:tcW w:w="2160" w:type="dxa"/>
            <w:shd w:val="clear" w:color="auto" w:fill="CCDCDC"/>
          </w:tcPr>
          <w:p w14:paraId="599BB79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45DDEBC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DAAEA5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507C276" w14:textId="77777777" w:rsidTr="005C00A5">
        <w:tc>
          <w:tcPr>
            <w:tcW w:w="2160" w:type="dxa"/>
            <w:shd w:val="clear" w:color="auto" w:fill="CCDCDC"/>
          </w:tcPr>
          <w:p w14:paraId="043D387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3BABCA7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88297D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thoroughly document risk prioritization decisions and rationale, including factors, trade-offs, and stakeholder input. Stakeholders are actively engaged to validate decisions.</w:t>
            </w:r>
          </w:p>
        </w:tc>
      </w:tr>
      <w:tr w:rsidR="00963E47" w:rsidRPr="00963E47" w14:paraId="55251C0C" w14:textId="77777777" w:rsidTr="005C00A5">
        <w:tc>
          <w:tcPr>
            <w:tcW w:w="2160" w:type="dxa"/>
            <w:shd w:val="clear" w:color="auto" w:fill="CCDCDC"/>
          </w:tcPr>
          <w:p w14:paraId="25BBFAE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3795B8E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5E2495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maintain comprehensive, transparent documentation of risk prioritization decisions and rationale that is continuously updated. Stakeholder engagement is extensive and deeply integrated into the validation process.</w:t>
            </w:r>
          </w:p>
        </w:tc>
      </w:tr>
    </w:tbl>
    <w:p w14:paraId="0BB1D918"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41C0D548" w14:textId="77777777" w:rsidTr="005C00A5">
        <w:tc>
          <w:tcPr>
            <w:tcW w:w="2250" w:type="dxa"/>
          </w:tcPr>
          <w:p w14:paraId="40E2344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40FD4BD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5054014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545893E6" w14:textId="77777777" w:rsidTr="005C00A5">
        <w:tc>
          <w:tcPr>
            <w:tcW w:w="2250" w:type="dxa"/>
          </w:tcPr>
          <w:p w14:paraId="1DC30D9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5EEE0D6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Undocumented Risk Rationale</w:t>
            </w:r>
          </w:p>
        </w:tc>
        <w:tc>
          <w:tcPr>
            <w:tcW w:w="5300" w:type="dxa"/>
          </w:tcPr>
          <w:p w14:paraId="6D864D8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Rationale behind risk prioritization decisions and risk tolerance are undocumented</w:t>
            </w:r>
          </w:p>
        </w:tc>
      </w:tr>
    </w:tbl>
    <w:p w14:paraId="652EBB6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CD7C73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0D0170C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B5145B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Document the rationale behind risk prioritization decisions and risk tolerance, including the factors considered, trade-offs made between different risk response options, and input received from relevant stakeholders. Maintain clear and concise records of these decisions and their justifications, ensuring that they are easily accessible and understandable to relevant parties.</w:t>
      </w:r>
    </w:p>
    <w:p w14:paraId="47EB22EA"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22A74AC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Engage stakeholders, such as technical experts, domain specialists, and impacted communities, to validate decisions on risk prioritization, risk appetite and tolerance, and resource allocation. Establish mechanisms for soliciting and incorporating their feedback, such as regular meetings, surveys, or workshops, to ensure that multidisciplinary perspectives are considered in the risk response process.</w:t>
      </w:r>
    </w:p>
    <w:p w14:paraId="06EC204A"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B9F7D9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lastRenderedPageBreak/>
        <w:t xml:space="preserve">Example Controls and Evidence: </w:t>
      </w:r>
    </w:p>
    <w:p w14:paraId="20A2DBD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2D9490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Formal Documentation of Risk Prioritization and Tolerance</w:t>
      </w:r>
    </w:p>
    <w:p w14:paraId="04D2B38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templates and processes for capturing the factors, trade-offs, and stakeholder inputs that inform risk prioritization and risk tolerance decisions.</w:t>
      </w:r>
    </w:p>
    <w:p w14:paraId="223D5DA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73E272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Decision logs with detailed explanations of factors and trade-offs.</w:t>
      </w:r>
    </w:p>
    <w:p w14:paraId="167012E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prioritization matrices showing stakeholder input and decision criteria.</w:t>
      </w:r>
    </w:p>
    <w:p w14:paraId="6492E43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Versioned risk tolerance documents with review notes.</w:t>
      </w:r>
    </w:p>
    <w:p w14:paraId="7248FA5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sign-offs on risk prioritization rationale.</w:t>
      </w:r>
    </w:p>
    <w:p w14:paraId="74B829C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827993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Stakeholder Engagement and Validation Processes</w:t>
      </w:r>
    </w:p>
    <w:p w14:paraId="022E092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structured engagement activities (workshops, interviews, reviews) to validate and challenge risk prioritization, resource allocation, and risk appetite assumptions, ensuring a comprehensive examination of decision-making processes.</w:t>
      </w:r>
    </w:p>
    <w:p w14:paraId="3B2126A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1D3E10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Agendas, attendance records, and summaries from stakeholder workshops.</w:t>
      </w:r>
    </w:p>
    <w:p w14:paraId="386DBC8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forms and interview transcripts documenting stakeholder perspectives.</w:t>
      </w:r>
    </w:p>
    <w:p w14:paraId="64E5D30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Validation meeting minutes indicating stakeholder agreement or concerns.</w:t>
      </w:r>
    </w:p>
    <w:p w14:paraId="5FDE3B9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Follow-up records showing incorporation of feedback.</w:t>
      </w:r>
    </w:p>
    <w:p w14:paraId="6BA0ED9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7C79C9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Consideration of Multidisciplinary Perspectives and Trade-offs</w:t>
      </w:r>
    </w:p>
    <w:p w14:paraId="5FCFF61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 how different stakeholder viewpoints, including technical considerations, influenced risk trade-offs and decision-making, capturing the rationale behind prioritization and resource allocation choices.</w:t>
      </w:r>
    </w:p>
    <w:p w14:paraId="4820E65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13249F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Comparative analyses illustrating stakeholder inputs and their impact on trade-offs.</w:t>
      </w:r>
    </w:p>
    <w:p w14:paraId="714D3E5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deliberations balancing competing priorities (e.g., safety vs. performance).</w:t>
      </w:r>
    </w:p>
    <w:p w14:paraId="3B5D316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summarizing consensus-building outcomes.</w:t>
      </w:r>
    </w:p>
    <w:p w14:paraId="013CECE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divergent views and how they were addressed.</w:t>
      </w:r>
    </w:p>
    <w:p w14:paraId="1958FB0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5A36D0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of Stakeholder Validation into Decision-Making Processes</w:t>
      </w:r>
    </w:p>
    <w:p w14:paraId="699B567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Incorporate stakeholder validations into formal risk management workflows, approval processes, and resource planning, ensuring transparency and accountability in the risk response process.</w:t>
      </w:r>
    </w:p>
    <w:p w14:paraId="0750E10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4D6420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Approval workflows with embedded stakeholder review steps.</w:t>
      </w:r>
    </w:p>
    <w:p w14:paraId="6AAF067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reflecting stakeholder validation points.</w:t>
      </w:r>
    </w:p>
    <w:p w14:paraId="5798D95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sign-offs demonstrating stakeholder endorsement.</w:t>
      </w:r>
    </w:p>
    <w:p w14:paraId="1DD739C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risk registers reflecting validated decisions.</w:t>
      </w:r>
    </w:p>
    <w:p w14:paraId="64D01FD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F6377AB"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Review and Improvement Based on Stakeholder Input</w:t>
      </w:r>
    </w:p>
    <w:p w14:paraId="45F2A3C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Periodically revisit risk prioritization and resource allocation decisions, incorporating ongoing stakeholder feedback, changing contextual factors, and lessons learned to adapt strategies</w:t>
      </w:r>
    </w:p>
    <w:p w14:paraId="0882D0A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D8B871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with documented stakeholders' feedback consideration.</w:t>
      </w:r>
    </w:p>
    <w:p w14:paraId="0CC935F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decision rationale and stakeholder validation records.</w:t>
      </w:r>
    </w:p>
    <w:p w14:paraId="1E285E0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reports highlighting stakeholder-driven adjustments.</w:t>
      </w:r>
    </w:p>
    <w:p w14:paraId="0DAC4B2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Process improvement logs for refining stakeholder engagement practices.</w:t>
      </w:r>
    </w:p>
    <w:p w14:paraId="25CCB0E6"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45" w:name="_Toc214874790"/>
      <w:r w:rsidRPr="00963E47">
        <w:rPr>
          <w:rFonts w:ascii="Aptos" w:eastAsia="Aptos" w:hAnsi="Aptos" w:cs="Times New Roman"/>
          <w:b/>
          <w:bCs/>
          <w:noProof/>
          <w:color w:val="35256B"/>
          <w:kern w:val="2"/>
          <w:sz w:val="24"/>
          <w14:ligatures w14:val="standardContextual"/>
        </w:rPr>
        <w:lastRenderedPageBreak/>
        <w:t>MAP / Understanding AI System Impacts / Collecting Feedback on AI System Impacts</w:t>
      </w:r>
      <w:bookmarkEnd w:id="45"/>
      <w:r w:rsidRPr="00963E47">
        <w:rPr>
          <w:rFonts w:ascii="Aptos" w:eastAsia="Aptos" w:hAnsi="Aptos" w:cs="Times New Roman"/>
          <w:b/>
          <w:bCs/>
          <w:noProof/>
          <w:color w:val="35256B"/>
          <w:kern w:val="2"/>
          <w:sz w:val="24"/>
          <w14:ligatures w14:val="standardContextual"/>
        </w:rPr>
        <w:t xml:space="preserve"> </w:t>
      </w:r>
    </w:p>
    <w:p w14:paraId="38AB4032"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1CCA936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2286D7E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1DDB78A4" w14:textId="77777777" w:rsidTr="005C00A5">
        <w:tc>
          <w:tcPr>
            <w:tcW w:w="1170" w:type="dxa"/>
          </w:tcPr>
          <w:p w14:paraId="2A16675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3886DF4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292F7D0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01E3A671" w14:textId="77777777" w:rsidTr="005C00A5">
        <w:tc>
          <w:tcPr>
            <w:tcW w:w="1170" w:type="dxa"/>
          </w:tcPr>
          <w:p w14:paraId="07AFE6E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MP-5.2.1</w:t>
            </w:r>
          </w:p>
        </w:tc>
        <w:tc>
          <w:tcPr>
            <w:tcW w:w="2160" w:type="dxa"/>
          </w:tcPr>
          <w:p w14:paraId="023AC02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Structured AI stakeholder Engagement</w:t>
            </w:r>
          </w:p>
        </w:tc>
        <w:tc>
          <w:tcPr>
            <w:tcW w:w="6740" w:type="dxa"/>
          </w:tcPr>
          <w:p w14:paraId="22EB736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documents processes for regularly engaging relevant AI stakeholders (e.g., end-users, domain experts, potentially impacted communities) using structured methodologies such as value sensitive design (VSD) to gather feedback on the specific AI system's performance, impacts, and unanticipated consequences.</w:t>
            </w:r>
          </w:p>
          <w:p w14:paraId="3DB66C2B" w14:textId="77777777" w:rsidR="00963E47" w:rsidRPr="00963E47" w:rsidRDefault="00963E47" w:rsidP="004C3837">
            <w:pPr>
              <w:keepNext/>
              <w:rPr>
                <w:rFonts w:ascii="Aptos" w:hAnsi="Aptos" w:cs="Times New Roman"/>
                <w:b/>
                <w:bCs/>
                <w:color w:val="000000"/>
                <w:sz w:val="20"/>
                <w:szCs w:val="20"/>
              </w:rPr>
            </w:pPr>
          </w:p>
          <w:p w14:paraId="1A6077E1" w14:textId="77777777" w:rsidR="00963E47" w:rsidRPr="00963E47" w:rsidRDefault="00963E47" w:rsidP="004C3837">
            <w:pPr>
              <w:keepNext/>
              <w:rPr>
                <w:rFonts w:ascii="Aptos" w:hAnsi="Aptos" w:cs="Times New Roman"/>
                <w:b/>
                <w:bCs/>
                <w:color w:val="000000"/>
                <w:sz w:val="20"/>
                <w:szCs w:val="20"/>
              </w:rPr>
            </w:pPr>
            <w:hyperlink r:id="rId140" w:anchor="map-5-2" w:history="1">
              <w:r w:rsidRPr="00963E47">
                <w:rPr>
                  <w:rFonts w:ascii="Aptos" w:hAnsi="Aptos" w:cs="Times New Roman"/>
                  <w:color w:val="000000"/>
                  <w:sz w:val="20"/>
                  <w:szCs w:val="20"/>
                  <w:u w:val="single"/>
                </w:rPr>
                <w:t>Link to NIST AI RMF Playbook</w:t>
              </w:r>
            </w:hyperlink>
          </w:p>
        </w:tc>
      </w:tr>
    </w:tbl>
    <w:p w14:paraId="1574FD44"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424E6BB"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56B47A49"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007915F9" w14:textId="77777777" w:rsidTr="005C00A5">
        <w:trPr>
          <w:tblHeader/>
        </w:trPr>
        <w:tc>
          <w:tcPr>
            <w:tcW w:w="2160" w:type="dxa"/>
            <w:shd w:val="clear" w:color="auto" w:fill="CCDCDC"/>
            <w:vAlign w:val="center"/>
          </w:tcPr>
          <w:p w14:paraId="64C42101"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5332FF13"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66706254"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3C4A9266" w14:textId="77777777" w:rsidTr="005C00A5">
        <w:tc>
          <w:tcPr>
            <w:tcW w:w="2160" w:type="dxa"/>
            <w:shd w:val="clear" w:color="auto" w:fill="CCDCDC"/>
          </w:tcPr>
          <w:p w14:paraId="404CA2A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5709FA6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4D7224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EE72F00" w14:textId="77777777" w:rsidTr="005C00A5">
        <w:tc>
          <w:tcPr>
            <w:tcW w:w="2160" w:type="dxa"/>
            <w:shd w:val="clear" w:color="auto" w:fill="CCDCDC"/>
          </w:tcPr>
          <w:p w14:paraId="13DF2B0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7382421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72E866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have begun establishing practices for engaging relevant AI stakeholders to gather feedback on the AI system's performance, impacts, and unanticipated consequences, but these practices may not yet be well-structured, regularly conducted, or comprehensively documented.</w:t>
            </w:r>
          </w:p>
        </w:tc>
      </w:tr>
      <w:tr w:rsidR="00963E47" w:rsidRPr="00963E47" w14:paraId="019E77E6" w14:textId="77777777" w:rsidTr="005C00A5">
        <w:tc>
          <w:tcPr>
            <w:tcW w:w="2160" w:type="dxa"/>
            <w:shd w:val="clear" w:color="auto" w:fill="CCDCDC"/>
          </w:tcPr>
          <w:p w14:paraId="0603106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3E9A287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B10767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evolving stage have established clear, well-documented practices for regularly engaging relevant AI stakeholders using structured methodologies such as value sensitive design (VSD) to gather feedback on the AI system's performance, impacts, and unanticipated consequences. These practices are consistently implemented.</w:t>
            </w:r>
          </w:p>
        </w:tc>
      </w:tr>
      <w:tr w:rsidR="00963E47" w:rsidRPr="00963E47" w14:paraId="57BB1B0A" w14:textId="77777777" w:rsidTr="005C00A5">
        <w:tc>
          <w:tcPr>
            <w:tcW w:w="2160" w:type="dxa"/>
            <w:shd w:val="clear" w:color="auto" w:fill="CCDCDC"/>
          </w:tcPr>
          <w:p w14:paraId="376A67E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0820EF5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28AF3E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enhance and formalize processes for regularly engaging relevant AI stakeholders across the enterprise. This involves leveraging methodologies like VSD to gather comprehensive feedback on the performance, impacts, and unanticipated consequences of AI, ensuring that these insights are integrated into the continuous improvement and risk management processes.</w:t>
            </w:r>
          </w:p>
        </w:tc>
      </w:tr>
    </w:tbl>
    <w:p w14:paraId="400924E0"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7C8EA6C5" w14:textId="77777777" w:rsidTr="005C00A5">
        <w:tc>
          <w:tcPr>
            <w:tcW w:w="2250" w:type="dxa"/>
          </w:tcPr>
          <w:p w14:paraId="39D881D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41F9CE2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2765843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72260E01" w14:textId="77777777" w:rsidTr="005C00A5">
        <w:tc>
          <w:tcPr>
            <w:tcW w:w="2250" w:type="dxa"/>
          </w:tcPr>
          <w:p w14:paraId="07A0BD8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3C9344C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Insufficient Actor Engagement</w:t>
            </w:r>
          </w:p>
        </w:tc>
        <w:tc>
          <w:tcPr>
            <w:tcW w:w="5300" w:type="dxa"/>
          </w:tcPr>
          <w:p w14:paraId="78C329C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stakeholder engagement is insufficient to gather feedback and capture impacts</w:t>
            </w:r>
          </w:p>
        </w:tc>
      </w:tr>
    </w:tbl>
    <w:p w14:paraId="38F4396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C4B9DD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4BF3A82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D87F3C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To effectively gather feedback on the AI system's performance, impacts, and unanticipated consequences, document clear practices for regularly engaging with relevant AI stakeholders, such as end-users, domain experts, and potentially impacted communities. </w:t>
      </w:r>
    </w:p>
    <w:p w14:paraId="43A112C8"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155A608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Identify the specific stakeholder groups that are most relevant to the AI system, considering factors such as their level of interaction with the system, their domain expertise, and their potential to be impacted by the system's outputs or decisions. Develop a structured engagement plan that outlines the specific methods and channels for gathering feedback from each stakeholder group, such as surveys, focus groups, or user testing sessions.</w:t>
      </w:r>
    </w:p>
    <w:p w14:paraId="47367ED3"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10AC45B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Consider using value sensitive design (VSD) or other structured methodologies to ensure that the engagement process is inclusive and aligned with the organization's values and priorities. Document the engagement plan in detail, including the frequency and duration of each engagement activity, the specific questions or prompts that will be used to elicit feedback, and the process for analyzing and incorporating the feedback into the AI system's development and deployment.</w:t>
      </w:r>
    </w:p>
    <w:p w14:paraId="3BFA2D08"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79E595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Ensure that the engagement plan is regularly reviewed and updated as the AI system evolves or new stakeholder groups emerge, maintaining its effectiveness and relevance.</w:t>
      </w:r>
    </w:p>
    <w:p w14:paraId="60D4F786"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528C8F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68B36EA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6A9916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Structured Engagement Procedures</w:t>
      </w:r>
    </w:p>
    <w:p w14:paraId="723B085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Create formal procedures for involving AI Stakeholders through structured methods like VSD, ensuring consistent stakeholder participation throughout the AI lifecycle.</w:t>
      </w:r>
    </w:p>
    <w:p w14:paraId="5DBC8E4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5AA55E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Engagement process documents detailing steps, methods, and responsibilities.</w:t>
      </w:r>
    </w:p>
    <w:p w14:paraId="12AEC6F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Templates for stakeholder interviews, workshops, and feedback collection aligned with VSD principles.</w:t>
      </w:r>
    </w:p>
    <w:p w14:paraId="56143DE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Communication plans scheduling regular engagement activities.</w:t>
      </w:r>
    </w:p>
    <w:p w14:paraId="6197EC5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process manuals.</w:t>
      </w:r>
    </w:p>
    <w:p w14:paraId="1C5361A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5D65AE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Implementation of Methodologies for Valuing Stakeholder Perspectives</w:t>
      </w:r>
    </w:p>
    <w:p w14:paraId="4B690BF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structured methodologies such as VSD to systematically incorporate stakeholder values, preferences, and concerns into system design, performance evaluation, and impact assessment, ensuring alignment with user needs.</w:t>
      </w:r>
    </w:p>
    <w:p w14:paraId="17FD766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1B3F53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collection tools and guides applying VSD principles.</w:t>
      </w:r>
    </w:p>
    <w:p w14:paraId="1FD2B70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analysis reports mapping stakeholder values to system features.</w:t>
      </w:r>
    </w:p>
    <w:p w14:paraId="71C4CAE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value-centered design iterations influenced by stakeholder input.</w:t>
      </w:r>
    </w:p>
    <w:p w14:paraId="25A8082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Decision logs connecting stakeholder feedback to design modifications.</w:t>
      </w:r>
    </w:p>
    <w:p w14:paraId="3A4EC30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A9C8FB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 and Ongoing Stakeholder Engagement Activities</w:t>
      </w:r>
    </w:p>
    <w:p w14:paraId="6343990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Schedule and conduct ongoing engagement sessions—interviews, focus groups, co-design workshops—at key lifecycle stages to solicit feedback on performance, impacts, and unintended consequences, fostering active stakeholder participation throughout the AI system lifecycle.</w:t>
      </w:r>
    </w:p>
    <w:p w14:paraId="3352B17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66F92E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agendas and participation records.</w:t>
      </w:r>
    </w:p>
    <w:p w14:paraId="01636BE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Workshop summaries, interview transcripts, and feedback forms.</w:t>
      </w:r>
    </w:p>
    <w:p w14:paraId="5E2E66E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Engagement schedules and calendars.</w:t>
      </w:r>
    </w:p>
    <w:p w14:paraId="352EE01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logs and responses documenting incorporation.</w:t>
      </w:r>
    </w:p>
    <w:p w14:paraId="6258E4A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748708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and Integration of Stakeholder Feedback into Development</w:t>
      </w:r>
    </w:p>
    <w:p w14:paraId="0112863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Record stakeholder inputs, analyze findings, and integrate insights to modify system design, evaluate impacts, and mitigate risks accordingly, ensuring that user feedback effectively informs decision-making processes.</w:t>
      </w:r>
    </w:p>
    <w:p w14:paraId="3EB3161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7642A3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and analysis reports linked to design change documentation.</w:t>
      </w:r>
    </w:p>
    <w:p w14:paraId="58B4FA9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Traceability matrices connecting stakeholder inputs to system adjustments.</w:t>
      </w:r>
    </w:p>
    <w:p w14:paraId="31FF498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Revised system specifications reflecting stakeholder values and concerns.</w:t>
      </w:r>
    </w:p>
    <w:p w14:paraId="29B3A5F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Impact assessment updates that incorporate stakeholder feedback.</w:t>
      </w:r>
    </w:p>
    <w:p w14:paraId="6BF3C9B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28ED73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Review and Improvement of Engagement Processes</w:t>
      </w:r>
    </w:p>
    <w:p w14:paraId="3CE3092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evaluate the effectiveness of stakeholder engagement activities, incorporate lessons learned, and refine processes to better capture unanticipated issues and stakeholder values, enhancing the organization's ability to respond to emerging concerns.</w:t>
      </w:r>
    </w:p>
    <w:p w14:paraId="6CE33BD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47C998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Post-engagement surveys and feedback on process effectiveness.</w:t>
      </w:r>
    </w:p>
    <w:p w14:paraId="1B1B914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reports from stakeholder interactions.</w:t>
      </w:r>
    </w:p>
    <w:p w14:paraId="0BA0856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Process review schedules with documented updates.</w:t>
      </w:r>
    </w:p>
    <w:p w14:paraId="282B17B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improved methodologies or tools based on previous feedback.</w:t>
      </w:r>
    </w:p>
    <w:p w14:paraId="18388F29"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4CD8D1AA"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34F0425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002D1C4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138E08AB" w14:textId="77777777" w:rsidTr="005C00A5">
        <w:tc>
          <w:tcPr>
            <w:tcW w:w="1170" w:type="dxa"/>
          </w:tcPr>
          <w:p w14:paraId="5DA2BD7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474C3B4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528A027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7B01B3FE" w14:textId="77777777" w:rsidTr="005C00A5">
        <w:tc>
          <w:tcPr>
            <w:tcW w:w="1170" w:type="dxa"/>
          </w:tcPr>
          <w:p w14:paraId="4AEF55B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MP-5.2.2</w:t>
            </w:r>
          </w:p>
        </w:tc>
        <w:tc>
          <w:tcPr>
            <w:tcW w:w="2160" w:type="dxa"/>
          </w:tcPr>
          <w:p w14:paraId="5AB9611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Stakeholder Engagement and Mitigation</w:t>
            </w:r>
          </w:p>
        </w:tc>
        <w:tc>
          <w:tcPr>
            <w:tcW w:w="6740" w:type="dxa"/>
          </w:tcPr>
          <w:p w14:paraId="14CFA8D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engages with relevant stakeholders to solicit context-specific insights and to develop action plans that detect, prevent, and mitigate potential risks, costs, or adverse impacts.</w:t>
            </w:r>
          </w:p>
          <w:p w14:paraId="7D8D445A" w14:textId="77777777" w:rsidR="00963E47" w:rsidRPr="00963E47" w:rsidRDefault="00963E47" w:rsidP="004C3837">
            <w:pPr>
              <w:keepNext/>
              <w:rPr>
                <w:rFonts w:ascii="Aptos" w:hAnsi="Aptos" w:cs="Times New Roman"/>
                <w:b/>
                <w:bCs/>
                <w:color w:val="000000"/>
                <w:sz w:val="20"/>
                <w:szCs w:val="20"/>
              </w:rPr>
            </w:pPr>
          </w:p>
          <w:p w14:paraId="2F842164" w14:textId="77777777" w:rsidR="00963E47" w:rsidRPr="00963E47" w:rsidRDefault="00963E47" w:rsidP="004C3837">
            <w:pPr>
              <w:keepNext/>
              <w:rPr>
                <w:rFonts w:ascii="Aptos" w:hAnsi="Aptos" w:cs="Times New Roman"/>
                <w:b/>
                <w:bCs/>
                <w:color w:val="000000"/>
                <w:sz w:val="20"/>
                <w:szCs w:val="20"/>
              </w:rPr>
            </w:pPr>
            <w:hyperlink r:id="rId141" w:anchor="map-5-2" w:history="1">
              <w:r w:rsidRPr="00963E47">
                <w:rPr>
                  <w:rFonts w:ascii="Aptos" w:hAnsi="Aptos" w:cs="Times New Roman"/>
                  <w:color w:val="000000"/>
                  <w:sz w:val="20"/>
                  <w:szCs w:val="20"/>
                  <w:u w:val="single"/>
                </w:rPr>
                <w:t>Link to NIST AI RMF Playbook</w:t>
              </w:r>
            </w:hyperlink>
          </w:p>
        </w:tc>
      </w:tr>
    </w:tbl>
    <w:p w14:paraId="0B632019"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4D30644"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5EA45ED4"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17ACEB25" w14:textId="77777777" w:rsidTr="005C00A5">
        <w:trPr>
          <w:tblHeader/>
        </w:trPr>
        <w:tc>
          <w:tcPr>
            <w:tcW w:w="2160" w:type="dxa"/>
            <w:shd w:val="clear" w:color="auto" w:fill="CCDCDC"/>
            <w:vAlign w:val="center"/>
          </w:tcPr>
          <w:p w14:paraId="62D6DC3B"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67CBAEE1"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0C00D9B7"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37E8A861" w14:textId="77777777" w:rsidTr="005C00A5">
        <w:tc>
          <w:tcPr>
            <w:tcW w:w="2160" w:type="dxa"/>
            <w:shd w:val="clear" w:color="auto" w:fill="CCDCDC"/>
          </w:tcPr>
          <w:p w14:paraId="5FC59D9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3B3C929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DCF61D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1D28B2BC" w14:textId="77777777" w:rsidTr="005C00A5">
        <w:tc>
          <w:tcPr>
            <w:tcW w:w="2160" w:type="dxa"/>
            <w:shd w:val="clear" w:color="auto" w:fill="CCDCDC"/>
          </w:tcPr>
          <w:p w14:paraId="73906B1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0668AFF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93263B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3B394844" w14:textId="77777777" w:rsidTr="005C00A5">
        <w:tc>
          <w:tcPr>
            <w:tcW w:w="2160" w:type="dxa"/>
            <w:shd w:val="clear" w:color="auto" w:fill="CCDCDC"/>
          </w:tcPr>
          <w:p w14:paraId="3D5D99F5"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4AE826A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7203FB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begin engaging with relevant stakeholders to gain context-specific insights and develop targeted action plans for detecting, preventing, and mitigating AI system risks and impacts.</w:t>
            </w:r>
          </w:p>
        </w:tc>
      </w:tr>
      <w:tr w:rsidR="00963E47" w:rsidRPr="00963E47" w14:paraId="2E5A7C0A" w14:textId="77777777" w:rsidTr="005C00A5">
        <w:tc>
          <w:tcPr>
            <w:tcW w:w="2160" w:type="dxa"/>
            <w:shd w:val="clear" w:color="auto" w:fill="CCDCDC"/>
          </w:tcPr>
          <w:p w14:paraId="1F962B0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5EFE5D1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F467DF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enhance and formalize stakeholder engagement processes to ensure robust action plans are in place to detect, prevent, and mitigate potential risks, costs, or adverse impacts. This involves a comprehensive approach to soliciting context-specific insights from relevant stakeholders across the enterprise.</w:t>
            </w:r>
          </w:p>
        </w:tc>
      </w:tr>
    </w:tbl>
    <w:p w14:paraId="60555E47"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692F120F" w14:textId="77777777" w:rsidTr="005C00A5">
        <w:tc>
          <w:tcPr>
            <w:tcW w:w="2250" w:type="dxa"/>
          </w:tcPr>
          <w:p w14:paraId="460EB10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3CAAD86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013BAB8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44ADCA47" w14:textId="77777777" w:rsidTr="005C00A5">
        <w:tc>
          <w:tcPr>
            <w:tcW w:w="2250" w:type="dxa"/>
          </w:tcPr>
          <w:p w14:paraId="4DD4AB0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72B13DB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Unused Context-Specific Insights</w:t>
            </w:r>
          </w:p>
        </w:tc>
        <w:tc>
          <w:tcPr>
            <w:tcW w:w="5300" w:type="dxa"/>
          </w:tcPr>
          <w:p w14:paraId="1498CAE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Stakeholder context-specific insights are not used to develop action plans</w:t>
            </w:r>
          </w:p>
        </w:tc>
      </w:tr>
    </w:tbl>
    <w:p w14:paraId="5A35DA0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EF9853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2578B74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31BAA8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Engage relevant stakeholders to enable context-specific insights and develop action plans that detect, prevent, and mitigate potential risks and impacts associated with the AI system. Involve stakeholders with different perspectives and expertise, such as end-users, domain experts, community representatives, and risk management professionals. </w:t>
      </w:r>
    </w:p>
    <w:p w14:paraId="776AF747"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D9D5BF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regular communication and collaboration channels to facilitate open and honest dialogue about potential risks and impacts, and to gather input on effective mitigation strategies. Develop a standardized framework for documenting the stakeholder engagement process and outcomes, including the specific methods, frequency, and participants involved, as well as identified risks, concerns, or suggestions for improvement.</w:t>
      </w:r>
    </w:p>
    <w:p w14:paraId="78DF338E"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25C9BA5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Use the insights gained from stakeholder engagement to inform the development of targeted action plans for detecting, preventing, and mitigating potential risks and impacts. Ensure that these action plans are clearly documented, with specific roles, responsibilities, and timelines assigned. Regularly review and update the action plans as needed to maintain their effectiveness and relevance.</w:t>
      </w:r>
    </w:p>
    <w:p w14:paraId="46FE3083"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097DF1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7D5561F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F9C5C4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Structured Stakeholder Engagement Process</w:t>
      </w:r>
    </w:p>
    <w:p w14:paraId="3C8D134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formal procedures for identifying stakeholders, defining engagement objectives, and selecting methods tailored to context-specific risk considerations.</w:t>
      </w:r>
    </w:p>
    <w:p w14:paraId="0B29F59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3C0924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identification and engagement plans with defined objectives.</w:t>
      </w:r>
    </w:p>
    <w:p w14:paraId="6DB88C8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Methodologies for targeted feedback collection such as interviews, workshops, or surveys.</w:t>
      </w:r>
    </w:p>
    <w:p w14:paraId="5BF2FB1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Engagement schedules and participation records.</w:t>
      </w:r>
    </w:p>
    <w:p w14:paraId="1398880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stakeholder roles and responsibilities.</w:t>
      </w:r>
    </w:p>
    <w:p w14:paraId="5DA7AED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4EA50D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Collection and Analysis of Context-Specific Insights</w:t>
      </w:r>
    </w:p>
    <w:p w14:paraId="2C2BCB1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Utilize tailored approaches to gather insights relevant to specific risk areas, analyzing data to identify potential risks, costs, or impacts, ensuring a comprehensive understanding of the context in which risks may arise.</w:t>
      </w:r>
    </w:p>
    <w:p w14:paraId="271B887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64F769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summaries highlighting particular risks or impacts based on stakeholder input.</w:t>
      </w:r>
    </w:p>
    <w:p w14:paraId="1185DA5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analysis reports identifying causes or sources of potential harm.</w:t>
      </w:r>
    </w:p>
    <w:p w14:paraId="5715569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registers incorporating stakeholder insights.</w:t>
      </w:r>
    </w:p>
    <w:p w14:paraId="68A8317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Structured analysis frameworks linking insights to mitigation strategies.</w:t>
      </w:r>
    </w:p>
    <w:p w14:paraId="177F05D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F10C26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Action Plans for Risk Detection and Mitigation</w:t>
      </w:r>
    </w:p>
    <w:p w14:paraId="40FDEDF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Create targeted action plans that address identified risks, costs, or impacts, including responsibilities, timelines, and measurable objectives to facilitate clear implementation and accountability.</w:t>
      </w:r>
    </w:p>
    <w:p w14:paraId="689DDCD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B2DF6F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Formalized action plans with clear tasks, owners, and deadlines.</w:t>
      </w:r>
    </w:p>
    <w:p w14:paraId="7D68AA9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Protocols for ongoing risk detection and control measures.</w:t>
      </w:r>
    </w:p>
    <w:p w14:paraId="3366220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and review schedules to track plan implementation.</w:t>
      </w:r>
    </w:p>
    <w:p w14:paraId="70351E7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demonstrating stakeholder input shaping action plans.</w:t>
      </w:r>
    </w:p>
    <w:p w14:paraId="40DEC1F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CC377E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of Insights into Organizational Processes</w:t>
      </w:r>
    </w:p>
    <w:p w14:paraId="31DB664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Incorporate stakeholder insights and resulting action plans into relevant risk management, operational, and compliance workflows to ensure proactive risk handling and alignment with organizational goals.</w:t>
      </w:r>
    </w:p>
    <w:p w14:paraId="48EEB23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836CED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management reports reflecting stakeholder-derived risks and mitigation activities.</w:t>
      </w:r>
    </w:p>
    <w:p w14:paraId="39A96A5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Process maps showing integration of insights into decision-making workflows.</w:t>
      </w:r>
    </w:p>
    <w:p w14:paraId="3362595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discussing stakeholder inputs and impact mitigation.</w:t>
      </w:r>
    </w:p>
    <w:p w14:paraId="5F0A132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System change logs aligned with action plans.</w:t>
      </w:r>
    </w:p>
    <w:p w14:paraId="208CBF7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29B0AD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Feedback and Improvement</w:t>
      </w:r>
    </w:p>
    <w:p w14:paraId="20FB60D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review engagement effectiveness, stakeholder feedback, and outcomes, updating strategies and action plans to adapt to new risks or changing contexts, fostering an agile approach to risk management.</w:t>
      </w:r>
    </w:p>
    <w:p w14:paraId="66BF4C0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3D3C72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surveys on engagement effectiveness.</w:t>
      </w:r>
    </w:p>
    <w:p w14:paraId="7E8B5E7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reports from response activities.</w:t>
      </w:r>
    </w:p>
    <w:p w14:paraId="43B3990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Updated engagement strategies based on past experiences.</w:t>
      </w:r>
    </w:p>
    <w:p w14:paraId="5C036CF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plan adjustments addressing emerging or residual risks.</w:t>
      </w:r>
    </w:p>
    <w:p w14:paraId="0A778F55"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46" w:name="_Toc214874791"/>
      <w:r w:rsidRPr="00963E47">
        <w:rPr>
          <w:rFonts w:ascii="Aptos" w:eastAsia="Aptos" w:hAnsi="Aptos" w:cs="Times New Roman"/>
          <w:b/>
          <w:bCs/>
          <w:noProof/>
          <w:color w:val="35256B"/>
          <w:kern w:val="2"/>
          <w:sz w:val="24"/>
          <w14:ligatures w14:val="standardContextual"/>
        </w:rPr>
        <w:t>MEASURE / Methods and Metrics / Selecting and Prioritizing Measurements</w:t>
      </w:r>
      <w:bookmarkEnd w:id="46"/>
      <w:r w:rsidRPr="00963E47">
        <w:rPr>
          <w:rFonts w:ascii="Aptos" w:eastAsia="Aptos" w:hAnsi="Aptos" w:cs="Times New Roman"/>
          <w:b/>
          <w:bCs/>
          <w:noProof/>
          <w:color w:val="35256B"/>
          <w:kern w:val="2"/>
          <w:sz w:val="24"/>
          <w14:ligatures w14:val="standardContextual"/>
        </w:rPr>
        <w:t xml:space="preserve"> </w:t>
      </w:r>
    </w:p>
    <w:p w14:paraId="27C25652"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6576423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04D7C55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78B51141" w14:textId="77777777" w:rsidTr="005C00A5">
        <w:tc>
          <w:tcPr>
            <w:tcW w:w="1170" w:type="dxa"/>
          </w:tcPr>
          <w:p w14:paraId="64BAC11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6B8EA6C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5AA14A8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7FD77D5A" w14:textId="77777777" w:rsidTr="005C00A5">
        <w:tc>
          <w:tcPr>
            <w:tcW w:w="1170" w:type="dxa"/>
          </w:tcPr>
          <w:p w14:paraId="5563E04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MS-1.1.1</w:t>
            </w:r>
          </w:p>
        </w:tc>
        <w:tc>
          <w:tcPr>
            <w:tcW w:w="2160" w:type="dxa"/>
          </w:tcPr>
          <w:p w14:paraId="739ED7F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Risk Metrics and Measurement Selection</w:t>
            </w:r>
          </w:p>
        </w:tc>
        <w:tc>
          <w:tcPr>
            <w:tcW w:w="6740" w:type="dxa"/>
          </w:tcPr>
          <w:p w14:paraId="2FD0A52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selects and prioritizes significant AI risks for measurement and monitoring, defining metrics and measurement approaches that consider the AI system's specific context, intended use, and potential impacts on stakeholders. The organization documents the rationale for the selection of specific metrics and measurement approaches, including their relevance, feasibility, and limitations in relation to the AI system and its associated risks. The organization determines that measurement and testing are complete when prioritized risks have been tested, measured, and tracked, and no new or serious risks have emerged.</w:t>
            </w:r>
          </w:p>
          <w:p w14:paraId="725BC105" w14:textId="77777777" w:rsidR="00963E47" w:rsidRPr="00963E47" w:rsidRDefault="00963E47" w:rsidP="004C3837">
            <w:pPr>
              <w:keepNext/>
              <w:rPr>
                <w:rFonts w:ascii="Aptos" w:hAnsi="Aptos" w:cs="Times New Roman"/>
                <w:b/>
                <w:bCs/>
                <w:color w:val="000000"/>
                <w:sz w:val="20"/>
                <w:szCs w:val="20"/>
              </w:rPr>
            </w:pPr>
          </w:p>
          <w:p w14:paraId="4508DB72" w14:textId="77777777" w:rsidR="00963E47" w:rsidRPr="00963E47" w:rsidRDefault="00963E47" w:rsidP="004C3837">
            <w:pPr>
              <w:keepNext/>
              <w:rPr>
                <w:rFonts w:ascii="Aptos" w:hAnsi="Aptos" w:cs="Times New Roman"/>
                <w:b/>
                <w:bCs/>
                <w:color w:val="000000"/>
                <w:sz w:val="20"/>
                <w:szCs w:val="20"/>
              </w:rPr>
            </w:pPr>
            <w:hyperlink r:id="rId142" w:anchor="measure-1-1" w:history="1">
              <w:r w:rsidRPr="00963E47">
                <w:rPr>
                  <w:rFonts w:ascii="Aptos" w:hAnsi="Aptos" w:cs="Times New Roman"/>
                  <w:color w:val="000000"/>
                  <w:sz w:val="20"/>
                  <w:szCs w:val="20"/>
                  <w:u w:val="single"/>
                </w:rPr>
                <w:t>Link to NIST AI RMF Playbook</w:t>
              </w:r>
            </w:hyperlink>
          </w:p>
        </w:tc>
      </w:tr>
    </w:tbl>
    <w:p w14:paraId="08F0D6D7"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A6EB460"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240A782E"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6C24028C" w14:textId="77777777" w:rsidTr="005C00A5">
        <w:trPr>
          <w:tblHeader/>
        </w:trPr>
        <w:tc>
          <w:tcPr>
            <w:tcW w:w="2160" w:type="dxa"/>
            <w:shd w:val="clear" w:color="auto" w:fill="CCDCDC"/>
            <w:vAlign w:val="center"/>
          </w:tcPr>
          <w:p w14:paraId="40B1441E"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6B8F10B5"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6A80D97A"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7FCF4A2F" w14:textId="77777777" w:rsidTr="005C00A5">
        <w:tc>
          <w:tcPr>
            <w:tcW w:w="2160" w:type="dxa"/>
            <w:shd w:val="clear" w:color="auto" w:fill="CCDCDC"/>
          </w:tcPr>
          <w:p w14:paraId="3C829DE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79F0C09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41975F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04954150" w14:textId="77777777" w:rsidTr="005C00A5">
        <w:tc>
          <w:tcPr>
            <w:tcW w:w="2160" w:type="dxa"/>
            <w:shd w:val="clear" w:color="auto" w:fill="CCDCDC"/>
          </w:tcPr>
          <w:p w14:paraId="4E5DFBE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0695156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062AD0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begin selecting and prioritizing significant AI risks associated with their limited AI applications for basic measurement and monitoring. This includes defining initial metrics and measurement approaches, considering the AI system's specific context, intended use, and potential impacts. The organization starts documenting the rationale for these selections, including relevance, feasibility, and limitations.</w:t>
            </w:r>
          </w:p>
        </w:tc>
      </w:tr>
      <w:tr w:rsidR="00963E47" w:rsidRPr="00963E47" w14:paraId="697AA56A" w14:textId="77777777" w:rsidTr="005C00A5">
        <w:tc>
          <w:tcPr>
            <w:tcW w:w="2160" w:type="dxa"/>
            <w:shd w:val="clear" w:color="auto" w:fill="CCDCDC"/>
          </w:tcPr>
          <w:p w14:paraId="6CF74405"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64F9693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F46C82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consistently select and prioritize significant AI risks for measurement and monitoring, defining context-specific metrics and measurement approaches. The rationale for the selection of metrics and approaches is well-documented, considering relevance, feasibility, and limitations.</w:t>
            </w:r>
          </w:p>
        </w:tc>
      </w:tr>
      <w:tr w:rsidR="00963E47" w:rsidRPr="00963E47" w14:paraId="05C69967" w14:textId="77777777" w:rsidTr="005C00A5">
        <w:tc>
          <w:tcPr>
            <w:tcW w:w="2160" w:type="dxa"/>
            <w:shd w:val="clear" w:color="auto" w:fill="CCDCDC"/>
          </w:tcPr>
          <w:p w14:paraId="2128B46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319D34D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7013E7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continuously selecting and prioritizing significant AI risks for measurement and monitoring, with real-time definition of context-specific metrics and measurement approaches based on data-driven insights. The rationale for the selection of metrics and approaches is dynamically documented, ensuring the highest level of relevance, feasibility, and transparency.</w:t>
            </w:r>
          </w:p>
        </w:tc>
      </w:tr>
    </w:tbl>
    <w:p w14:paraId="2EF7B832"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2534D114" w14:textId="77777777" w:rsidTr="005C00A5">
        <w:tc>
          <w:tcPr>
            <w:tcW w:w="2250" w:type="dxa"/>
          </w:tcPr>
          <w:p w14:paraId="70621D5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lastRenderedPageBreak/>
              <w:t>AI Principle</w:t>
            </w:r>
          </w:p>
        </w:tc>
        <w:tc>
          <w:tcPr>
            <w:tcW w:w="2520" w:type="dxa"/>
          </w:tcPr>
          <w:p w14:paraId="7F0CA83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239EFBF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551934DB" w14:textId="77777777" w:rsidTr="005C00A5">
        <w:tc>
          <w:tcPr>
            <w:tcW w:w="2250" w:type="dxa"/>
          </w:tcPr>
          <w:p w14:paraId="7645B56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Valid &amp; Reliable</w:t>
            </w:r>
          </w:p>
        </w:tc>
        <w:tc>
          <w:tcPr>
            <w:tcW w:w="2520" w:type="dxa"/>
          </w:tcPr>
          <w:p w14:paraId="6B4CC85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Inadequate Contextual Risk Measurement</w:t>
            </w:r>
          </w:p>
        </w:tc>
        <w:tc>
          <w:tcPr>
            <w:tcW w:w="5300" w:type="dxa"/>
          </w:tcPr>
          <w:p w14:paraId="7BADC98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risk measurement and monitoring lacks specific context and stakeholder impacts</w:t>
            </w:r>
          </w:p>
        </w:tc>
      </w:tr>
    </w:tbl>
    <w:p w14:paraId="430D964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B4B81D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1AC07FE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5F78B5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Identify and prioritize the most significant AI risks for measurement and monitoring based on the AI system's specific context, intended use, and potential impacts on stakeholders. Engage relevant stakeholders, such as domain experts, end-users, and risk management professionals, to gather input on the selection of risks and the development of appropriate metrics and measurement approaches.</w:t>
      </w:r>
    </w:p>
    <w:p w14:paraId="64A8B0CA"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69313B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Define clear, actionable, and context-specific metrics for each selected AI risk, considering factors such as data availability, technical feasibility, and alignment with organizational goals and values.</w:t>
      </w:r>
    </w:p>
    <w:p w14:paraId="4368479F"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1290671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Note that measurement and testing are ongoing processes until prioritized risks have been tested, tracked, and monitored thoroughly, and no new or serious risks remain unaddressed. Ensure this is revisited regularly, especially when significant changes or new risks emerge, to confirm that testing and measurement are sufficient and comprehensive.</w:t>
      </w:r>
    </w:p>
    <w:p w14:paraId="48CEDBE1"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42D6255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Document the rationale for the selection of specific metrics and measurement approaches, including their relevance, feasibility, limitations, and the criteria for determining when testing and measurement are complete, in relation to the AI system and its associated risks.</w:t>
      </w:r>
    </w:p>
    <w:p w14:paraId="2C64972A"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A07DE1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0ADF8B7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CF64B2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Risk Prioritization and Metrics Selection Framework</w:t>
      </w:r>
    </w:p>
    <w:p w14:paraId="4FAD880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 structured framework for identifying, prioritizing, and selecting core risks based on severity, likelihood, stakeholder impact, and system context; include criteria for metrics relevance, feasibility, and limitations.</w:t>
      </w:r>
    </w:p>
    <w:p w14:paraId="4F48809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B79C0A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Formal risk prioritization matrices with rationale for risk scores and assigned weights.</w:t>
      </w:r>
    </w:p>
    <w:p w14:paraId="78DF948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Documented criteria and scoring scales used during risk prioritization sessions.</w:t>
      </w:r>
    </w:p>
    <w:p w14:paraId="34533B5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input records informing risk importance and impact considerations.</w:t>
      </w:r>
    </w:p>
    <w:p w14:paraId="7819641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Revised risk assessments showing updated priorities as system or context evolve.</w:t>
      </w:r>
    </w:p>
    <w:p w14:paraId="012158C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7580B3B"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Defined Metrics and Measurement Approaches Document</w:t>
      </w:r>
    </w:p>
    <w:p w14:paraId="07B3CC1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comprehensive documentation detailing selected metrics, measurement methods, data sources, benchmarks, frequency, and acceptability thresholds, with explicit rationale and acknowledged limitations for each risk.</w:t>
      </w:r>
    </w:p>
    <w:p w14:paraId="17A8BAA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F0DC35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Measurement plan or matrix linking risks to specific metrics, data sources, and collection methods.</w:t>
      </w:r>
    </w:p>
    <w:p w14:paraId="0E0C4B5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the rationale for metric selection, relevance, and feasibility with limitations noted.</w:t>
      </w:r>
    </w:p>
    <w:p w14:paraId="08B3BEF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Sample measurement reports demonstrating data collection and interpretation aligned with specified metrics.</w:t>
      </w:r>
    </w:p>
    <w:p w14:paraId="72B212E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and approval records from risk, technical, and stakeholder representatives.</w:t>
      </w:r>
    </w:p>
    <w:p w14:paraId="348CD7F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A466F8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Implementation and Tracking of Measurement Activities</w:t>
      </w:r>
    </w:p>
    <w:p w14:paraId="1B327D5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Execute measurement activities across prioritized risks, systematically tracking results over time, including dashboards, logs, and periodic assessment reports to detect emerging risks and changes in risk levels.</w:t>
      </w:r>
    </w:p>
    <w:p w14:paraId="7AFF5BE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174A87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Dashboards displaying metrics trends, thresholds, and alert triggers.</w:t>
      </w:r>
    </w:p>
    <w:p w14:paraId="636EF1D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Logs of measurement activities with timestamps, personnel, and data inputs/outputs.</w:t>
      </w:r>
    </w:p>
    <w:p w14:paraId="3241539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Periodic risk measurement reports summarizing findings and risk level updates.</w:t>
      </w:r>
    </w:p>
    <w:p w14:paraId="0F30E3C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Risk tracking tools or repositories linking measurements to mitigation actions.</w:t>
      </w:r>
    </w:p>
    <w:p w14:paraId="619F494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6CABF3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Evidence of No New or Serious Risks and Risk Closure Criteria</w:t>
      </w:r>
    </w:p>
    <w:p w14:paraId="1B15C6E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and document criteria for declaring measurement completeness, confirming that all prioritized risks have been tested, tracked, and closed when severity diminishes or no new risks are identified—maintaining comprehensive records.</w:t>
      </w:r>
    </w:p>
    <w:p w14:paraId="2D7CF27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D6EE24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Completion checklists and formal approval records indicating measurement closure for prioritized risks.</w:t>
      </w:r>
    </w:p>
    <w:p w14:paraId="11EB7AD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review meeting minutes validating that no new or serious risks have emerged.</w:t>
      </w:r>
    </w:p>
    <w:p w14:paraId="11D5253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Assessment reports showing stability or reduction of risks post-measurement.</w:t>
      </w:r>
    </w:p>
    <w:p w14:paraId="39005F0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risk registers reflecting risk closure decisions with documented rationale.</w:t>
      </w:r>
    </w:p>
    <w:p w14:paraId="5E4B73E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FAA3A4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Review and Improvement of Metrics and Monitoring Approach</w:t>
      </w:r>
    </w:p>
    <w:p w14:paraId="1089F1E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review the effectiveness of selected metrics and measurement approaches, incorporate feedback, adjust as system or context changes, and document lessons learned for ongoing risk management refinement.</w:t>
      </w:r>
    </w:p>
    <w:p w14:paraId="17123BC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18B393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reports evaluating metric relevance, limitations, and data quality.</w:t>
      </w:r>
    </w:p>
    <w:p w14:paraId="451F1EF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feedback logs on measurement process effectiveness.</w:t>
      </w:r>
    </w:p>
    <w:p w14:paraId="55F2D83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Revisions to measurement and monitoring protocols, with change records and approval documentation.</w:t>
      </w:r>
    </w:p>
    <w:p w14:paraId="605DBFE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Metrics dashboards or reports demonstrating improved risk detection accuracy over time.</w:t>
      </w:r>
    </w:p>
    <w:p w14:paraId="0798A9F0"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06BC1091"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77D43CE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2430520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048201E8" w14:textId="77777777" w:rsidTr="005C00A5">
        <w:tc>
          <w:tcPr>
            <w:tcW w:w="1170" w:type="dxa"/>
          </w:tcPr>
          <w:p w14:paraId="6CC81C6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53F776C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5794DA2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08256A13" w14:textId="77777777" w:rsidTr="005C00A5">
        <w:tc>
          <w:tcPr>
            <w:tcW w:w="1170" w:type="dxa"/>
          </w:tcPr>
          <w:p w14:paraId="0A8FDEC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MS-1.1.2</w:t>
            </w:r>
          </w:p>
        </w:tc>
        <w:tc>
          <w:tcPr>
            <w:tcW w:w="2160" w:type="dxa"/>
          </w:tcPr>
          <w:p w14:paraId="4C6316D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Unmeasurable Risks and Rationale Documentation</w:t>
            </w:r>
          </w:p>
        </w:tc>
        <w:tc>
          <w:tcPr>
            <w:tcW w:w="6740" w:type="dxa"/>
          </w:tcPr>
          <w:p w14:paraId="106F408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identifies and documents AI risks and/or trustworthiness characteristics that cannot or will not be measured, along with the reasons for exclusion. Recognizing that some risks may be difficult to measure quantitatively, the organization also considers tracking these risks qualitatively to ensure they are acknowledged and monitored as appropriate.</w:t>
            </w:r>
          </w:p>
          <w:p w14:paraId="170BEE90" w14:textId="77777777" w:rsidR="00963E47" w:rsidRPr="00963E47" w:rsidRDefault="00963E47" w:rsidP="004C3837">
            <w:pPr>
              <w:keepNext/>
              <w:rPr>
                <w:rFonts w:ascii="Aptos" w:hAnsi="Aptos" w:cs="Times New Roman"/>
                <w:b/>
                <w:bCs/>
                <w:color w:val="000000"/>
                <w:sz w:val="20"/>
                <w:szCs w:val="20"/>
              </w:rPr>
            </w:pPr>
          </w:p>
          <w:p w14:paraId="3FCBCA87" w14:textId="77777777" w:rsidR="00963E47" w:rsidRPr="00963E47" w:rsidRDefault="00963E47" w:rsidP="004C3837">
            <w:pPr>
              <w:keepNext/>
              <w:rPr>
                <w:rFonts w:ascii="Aptos" w:hAnsi="Aptos" w:cs="Times New Roman"/>
                <w:b/>
                <w:bCs/>
                <w:color w:val="000000"/>
                <w:sz w:val="20"/>
                <w:szCs w:val="20"/>
              </w:rPr>
            </w:pPr>
            <w:hyperlink r:id="rId143" w:anchor="measure-1-1" w:history="1">
              <w:r w:rsidRPr="00963E47">
                <w:rPr>
                  <w:rFonts w:ascii="Aptos" w:hAnsi="Aptos" w:cs="Times New Roman"/>
                  <w:color w:val="000000"/>
                  <w:sz w:val="20"/>
                  <w:szCs w:val="20"/>
                  <w:u w:val="single"/>
                </w:rPr>
                <w:t>Link to NIST AI RMF Playbook</w:t>
              </w:r>
            </w:hyperlink>
          </w:p>
        </w:tc>
      </w:tr>
    </w:tbl>
    <w:p w14:paraId="1E6303E4"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7990304"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24158B58"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143A2A19" w14:textId="77777777" w:rsidTr="005C00A5">
        <w:trPr>
          <w:tblHeader/>
        </w:trPr>
        <w:tc>
          <w:tcPr>
            <w:tcW w:w="2160" w:type="dxa"/>
            <w:shd w:val="clear" w:color="auto" w:fill="CCDCDC"/>
            <w:vAlign w:val="center"/>
          </w:tcPr>
          <w:p w14:paraId="698F6F1B"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3EA64B3B"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0CA0E9E8"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4A6D96C3" w14:textId="77777777" w:rsidTr="005C00A5">
        <w:tc>
          <w:tcPr>
            <w:tcW w:w="2160" w:type="dxa"/>
            <w:shd w:val="clear" w:color="auto" w:fill="CCDCDC"/>
          </w:tcPr>
          <w:p w14:paraId="166DB92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0A63FBB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8BD1F7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1CE45299" w14:textId="77777777" w:rsidTr="005C00A5">
        <w:tc>
          <w:tcPr>
            <w:tcW w:w="2160" w:type="dxa"/>
            <w:shd w:val="clear" w:color="auto" w:fill="CCDCDC"/>
          </w:tcPr>
          <w:p w14:paraId="693D91F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7A1512A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57AA3A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minimal stage identify and document some AI risks and/or trustworthiness characteristics that cannot or will not be measured, along with reasons for the exclusion, although the documentation may not be comprehensive.</w:t>
            </w:r>
          </w:p>
        </w:tc>
      </w:tr>
      <w:tr w:rsidR="00963E47" w:rsidRPr="00963E47" w14:paraId="39F1C7FB" w14:textId="77777777" w:rsidTr="005C00A5">
        <w:tc>
          <w:tcPr>
            <w:tcW w:w="2160" w:type="dxa"/>
            <w:shd w:val="clear" w:color="auto" w:fill="CCDCDC"/>
          </w:tcPr>
          <w:p w14:paraId="7E417BC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3135F34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DC2EC5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consistently identify and document AI risks and/or trustworthiness characteristics that cannot or will not be measured, providing clear and comprehensive reasons for the exclusion.</w:t>
            </w:r>
          </w:p>
        </w:tc>
      </w:tr>
      <w:tr w:rsidR="00963E47" w:rsidRPr="00963E47" w14:paraId="7EE57B77" w14:textId="77777777" w:rsidTr="005C00A5">
        <w:tc>
          <w:tcPr>
            <w:tcW w:w="2160" w:type="dxa"/>
            <w:shd w:val="clear" w:color="auto" w:fill="CCDCDC"/>
          </w:tcPr>
          <w:p w14:paraId="0B91C42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721DAE3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7B1E68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Organizations at the embedded stage have advanced, automated processes for continuously identifying and documenting AI risks and/or trustworthiness characteristics that cannot or will not be </w:t>
            </w:r>
            <w:r w:rsidRPr="00963E47">
              <w:rPr>
                <w:rFonts w:ascii="Aptos" w:hAnsi="Aptos" w:cs="Times New Roman"/>
                <w:noProof/>
                <w:color w:val="auto"/>
                <w:sz w:val="20"/>
                <w:szCs w:val="20"/>
              </w:rPr>
              <w:lastRenderedPageBreak/>
              <w:t>measured, with real-time updates on reasons for exclusion based on data-driven insights. The documentation is seamlessly integrated into the organization's risk management framework, ensuring the highest level of transparency and accountability.</w:t>
            </w:r>
          </w:p>
        </w:tc>
      </w:tr>
    </w:tbl>
    <w:p w14:paraId="44BE8DE0"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5AFD6704" w14:textId="77777777" w:rsidTr="005C00A5">
        <w:tc>
          <w:tcPr>
            <w:tcW w:w="2250" w:type="dxa"/>
          </w:tcPr>
          <w:p w14:paraId="5D5597C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37AC791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6EAF6D3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34921E17" w14:textId="77777777" w:rsidTr="005C00A5">
        <w:tc>
          <w:tcPr>
            <w:tcW w:w="2250" w:type="dxa"/>
          </w:tcPr>
          <w:p w14:paraId="4665D97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4C55BD3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Undocumented Excluded Risks</w:t>
            </w:r>
          </w:p>
        </w:tc>
        <w:tc>
          <w:tcPr>
            <w:tcW w:w="5300" w:type="dxa"/>
          </w:tcPr>
          <w:p w14:paraId="1047FBC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risks excluded from measurement are undocumented and qualitative tracking is lacking</w:t>
            </w:r>
          </w:p>
        </w:tc>
      </w:tr>
    </w:tbl>
    <w:p w14:paraId="64991F5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1531A6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4C29A3A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479537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Identify AI risks and/or trustworthiness characteristics that cannot or will not be measured quantitatively due to technical limitations, resource constraints, or other factors. For risks that are difficult to quantify, establish qualitative tracking methods to document and monitor their potential impact and emergence over time.</w:t>
      </w:r>
    </w:p>
    <w:p w14:paraId="6D846687"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B5E48F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Engage relevant stakeholders (e.g., technical experts, risk management professionals, business leaders) to gather input on the identification and assessment of these risks and characteristics. Document the reasons for excluding certain risks from measurement, providing clear justifications based on factors like technical feasibility, resource availability, and organizational priorities.</w:t>
      </w:r>
    </w:p>
    <w:p w14:paraId="3B214827"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6D9CAA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a process for regularly reviewing and updating the list of excluded risks and characteristics to ensure it remains relevant and appropriate as the AI system and its context evolve. For further guidance on qualitative tracking approaches, refer to MEASURE 3.2.</w:t>
      </w:r>
    </w:p>
    <w:p w14:paraId="6C400AE8"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FEF66D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4E49D41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159A1C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Risks and Trustworthiness Characteristics Exclusion Log</w:t>
      </w:r>
    </w:p>
    <w:p w14:paraId="669F8CE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a documented register of AI risks and trustworthiness characteristics that are excluded from quantitative measurement, including detailed reasons for their exclusion and the context of their assessment.</w:t>
      </w:r>
    </w:p>
    <w:p w14:paraId="11ED7CA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ED4900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Exclusion log with entries specifying the risk/characteristic, reason for exclusion, and responsible owner.</w:t>
      </w:r>
    </w:p>
    <w:p w14:paraId="1BA52EB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Supporting analysis documents explaining measurement challenges or criteria for exclusion.</w:t>
      </w:r>
    </w:p>
    <w:p w14:paraId="2AFDC65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Periodic review records where excluded risks are reassessed for potential measurement options or changes in context.</w:t>
      </w:r>
    </w:p>
    <w:p w14:paraId="64B0049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Sign-off documentation from risk and technical owners on the exclusions.</w:t>
      </w:r>
    </w:p>
    <w:p w14:paraId="4FAC61F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337A73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Qualitative Monitoring Plan for Unmeasurable Risks</w:t>
      </w:r>
    </w:p>
    <w:p w14:paraId="291691F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and maintain a plan that defines qualitative indicators, review activities, and stakeholder inputs to monitor excluded risks/traits, ensuring ongoing recognition and oversight.</w:t>
      </w:r>
    </w:p>
    <w:p w14:paraId="61EA984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FE0DD0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Qualitative monitoring framework describing indicators, review frequency, and responsible parties.</w:t>
      </w:r>
    </w:p>
    <w:p w14:paraId="708CD57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and review logs documenting qualitative assessments and stakeholder discussions.</w:t>
      </w:r>
    </w:p>
    <w:p w14:paraId="65E7558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summarizing qualitative assessments, emerging concerns, and actions taken.</w:t>
      </w:r>
    </w:p>
    <w:p w14:paraId="76CA227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Methodologies, such as expert judgment, scenario analysis, or stakeholder interviews, documented and applied.</w:t>
      </w:r>
    </w:p>
    <w:p w14:paraId="439A29E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C46F6D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Justification and Rationale Documentation</w:t>
      </w:r>
    </w:p>
    <w:p w14:paraId="1977464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For every excluded risk or characteristic, document the specific reasons such as measurement complexity, data limitations, or contextual constraints, with rationale approved by relevant governance or risk committees.</w:t>
      </w:r>
    </w:p>
    <w:p w14:paraId="0FCF0A6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14CEBC4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decision memos or approval forms outlining reasons for exclusion.</w:t>
      </w:r>
    </w:p>
    <w:p w14:paraId="5A19C5B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Reference documents or risk assessment reports with explicit mention of measurement challenges or decision justifications.</w:t>
      </w:r>
    </w:p>
    <w:p w14:paraId="29C3A44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trails demonstrating periodic review of exclusion rationale.</w:t>
      </w:r>
    </w:p>
    <w:p w14:paraId="5180F4C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Linkages between exclusion rationale and organizational policies or standards.</w:t>
      </w:r>
    </w:p>
    <w:p w14:paraId="5B3A713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C165AC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Stakeholder Engagement and Feedback on Exclusions</w:t>
      </w:r>
    </w:p>
    <w:p w14:paraId="30A500D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Incorporate feedback from cross-functional stakeholders (e.g., domain experts, community representatives) regarding unmeasured risks or trustworthiness traits, and document their input and resultant actions.</w:t>
      </w:r>
    </w:p>
    <w:p w14:paraId="451E512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71D557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meeting records or interviews discussing unmeasured but acknowledged risks.</w:t>
      </w:r>
    </w:p>
    <w:p w14:paraId="7B63699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logs with documented concerns and responses related to unmeasurable characteristics.</w:t>
      </w:r>
    </w:p>
    <w:p w14:paraId="2FD7107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risk or trustworthiness registers reflecting stakeholder input or suggested measurement approaches.</w:t>
      </w:r>
    </w:p>
    <w:p w14:paraId="689F5EB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showing incorporation of stakeholder insights into ongoing monitoring activities.</w:t>
      </w:r>
    </w:p>
    <w:p w14:paraId="4500DF1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D7AEB3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Escalation and Review Process for Unmeasured Risks and Characteristics</w:t>
      </w:r>
    </w:p>
    <w:p w14:paraId="7F9F6F5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formal process for escalating concerns about unmeasured risks or trustworthiness traits, including periodic reviews, to ensure continued acknowledgment and appropriate oversight.</w:t>
      </w:r>
    </w:p>
    <w:p w14:paraId="227FDAF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E00E92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Escalation protocols and review schedules documented in governance policies.</w:t>
      </w:r>
    </w:p>
    <w:p w14:paraId="23FDAE2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and review records confirming discussions and decisions about unmeasurable risks or traits.</w:t>
      </w:r>
    </w:p>
    <w:p w14:paraId="560EC2F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Remediation or mitigation plans developed following recognition of high-impact unmeasured risks.</w:t>
      </w:r>
    </w:p>
    <w:p w14:paraId="0F5B664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Tracking logs demonstrating review cycles, updates, and action closure related to unmeasurable characteristics.</w:t>
      </w:r>
    </w:p>
    <w:p w14:paraId="406FDA75"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47" w:name="_Toc214874792"/>
      <w:r w:rsidRPr="00963E47">
        <w:rPr>
          <w:rFonts w:ascii="Aptos" w:eastAsia="Aptos" w:hAnsi="Aptos" w:cs="Times New Roman"/>
          <w:b/>
          <w:bCs/>
          <w:noProof/>
          <w:color w:val="35256B"/>
          <w:kern w:val="2"/>
          <w:sz w:val="24"/>
          <w14:ligatures w14:val="standardContextual"/>
        </w:rPr>
        <w:t>MEASURE / Methods and Metrics / Continuously Improving Measurement</w:t>
      </w:r>
      <w:bookmarkEnd w:id="47"/>
      <w:r w:rsidRPr="00963E47">
        <w:rPr>
          <w:rFonts w:ascii="Aptos" w:eastAsia="Aptos" w:hAnsi="Aptos" w:cs="Times New Roman"/>
          <w:b/>
          <w:bCs/>
          <w:noProof/>
          <w:color w:val="35256B"/>
          <w:kern w:val="2"/>
          <w:sz w:val="24"/>
          <w14:ligatures w14:val="standardContextual"/>
        </w:rPr>
        <w:t xml:space="preserve"> </w:t>
      </w:r>
    </w:p>
    <w:p w14:paraId="1E1C8F7A"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48B8EE0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79911B1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34DEA4D7" w14:textId="77777777" w:rsidTr="005C00A5">
        <w:tc>
          <w:tcPr>
            <w:tcW w:w="1170" w:type="dxa"/>
          </w:tcPr>
          <w:p w14:paraId="4EC8842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7D8223A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049DCD6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6CB873C4" w14:textId="77777777" w:rsidTr="005C00A5">
        <w:tc>
          <w:tcPr>
            <w:tcW w:w="1170" w:type="dxa"/>
          </w:tcPr>
          <w:p w14:paraId="5C66A89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MS-1.2.1</w:t>
            </w:r>
          </w:p>
        </w:tc>
        <w:tc>
          <w:tcPr>
            <w:tcW w:w="2160" w:type="dxa"/>
          </w:tcPr>
          <w:p w14:paraId="695DA20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Error and Incident Data Analysis</w:t>
            </w:r>
          </w:p>
        </w:tc>
        <w:tc>
          <w:tcPr>
            <w:tcW w:w="6740" w:type="dxa"/>
          </w:tcPr>
          <w:p w14:paraId="481EFC0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collects and analyzes error reports, incidents, and potential impacts associated with its AI systems, using this information to assess the effectiveness of existing risk controls and the validity of current metrics. Recognizing that metrics can be subject to issues such as calibration drift, bias, measurement uncertainty, and Goodhart's law, the organization regularly reviews whether the metrics remain meaningful and reliable in the evolving context.</w:t>
            </w:r>
          </w:p>
          <w:p w14:paraId="67B8806C" w14:textId="77777777" w:rsidR="00963E47" w:rsidRPr="00963E47" w:rsidRDefault="00963E47" w:rsidP="004C3837">
            <w:pPr>
              <w:keepNext/>
              <w:rPr>
                <w:rFonts w:ascii="Aptos" w:hAnsi="Aptos" w:cs="Times New Roman"/>
                <w:b/>
                <w:bCs/>
                <w:color w:val="000000"/>
                <w:sz w:val="20"/>
                <w:szCs w:val="20"/>
              </w:rPr>
            </w:pPr>
          </w:p>
          <w:p w14:paraId="2C23992F" w14:textId="77777777" w:rsidR="00963E47" w:rsidRPr="00963E47" w:rsidRDefault="00963E47" w:rsidP="004C3837">
            <w:pPr>
              <w:keepNext/>
              <w:rPr>
                <w:rFonts w:ascii="Aptos" w:hAnsi="Aptos" w:cs="Times New Roman"/>
                <w:b/>
                <w:bCs/>
                <w:color w:val="000000"/>
                <w:sz w:val="20"/>
                <w:szCs w:val="20"/>
              </w:rPr>
            </w:pPr>
            <w:hyperlink r:id="rId144" w:anchor="measure-1-2" w:history="1">
              <w:r w:rsidRPr="00963E47">
                <w:rPr>
                  <w:rFonts w:ascii="Aptos" w:hAnsi="Aptos" w:cs="Times New Roman"/>
                  <w:color w:val="000000"/>
                  <w:sz w:val="20"/>
                  <w:szCs w:val="20"/>
                  <w:u w:val="single"/>
                </w:rPr>
                <w:t>Link to NIST AI RMF Playbook</w:t>
              </w:r>
            </w:hyperlink>
          </w:p>
        </w:tc>
      </w:tr>
    </w:tbl>
    <w:p w14:paraId="7B3E2248"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9B61C92"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7A72BC9E"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79D9AB0E" w14:textId="77777777" w:rsidTr="005C00A5">
        <w:trPr>
          <w:tblHeader/>
        </w:trPr>
        <w:tc>
          <w:tcPr>
            <w:tcW w:w="2160" w:type="dxa"/>
            <w:shd w:val="clear" w:color="auto" w:fill="CCDCDC"/>
            <w:vAlign w:val="center"/>
          </w:tcPr>
          <w:p w14:paraId="1EBAE05A"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023DA65B"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12239361"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129EA268" w14:textId="77777777" w:rsidTr="005C00A5">
        <w:tc>
          <w:tcPr>
            <w:tcW w:w="2160" w:type="dxa"/>
            <w:shd w:val="clear" w:color="auto" w:fill="CCDCDC"/>
          </w:tcPr>
          <w:p w14:paraId="2E843F7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2284343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4D3F65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18201A1F" w14:textId="77777777" w:rsidTr="005C00A5">
        <w:tc>
          <w:tcPr>
            <w:tcW w:w="2160" w:type="dxa"/>
            <w:shd w:val="clear" w:color="auto" w:fill="CCDCDC"/>
          </w:tcPr>
          <w:p w14:paraId="6AC91CB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406057E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B18F94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begin collecting and analyzing error reports, incidents, and potential impacts associated with their limited AI systems to assess the effectiveness of existing risk controls and the validity of basic metrics. They begin to recognize that metrics can be subject to issues and start the process of regularly reviewing whether the metrics remain meaningful and reliable.</w:t>
            </w:r>
          </w:p>
        </w:tc>
      </w:tr>
      <w:tr w:rsidR="00963E47" w:rsidRPr="00963E47" w14:paraId="2763EE6B" w14:textId="77777777" w:rsidTr="005C00A5">
        <w:tc>
          <w:tcPr>
            <w:tcW w:w="2160" w:type="dxa"/>
            <w:shd w:val="clear" w:color="auto" w:fill="CCDCDC"/>
          </w:tcPr>
          <w:p w14:paraId="2296DE5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3: Evolving</w:t>
            </w:r>
          </w:p>
        </w:tc>
        <w:tc>
          <w:tcPr>
            <w:tcW w:w="1350" w:type="dxa"/>
          </w:tcPr>
          <w:p w14:paraId="10DDA47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1FAA3A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consistently collect and analyze error reports, incidents, and potential impacts associated with their AI systems, using this information to assess the effectiveness of existing risk controls, identify areas for improvement, and regularly review the appropriateness of AI metrics. Assessments consider changes in the AI system, its context of use, and the evolving risk landscape.</w:t>
            </w:r>
          </w:p>
        </w:tc>
      </w:tr>
      <w:tr w:rsidR="00963E47" w:rsidRPr="00963E47" w14:paraId="2E6A1BC4" w14:textId="77777777" w:rsidTr="005C00A5">
        <w:tc>
          <w:tcPr>
            <w:tcW w:w="2160" w:type="dxa"/>
            <w:shd w:val="clear" w:color="auto" w:fill="CCDCDC"/>
          </w:tcPr>
          <w:p w14:paraId="3FBE48A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01F6EB7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8B40D2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continuously collecting and analyzing error reports, incidents, and potential impacts associated with their AI systems in real-time, dynamically assessing the effectiveness of existing risk controls, identifying areas for improvement, and reviewing the appropriateness of AI metrics based on data-driven insights. These processes are seamlessly integrated into the organization's risk management framework, ensuring proactive optimization and adaptation to changes in the AI system, its context of use, and the evolving risk landscape.</w:t>
            </w:r>
          </w:p>
        </w:tc>
      </w:tr>
    </w:tbl>
    <w:p w14:paraId="37B80366"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1CBB23F4" w14:textId="77777777" w:rsidTr="005C00A5">
        <w:tc>
          <w:tcPr>
            <w:tcW w:w="2250" w:type="dxa"/>
          </w:tcPr>
          <w:p w14:paraId="296727B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756A574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0BA38F3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0726229E" w14:textId="77777777" w:rsidTr="005C00A5">
        <w:tc>
          <w:tcPr>
            <w:tcW w:w="2250" w:type="dxa"/>
          </w:tcPr>
          <w:p w14:paraId="525F06B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Valid &amp; Reliable</w:t>
            </w:r>
          </w:p>
        </w:tc>
        <w:tc>
          <w:tcPr>
            <w:tcW w:w="2520" w:type="dxa"/>
          </w:tcPr>
          <w:p w14:paraId="22920B8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Unvalidated Risk Metrics</w:t>
            </w:r>
          </w:p>
        </w:tc>
        <w:tc>
          <w:tcPr>
            <w:tcW w:w="5300" w:type="dxa"/>
          </w:tcPr>
          <w:p w14:paraId="57D0FA7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Error reports and incidents are not analyzed to validate risk metrics</w:t>
            </w:r>
          </w:p>
        </w:tc>
      </w:tr>
    </w:tbl>
    <w:p w14:paraId="5D0ACA6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202FA4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4748461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AB6BBF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processes and systems to collect and analyze error reports, incidents, and potential impacts related to the organization’s AI systems. Develop standardized templates and procedures to capture relevant information, including the nature of errors, their potential impacts, and the effectiveness of risk controls.</w:t>
      </w:r>
    </w:p>
    <w:p w14:paraId="0F553BF6"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3EA084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Pay particular attention to issues within the measurement process itself (e.g., calibration problems, bias, measurement uncertainty, and the risk of metrics becoming gamified or less meaningful due to Goodhart's law). To address these concerns, involve technical experts, impacted entities and stakeholders to understand whether metrics remain valid and aligned with real-world outcomes.</w:t>
      </w:r>
    </w:p>
    <w:p w14:paraId="544DA487"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41ADA31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Regularly review the collected data and assess the appropriateness of existing metrics, engaging technical experts, risk management professionals, and impacted communities to gain different perspectives. Use insights from these reviews to update and refine metrics, risk controls, and management strategies, ensuring they stay relevant and effective as the AI system and its environment evolve.</w:t>
      </w:r>
    </w:p>
    <w:p w14:paraId="3D5761BB"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C4D26B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16D3F86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CED55C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Error and Incident Reporting and Analysis Process</w:t>
      </w:r>
    </w:p>
    <w:p w14:paraId="1801267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a formal process to systematically collect, categorize, and analyze error reports, system incidents, and impact assessments, linking findings to existing risk controls and metrics for ongoing effectiveness evaluation.</w:t>
      </w:r>
    </w:p>
    <w:p w14:paraId="7F2C5A6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395C2D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and error logs with detailed descriptions, timestamps, and root cause analyses.</w:t>
      </w:r>
    </w:p>
    <w:p w14:paraId="03618C3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Analysis reports connecting incidents to specific metrics or controls, including effectiveness assessments.</w:t>
      </w:r>
    </w:p>
    <w:p w14:paraId="504C5A4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Corrective action records and follow-up reviews demonstrating how findings led to control improvements.</w:t>
      </w:r>
    </w:p>
    <w:p w14:paraId="1C30B9F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Periodic summaries showing trends, recurring issues, and areas needing attention.</w:t>
      </w:r>
    </w:p>
    <w:p w14:paraId="145A7CC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E721F3B"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Metrics Validity and Reliability Review Framework</w:t>
      </w:r>
    </w:p>
    <w:p w14:paraId="2B25101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structured review process to periodically evaluate the relevance, calibration, and reliability of metrics against observed incidents, errors, and stakeholder feedback, adjusting or replacing metrics as needed.</w:t>
      </w:r>
    </w:p>
    <w:p w14:paraId="47E6634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C7B3B0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and assessment reports evaluating metric relevance, bias, and calibration accuracy.</w:t>
      </w:r>
    </w:p>
    <w:p w14:paraId="4E93BFF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highlighting issues such as drift, bias, or measurement uncertainty identified during review.</w:t>
      </w:r>
    </w:p>
    <w:p w14:paraId="1538A43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Adjusted metrics, revised thresholds, or replaced measurement approaches with documented rationales.</w:t>
      </w:r>
    </w:p>
    <w:p w14:paraId="390106B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feedback/validation records confirming metric meaningfulness.</w:t>
      </w:r>
    </w:p>
    <w:p w14:paraId="776B2C1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5873C2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Calibration and Measurement Uncertainty Monitoring</w:t>
      </w:r>
    </w:p>
    <w:p w14:paraId="101AACC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ongoing calibration checks and measurement uncertainty assessments for key metrics, using control samples, benchmarks, and external data sources to detect drift or degradation over time.</w:t>
      </w:r>
    </w:p>
    <w:p w14:paraId="6A644D7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4FD17B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Chemistry or statistical control charts tracking metric stability over time.</w:t>
      </w:r>
    </w:p>
    <w:p w14:paraId="1C838B8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Calibration reports and validation datasets demonstrating ongoing measurement accuracy.</w:t>
      </w:r>
    </w:p>
    <w:p w14:paraId="7D8C1E1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recalibration activities or adjustments based on drift detection.</w:t>
      </w:r>
    </w:p>
    <w:p w14:paraId="036B621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Inclusion of measurement uncertainty estimates in reporting metrics and decision thresholds.</w:t>
      </w:r>
    </w:p>
    <w:p w14:paraId="499E475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823F00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Goodhart's Law and Bias Mitigation Measures</w:t>
      </w:r>
    </w:p>
    <w:p w14:paraId="75BB4BE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 the consideration of Goodhart’s law, recognizing that optimizing for specific metrics can distort system behavior, and implement mitigation strategies such as multi-metric approaches, adversarial testing, and stakeholder validation.</w:t>
      </w:r>
    </w:p>
    <w:p w14:paraId="2D5C9CB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4F4D53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Strategy documents describing multi-metric evaluation approaches and adversarial testing procedures.</w:t>
      </w:r>
    </w:p>
    <w:p w14:paraId="4FA5B7A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Recorded strikes or simulation exercises probing metric manipulation or unintended system behaviors.</w:t>
      </w:r>
    </w:p>
    <w:p w14:paraId="2382DBA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Analysis reports indicating metrics’ susceptibility to gaming or bias and corresponding mitigation actions.</w:t>
      </w:r>
    </w:p>
    <w:p w14:paraId="6E32788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Demonstrations of stakeholder review sessions validating that metrics still reflect real-world performance.</w:t>
      </w:r>
    </w:p>
    <w:p w14:paraId="2146B67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0D31B4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Improvement and Feedback Loop</w:t>
      </w:r>
    </w:p>
    <w:p w14:paraId="2DCAF63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insights from incident analysis and metric evaluations to update, replace, or refine metrics and control measures, ensuring continued relevance aligned with system evolution and stakeholder needs; document lessons learned and process adjustments.</w:t>
      </w:r>
    </w:p>
    <w:p w14:paraId="5E53AFD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B8E60A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documenting metric updates, criteria modifications, or control enhancements.</w:t>
      </w:r>
    </w:p>
    <w:p w14:paraId="301E45A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meeting minutes discussing lessons learned and decisions regarding metric adaptations.</w:t>
      </w:r>
    </w:p>
    <w:p w14:paraId="1461E0F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Onboarding and training updates incorporating lessons on metric limitations and new measurement strategies.</w:t>
      </w:r>
    </w:p>
    <w:p w14:paraId="0A01504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Periodic management review reports confirming ongoing assessment and adaptation efforts.</w:t>
      </w:r>
    </w:p>
    <w:p w14:paraId="6F70C19A"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48" w:name="_Toc214874793"/>
      <w:r w:rsidRPr="00963E47">
        <w:rPr>
          <w:rFonts w:ascii="Aptos" w:eastAsia="Aptos" w:hAnsi="Aptos" w:cs="Times New Roman"/>
          <w:b/>
          <w:bCs/>
          <w:noProof/>
          <w:color w:val="35256B"/>
          <w:kern w:val="2"/>
          <w:sz w:val="24"/>
          <w14:ligatures w14:val="standardContextual"/>
        </w:rPr>
        <w:lastRenderedPageBreak/>
        <w:t>MEASURE / Methods and Metrics / External Assessment of Measurement Approaches</w:t>
      </w:r>
      <w:bookmarkEnd w:id="48"/>
      <w:r w:rsidRPr="00963E47">
        <w:rPr>
          <w:rFonts w:ascii="Aptos" w:eastAsia="Aptos" w:hAnsi="Aptos" w:cs="Times New Roman"/>
          <w:b/>
          <w:bCs/>
          <w:noProof/>
          <w:color w:val="35256B"/>
          <w:kern w:val="2"/>
          <w:sz w:val="24"/>
          <w14:ligatures w14:val="standardContextual"/>
        </w:rPr>
        <w:t xml:space="preserve"> </w:t>
      </w:r>
    </w:p>
    <w:p w14:paraId="53C011AD"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0A7306D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79DB578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1AE900C1" w14:textId="77777777" w:rsidTr="005C00A5">
        <w:tc>
          <w:tcPr>
            <w:tcW w:w="1170" w:type="dxa"/>
          </w:tcPr>
          <w:p w14:paraId="6EB8B61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3F2DB20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57134FC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32E9A023" w14:textId="77777777" w:rsidTr="005C00A5">
        <w:tc>
          <w:tcPr>
            <w:tcW w:w="1170" w:type="dxa"/>
          </w:tcPr>
          <w:p w14:paraId="77CEB61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MS-1.3.1</w:t>
            </w:r>
          </w:p>
        </w:tc>
        <w:tc>
          <w:tcPr>
            <w:tcW w:w="2160" w:type="dxa"/>
          </w:tcPr>
          <w:p w14:paraId="502B8EB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Independent Expert Evaluation and Stakeholder Consultation</w:t>
            </w:r>
          </w:p>
        </w:tc>
        <w:tc>
          <w:tcPr>
            <w:tcW w:w="6740" w:type="dxa"/>
          </w:tcPr>
          <w:p w14:paraId="320F6CC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involves internal experts (external to front-line development) and independent assessors, including robust testing functions, in the regular assessment and updating of AI metrics and risk controls. Concurrently, it determines the need for consultation with domain experts, users, AI stakeholders external to the development team, and affected communities, based on risk appetite. This approach leverages multidisciplinary, unbiased insights to ensure a comprehensive understanding of potential impacts and the adequacy of risk management measures.</w:t>
            </w:r>
          </w:p>
          <w:p w14:paraId="14CD0E20" w14:textId="77777777" w:rsidR="00963E47" w:rsidRPr="00963E47" w:rsidRDefault="00963E47" w:rsidP="004C3837">
            <w:pPr>
              <w:keepNext/>
              <w:rPr>
                <w:rFonts w:ascii="Aptos" w:hAnsi="Aptos" w:cs="Times New Roman"/>
                <w:b/>
                <w:bCs/>
                <w:color w:val="000000"/>
                <w:sz w:val="20"/>
                <w:szCs w:val="20"/>
              </w:rPr>
            </w:pPr>
          </w:p>
          <w:p w14:paraId="19A39075" w14:textId="77777777" w:rsidR="00963E47" w:rsidRPr="00963E47" w:rsidRDefault="00963E47" w:rsidP="004C3837">
            <w:pPr>
              <w:keepNext/>
              <w:rPr>
                <w:rFonts w:ascii="Aptos" w:hAnsi="Aptos" w:cs="Times New Roman"/>
                <w:b/>
                <w:bCs/>
                <w:color w:val="000000"/>
                <w:sz w:val="20"/>
                <w:szCs w:val="20"/>
              </w:rPr>
            </w:pPr>
            <w:hyperlink r:id="rId145" w:anchor="measure-1-3" w:history="1">
              <w:r w:rsidRPr="00963E47">
                <w:rPr>
                  <w:rFonts w:ascii="Aptos" w:hAnsi="Aptos" w:cs="Times New Roman"/>
                  <w:color w:val="000000"/>
                  <w:sz w:val="20"/>
                  <w:szCs w:val="20"/>
                  <w:u w:val="single"/>
                </w:rPr>
                <w:t>Link to NIST AI RMF Playbook</w:t>
              </w:r>
            </w:hyperlink>
          </w:p>
        </w:tc>
      </w:tr>
    </w:tbl>
    <w:p w14:paraId="47B12B11"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2CE0889"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652A560B"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2C902297" w14:textId="77777777" w:rsidTr="005C00A5">
        <w:trPr>
          <w:tblHeader/>
        </w:trPr>
        <w:tc>
          <w:tcPr>
            <w:tcW w:w="2160" w:type="dxa"/>
            <w:shd w:val="clear" w:color="auto" w:fill="CCDCDC"/>
            <w:vAlign w:val="center"/>
          </w:tcPr>
          <w:p w14:paraId="2433E1F4"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75700E13"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66D8F732"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54E83644" w14:textId="77777777" w:rsidTr="005C00A5">
        <w:tc>
          <w:tcPr>
            <w:tcW w:w="2160" w:type="dxa"/>
            <w:shd w:val="clear" w:color="auto" w:fill="CCDCDC"/>
          </w:tcPr>
          <w:p w14:paraId="308BC42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7CF03EE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7AA8CC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initial stage begin the foundational process of involving internal experts (separate from the development team) and/or independent assessors in the basic assessment of AI metrics and risk controls.</w:t>
            </w:r>
          </w:p>
        </w:tc>
      </w:tr>
      <w:tr w:rsidR="00963E47" w:rsidRPr="00963E47" w14:paraId="0A8625E0" w14:textId="77777777" w:rsidTr="005C00A5">
        <w:tc>
          <w:tcPr>
            <w:tcW w:w="2160" w:type="dxa"/>
            <w:shd w:val="clear" w:color="auto" w:fill="CCDCDC"/>
          </w:tcPr>
          <w:p w14:paraId="6B76A57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41B6D37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DDB8B9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more formally involve internal experts and/or independent assessors in the assessment and update AI metrics and risk controls for their limited AI applications. This includes engaging a broader range of domain experts and users to gather multidisciplinary perspectives on the appropriateness and effectiveness of these controls.</w:t>
            </w:r>
          </w:p>
        </w:tc>
      </w:tr>
      <w:tr w:rsidR="00963E47" w:rsidRPr="00963E47" w14:paraId="141276DF" w14:textId="77777777" w:rsidTr="005C00A5">
        <w:tc>
          <w:tcPr>
            <w:tcW w:w="2160" w:type="dxa"/>
            <w:shd w:val="clear" w:color="auto" w:fill="CCDCDC"/>
          </w:tcPr>
          <w:p w14:paraId="5767C0F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4261AAB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7DF7ED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consistently involve internal experts who were not part of the front-line development team and/or independent assessors in the regular assessment and updating of AI metrics and risk controls, leveraging their insights for an unbiased evaluation. This includes engaging domain experts, users, and other relevant AI stakeholders external to the development and deployment team to gather multidisciplinary perspectives on the appropriateness and effectiveness of AI metrics and risk controls.</w:t>
            </w:r>
          </w:p>
        </w:tc>
      </w:tr>
      <w:tr w:rsidR="00963E47" w:rsidRPr="00963E47" w14:paraId="42A056E8" w14:textId="77777777" w:rsidTr="005C00A5">
        <w:tc>
          <w:tcPr>
            <w:tcW w:w="2160" w:type="dxa"/>
            <w:shd w:val="clear" w:color="auto" w:fill="CCDCDC"/>
          </w:tcPr>
          <w:p w14:paraId="2366FE4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413615F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2F6016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seamlessly involving internal experts who were not part of the front-line development team and/or independent assessors in the continuous assessment and updating of AI metrics and risk controls, with real-time leveraging of their insights for an unbiased evaluation based on data-driven insights. The engagement of domain experts, users, and other relevant AI stakeholders external to the development and deployment team is deeply integrated into these processes, ensuring the highest level of multidisciplinary perspectives, appropriateness, and effectiveness of AI metrics and risk controls.</w:t>
            </w:r>
          </w:p>
        </w:tc>
      </w:tr>
    </w:tbl>
    <w:p w14:paraId="1C32EC9B"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4A03922F" w14:textId="77777777" w:rsidTr="005C00A5">
        <w:tc>
          <w:tcPr>
            <w:tcW w:w="2250" w:type="dxa"/>
          </w:tcPr>
          <w:p w14:paraId="68ABC67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lastRenderedPageBreak/>
              <w:t>AI Principle</w:t>
            </w:r>
          </w:p>
        </w:tc>
        <w:tc>
          <w:tcPr>
            <w:tcW w:w="2520" w:type="dxa"/>
          </w:tcPr>
          <w:p w14:paraId="20EA442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5645ACD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4B5DD771" w14:textId="77777777" w:rsidTr="005C00A5">
        <w:tc>
          <w:tcPr>
            <w:tcW w:w="2250" w:type="dxa"/>
          </w:tcPr>
          <w:p w14:paraId="060C012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Explainable &amp; Interpretable</w:t>
            </w:r>
          </w:p>
        </w:tc>
        <w:tc>
          <w:tcPr>
            <w:tcW w:w="2520" w:type="dxa"/>
          </w:tcPr>
          <w:p w14:paraId="1593D94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Inadequate Independent Review and Stakeholder Consultation</w:t>
            </w:r>
          </w:p>
        </w:tc>
        <w:tc>
          <w:tcPr>
            <w:tcW w:w="5300" w:type="dxa"/>
          </w:tcPr>
          <w:p w14:paraId="6402680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Independent experts are not involved in AI metrics and risk controls, or stakeholder consultation is insufficient</w:t>
            </w:r>
          </w:p>
        </w:tc>
      </w:tr>
    </w:tbl>
    <w:p w14:paraId="6A1EF06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FF97DE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615FE2A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68620E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Identify and engage internal experts (e.g., risk management, legal, compliance, independent testing functions) who were not part of the front-line development team, to participate in the regular assessment and updating of AI metrics and risk controls. Establish processes for involving independent assessors, such as third-party auditors or dedicated testing units with clear authority and independence, defining clear selection criteria based on expertise, reputation, and independence.</w:t>
      </w:r>
    </w:p>
    <w:p w14:paraId="52A99676"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4EFE047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Determine the need for consultation with domain experts, users, AI stakeholders external to the development and deployment team, and affected communities during assessments, aligning with the organization's risk appetite and tolerance. Identify specific stakeholder groups based on the AI system's nature, potential impact, and risk management priorities.</w:t>
      </w:r>
    </w:p>
    <w:p w14:paraId="01FDE34F"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406094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 comprehensive framework for collaboration among internal experts, independent assessors, and the AI development/deployment team. Concurrently, create stakeholder engagement plans outlining methods and frequency of consultation, considering system complexity, potential adverse impacts, and stakeholder interest. Establish clear communication channels and feedback mechanisms to effectively capture and incorporate all expert and stakeholder input into the assessment process.</w:t>
      </w:r>
    </w:p>
    <w:p w14:paraId="769E5F0D"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4B1756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16F15BD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45C164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Independent Expert Assessment of AI Metrics</w:t>
      </w:r>
    </w:p>
    <w:p w14:paraId="1BCF61D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Engage independent experts to conduct regular evaluations of AI performance metrics and risk controls, ensuring objectivity and adherence to industry best practices in risk management.</w:t>
      </w:r>
    </w:p>
    <w:p w14:paraId="7DE9F40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342EEA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detailing the findings from independent assessments of AI metrics.</w:t>
      </w:r>
    </w:p>
    <w:p w14:paraId="09CB701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metrics evaluated, including historical comparisons and performance trends.</w:t>
      </w:r>
    </w:p>
    <w:p w14:paraId="5C97E4E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expert qualifications, including credentials and areas of expertise.</w:t>
      </w:r>
    </w:p>
    <w:p w14:paraId="4A34E40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plans developed in response to expert recommendations, including implementation timelines.</w:t>
      </w:r>
    </w:p>
    <w:p w14:paraId="6A1DD622"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5ACC98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Stakeholder Consultation Framework</w:t>
      </w:r>
    </w:p>
    <w:p w14:paraId="20BBADC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framework for consulting with stakeholders, including domain experts, users, and affected communities, to gather insights and feedback on AI system performance and associated risks.</w:t>
      </w:r>
    </w:p>
    <w:p w14:paraId="5B05DF6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B57D91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Consultation plans that outline stakeholder engagement strategies and timelines.</w:t>
      </w:r>
    </w:p>
    <w:p w14:paraId="4430386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Minutes or summaries of meetings held with stakeholders detailing discussions and insights.</w:t>
      </w:r>
    </w:p>
    <w:p w14:paraId="08F164C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surveys distributed to stakeholders, including analysis of responses received.</w:t>
      </w:r>
    </w:p>
    <w:p w14:paraId="2FB2C13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how stakeholder feedback influenced risk management decisions or practices.</w:t>
      </w:r>
    </w:p>
    <w:p w14:paraId="77AC106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EFF52E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Comprehensive Risk Assessment Processes</w:t>
      </w:r>
    </w:p>
    <w:p w14:paraId="441C6D5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robust risk assessment processes that involve multidisciplinary teams, including both internal experts and independent assessors, to evaluate potential impacts and effectiveness of existing risk controls.</w:t>
      </w:r>
    </w:p>
    <w:p w14:paraId="119C75E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A63249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assessment reports generated from team evaluations, including methodologies used.</w:t>
      </w:r>
    </w:p>
    <w:p w14:paraId="087E6A6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matrix or dashboard tracking identified risks versus implemented controls.</w:t>
      </w:r>
    </w:p>
    <w:p w14:paraId="74C4ACD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team composition, including roles and expertise areas represented in assessments.</w:t>
      </w:r>
    </w:p>
    <w:p w14:paraId="3827692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Follow-up actions taken based on assessment results, with corresponding documentation.</w:t>
      </w:r>
    </w:p>
    <w:p w14:paraId="5AF9EE1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12F919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Training and Development for Expert Evaluators</w:t>
      </w:r>
    </w:p>
    <w:p w14:paraId="58F03DC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Provide ongoing training and professional development for internal experts to ensure they remain knowledgeable about the latest trends, challenges, and best practices in AI risk management and assessment.</w:t>
      </w:r>
    </w:p>
    <w:p w14:paraId="137E7D1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691C2F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materials and agendas used in professional development sessions for experts.</w:t>
      </w:r>
    </w:p>
    <w:p w14:paraId="50F1F90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Attendance records showing participation in training programs and workshops.</w:t>
      </w:r>
    </w:p>
    <w:p w14:paraId="6DEBD72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participants regarding the relevance and effectiveness of training provided.</w:t>
      </w:r>
    </w:p>
    <w:p w14:paraId="0BAA3AA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Certifications or qualifications obtained by internal experts through completed training.</w:t>
      </w:r>
    </w:p>
    <w:p w14:paraId="1C97FA5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D6BE33B"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and Review of Consultation Outcomes</w:t>
      </w:r>
    </w:p>
    <w:p w14:paraId="7EF8F91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comprehensive documentation of all stakeholder consultations and expert evaluations, regularly reviewing outcomes to enhance risk management practices and adapt to evolving contexts.</w:t>
      </w:r>
    </w:p>
    <w:p w14:paraId="3077E89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32242B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Comprehensive records of consultation sessions, including participant lists and discussion points.</w:t>
      </w:r>
    </w:p>
    <w:p w14:paraId="5466553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Evaluation reports summarizing the integration of stakeholder input into AI system design or risk management.</w:t>
      </w:r>
    </w:p>
    <w:p w14:paraId="74E0576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that detail modifications made to risk controls based on expert and stakeholder feedback.</w:t>
      </w:r>
    </w:p>
    <w:p w14:paraId="5D8515C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Reviews conducted on the effectiveness of consultation processes, including actions taken to address identified gaps.</w:t>
      </w:r>
    </w:p>
    <w:p w14:paraId="55A06E25"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49" w:name="_Toc214874794"/>
      <w:r w:rsidRPr="00963E47">
        <w:rPr>
          <w:rFonts w:ascii="Aptos" w:eastAsia="Aptos" w:hAnsi="Aptos" w:cs="Times New Roman"/>
          <w:b/>
          <w:bCs/>
          <w:noProof/>
          <w:color w:val="35256B"/>
          <w:kern w:val="2"/>
          <w:sz w:val="24"/>
          <w14:ligatures w14:val="standardContextual"/>
        </w:rPr>
        <w:t>MEASURE / Evaluating AI Systems / Documenting Measurement Approaches</w:t>
      </w:r>
      <w:bookmarkEnd w:id="49"/>
      <w:r w:rsidRPr="00963E47">
        <w:rPr>
          <w:rFonts w:ascii="Aptos" w:eastAsia="Aptos" w:hAnsi="Aptos" w:cs="Times New Roman"/>
          <w:b/>
          <w:bCs/>
          <w:noProof/>
          <w:color w:val="35256B"/>
          <w:kern w:val="2"/>
          <w:sz w:val="24"/>
          <w14:ligatures w14:val="standardContextual"/>
        </w:rPr>
        <w:t xml:space="preserve"> </w:t>
      </w:r>
    </w:p>
    <w:p w14:paraId="06AE63E7"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6B3B3BF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5A77F1D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13BEC40B" w14:textId="77777777" w:rsidTr="005C00A5">
        <w:tc>
          <w:tcPr>
            <w:tcW w:w="1170" w:type="dxa"/>
          </w:tcPr>
          <w:p w14:paraId="46854B5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02A78BE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70AF64E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287BBD78" w14:textId="77777777" w:rsidTr="005C00A5">
        <w:tc>
          <w:tcPr>
            <w:tcW w:w="1170" w:type="dxa"/>
          </w:tcPr>
          <w:p w14:paraId="1873A78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MS-2.1.1</w:t>
            </w:r>
          </w:p>
        </w:tc>
        <w:tc>
          <w:tcPr>
            <w:tcW w:w="2160" w:type="dxa"/>
          </w:tcPr>
          <w:p w14:paraId="27EF7FA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TEVV Test Data and Metrics Documentation</w:t>
            </w:r>
          </w:p>
        </w:tc>
        <w:tc>
          <w:tcPr>
            <w:tcW w:w="6740" w:type="dxa"/>
          </w:tcPr>
          <w:p w14:paraId="29FFE7D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documents test sets and metrics used during the testing, evaluation, verification, and validation (TEVV) of its AI systems. The documentation includes relevant information on test sets, such as data sources, preparation techniques, data splits (e.g., training, validation, and testing), and identified constraints or limitations. Metrics are documented with clear definitions, formulas, and rationale, along with any assumptions and limitations.</w:t>
            </w:r>
          </w:p>
          <w:p w14:paraId="596D8D86" w14:textId="77777777" w:rsidR="00963E47" w:rsidRPr="00963E47" w:rsidRDefault="00963E47" w:rsidP="004C3837">
            <w:pPr>
              <w:keepNext/>
              <w:rPr>
                <w:rFonts w:ascii="Aptos" w:hAnsi="Aptos" w:cs="Times New Roman"/>
                <w:b/>
                <w:bCs/>
                <w:color w:val="000000"/>
                <w:sz w:val="20"/>
                <w:szCs w:val="20"/>
              </w:rPr>
            </w:pPr>
          </w:p>
          <w:p w14:paraId="5ADB41E4" w14:textId="77777777" w:rsidR="00963E47" w:rsidRPr="00963E47" w:rsidRDefault="00963E47" w:rsidP="004C3837">
            <w:pPr>
              <w:keepNext/>
              <w:rPr>
                <w:rFonts w:ascii="Aptos" w:hAnsi="Aptos" w:cs="Times New Roman"/>
                <w:b/>
                <w:bCs/>
                <w:color w:val="000000"/>
                <w:sz w:val="20"/>
                <w:szCs w:val="20"/>
              </w:rPr>
            </w:pPr>
            <w:hyperlink r:id="rId146" w:anchor="measure-2-1" w:history="1">
              <w:r w:rsidRPr="00963E47">
                <w:rPr>
                  <w:rFonts w:ascii="Aptos" w:hAnsi="Aptos" w:cs="Times New Roman"/>
                  <w:color w:val="000000"/>
                  <w:sz w:val="20"/>
                  <w:szCs w:val="20"/>
                  <w:u w:val="single"/>
                </w:rPr>
                <w:t>Link to NIST AI RMF Playbook</w:t>
              </w:r>
            </w:hyperlink>
          </w:p>
        </w:tc>
      </w:tr>
    </w:tbl>
    <w:p w14:paraId="2E205ED0"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AE23093"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426E372B"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532FCFE7" w14:textId="77777777" w:rsidTr="005C00A5">
        <w:trPr>
          <w:tblHeader/>
        </w:trPr>
        <w:tc>
          <w:tcPr>
            <w:tcW w:w="2160" w:type="dxa"/>
            <w:shd w:val="clear" w:color="auto" w:fill="CCDCDC"/>
            <w:vAlign w:val="center"/>
          </w:tcPr>
          <w:p w14:paraId="19473634"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5BF72A9A"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342A3B40"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6C40AAA4" w14:textId="77777777" w:rsidTr="005C00A5">
        <w:tc>
          <w:tcPr>
            <w:tcW w:w="2160" w:type="dxa"/>
            <w:shd w:val="clear" w:color="auto" w:fill="CCDCDC"/>
          </w:tcPr>
          <w:p w14:paraId="6C47BFF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179C218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5BBFE85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D83E35A" w14:textId="77777777" w:rsidTr="005C00A5">
        <w:tc>
          <w:tcPr>
            <w:tcW w:w="2160" w:type="dxa"/>
            <w:shd w:val="clear" w:color="auto" w:fill="CCDCDC"/>
          </w:tcPr>
          <w:p w14:paraId="07DF446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1B4FC96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EEE782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minimal stage document test sets, metrics, and tools used during the TEVV of their AI systems, including some relevant information on test sets, metrics, and acknowledged assumptions, limitations, or potential biases, although the documentation may not be comprehensive.</w:t>
            </w:r>
          </w:p>
        </w:tc>
      </w:tr>
      <w:tr w:rsidR="00963E47" w:rsidRPr="00963E47" w14:paraId="4B9AF8CE" w14:textId="77777777" w:rsidTr="005C00A5">
        <w:tc>
          <w:tcPr>
            <w:tcW w:w="2160" w:type="dxa"/>
            <w:shd w:val="clear" w:color="auto" w:fill="CCDCDC"/>
          </w:tcPr>
          <w:p w14:paraId="47B5F19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2A01743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4D507D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comprehensively document test sets, metrics, and tools used during the TEVV of their AI systems, including detailed information on test sets, metrics, and acknowledged assumptions, limitations, or potential biases. The documentation is well-structured, regularly updated, and easily accessible to relevant stakeholders.</w:t>
            </w:r>
          </w:p>
        </w:tc>
      </w:tr>
      <w:tr w:rsidR="00963E47" w:rsidRPr="00963E47" w14:paraId="143B38A9" w14:textId="77777777" w:rsidTr="005C00A5">
        <w:tc>
          <w:tcPr>
            <w:tcW w:w="2160" w:type="dxa"/>
            <w:shd w:val="clear" w:color="auto" w:fill="CCDCDC"/>
          </w:tcPr>
          <w:p w14:paraId="1347E30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4: Embedded</w:t>
            </w:r>
          </w:p>
        </w:tc>
        <w:tc>
          <w:tcPr>
            <w:tcW w:w="1350" w:type="dxa"/>
          </w:tcPr>
          <w:p w14:paraId="47DD8ED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9BD74E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continuously documenting test sets, metrics, and tools used during the TEVV of their AI systems in real-time, with comprehensive information on test sets, metrics, and acknowledged assumptions, limitations, or potential biases dynamically updated based on data-driven insights. The documentation is seamlessly integrated into the organization's knowledge management systems, ensuring the highest level of transparency, accessibility, and continuous improvement.</w:t>
            </w:r>
          </w:p>
        </w:tc>
      </w:tr>
    </w:tbl>
    <w:p w14:paraId="3EF96457"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7653F14E" w14:textId="77777777" w:rsidTr="005C00A5">
        <w:tc>
          <w:tcPr>
            <w:tcW w:w="2250" w:type="dxa"/>
          </w:tcPr>
          <w:p w14:paraId="008B393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781FDEF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79BA2CC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54E53E33" w14:textId="77777777" w:rsidTr="005C00A5">
        <w:tc>
          <w:tcPr>
            <w:tcW w:w="2250" w:type="dxa"/>
          </w:tcPr>
          <w:p w14:paraId="0D5D2DA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Explainable &amp; Interpretable</w:t>
            </w:r>
          </w:p>
        </w:tc>
        <w:tc>
          <w:tcPr>
            <w:tcW w:w="2520" w:type="dxa"/>
          </w:tcPr>
          <w:p w14:paraId="4AAD444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Incomplete Test Documentation</w:t>
            </w:r>
          </w:p>
        </w:tc>
        <w:tc>
          <w:tcPr>
            <w:tcW w:w="5300" w:type="dxa"/>
          </w:tcPr>
          <w:p w14:paraId="7421EF4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Documentation of test sets and metrics is incomplete or lacking</w:t>
            </w:r>
          </w:p>
        </w:tc>
      </w:tr>
    </w:tbl>
    <w:p w14:paraId="7990086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59F94D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761DB6C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CF9AC6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a standardized process for documenting test sets and metrics used during the testing, evaluation, verification, and validation (TEVV) of AI systems. Develop templates or guidelines that specify the required information to be captured, such as data sources, preparation techniques, data splits, and identified constraints or limitations for test sets.</w:t>
      </w:r>
    </w:p>
    <w:p w14:paraId="41571F84"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4660E4C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Define a consistent format for documenting metrics, including clear definitions, formulas, and rationale, along with acknowledged assumptions, limitations, or potential biases. Assign responsibility for maintaining and updating this documentation to designated individuals or teams, and establish a review process to ensure accuracy and completeness.</w:t>
      </w:r>
    </w:p>
    <w:p w14:paraId="0E36116C"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B470F4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00214B9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85CC56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Comprehensive Documentation of Test Sets</w:t>
      </w:r>
    </w:p>
    <w:p w14:paraId="3A0ED8F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detailed documentation of all test sets used during the TEVV processes, including information on data sources, preparation techniques, data splits, and any identified constraints or limitations.</w:t>
      </w:r>
    </w:p>
    <w:p w14:paraId="66A55E6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124C64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 set documentation including data source citations and preparation details.</w:t>
      </w:r>
    </w:p>
    <w:p w14:paraId="2AD7789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data splits, including quantities for training, validation, and testing sets.</w:t>
      </w:r>
    </w:p>
    <w:p w14:paraId="273A412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Limitations and constraints reports related to each test set, identifying potential impacts on outcomes.</w:t>
      </w:r>
    </w:p>
    <w:p w14:paraId="00E2382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 control logs showing updates made to test set documentation.</w:t>
      </w:r>
    </w:p>
    <w:p w14:paraId="019118D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672E6CB"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Metric Definition and Rationale Documentation</w:t>
      </w:r>
    </w:p>
    <w:p w14:paraId="710CD44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 all metrics utilized during the TEVV processes, providing clear definitions, formulas, and the rationale for their selection, including assumptions and limitations related to their use.</w:t>
      </w:r>
    </w:p>
    <w:p w14:paraId="14392AF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032515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Metric reference guides that include definitions, formulas, and applicability contexts.</w:t>
      </w:r>
    </w:p>
    <w:p w14:paraId="55669FD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selection criteria used to choose specific metrics for evaluation.</w:t>
      </w:r>
    </w:p>
    <w:p w14:paraId="5D0EC80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stakeholder reviews of metric definitions and rationales, including feedback provided.</w:t>
      </w:r>
    </w:p>
    <w:p w14:paraId="1B1DAFD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Revision logs indicating changes made to metric documentation and the reasoning behind them.</w:t>
      </w:r>
    </w:p>
    <w:p w14:paraId="5CEF43B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204917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Testing Tools and Environment Configuration</w:t>
      </w:r>
    </w:p>
    <w:p w14:paraId="644CD2C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 the tools and environments used during the testing, evaluation, verification, and validation of AI systems, outlining configurations and settings relevant to the TEVV processes.</w:t>
      </w:r>
    </w:p>
    <w:p w14:paraId="723FDD2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1713595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Configuration documentation detailing software and hardware settings used during testing.</w:t>
      </w:r>
    </w:p>
    <w:p w14:paraId="5C56248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Logs of testing tool versions and updates applied throughout the testing lifecycle.</w:t>
      </w:r>
    </w:p>
    <w:p w14:paraId="6FC55B4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 environment specifications, including data storage, computational resources, and dependencies.</w:t>
      </w:r>
    </w:p>
    <w:p w14:paraId="014B06F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tool evaluations or validations to ensure they meet intended testing requirements.</w:t>
      </w:r>
    </w:p>
    <w:p w14:paraId="3656DB5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D28850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Process for Data Preparation and Cleaning</w:t>
      </w:r>
    </w:p>
    <w:p w14:paraId="5683166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 the processes employed for data preparation and cleaning before testing, including techniques used, transformation methods, and any challenges encountered.</w:t>
      </w:r>
    </w:p>
    <w:p w14:paraId="7DFE8F1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9C3FE8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preparation protocols that outline steps taken to clean and prepare data.</w:t>
      </w:r>
    </w:p>
    <w:p w14:paraId="5F08827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Transformation logs detailing specific changes made to the original data set.</w:t>
      </w:r>
    </w:p>
    <w:p w14:paraId="64811D7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on challenges faced during data preparation and solutions implemented.</w:t>
      </w:r>
    </w:p>
    <w:p w14:paraId="4855289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Validation reports indicating that prepared data meets quality benchmarks for testing.</w:t>
      </w:r>
    </w:p>
    <w:p w14:paraId="0602FD1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BB3A20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Review of TEVV Documentation</w:t>
      </w:r>
    </w:p>
    <w:p w14:paraId="755C0ED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periodic reviews of TEVV documentation to ensure completeness, accuracy, and relevance, making updates as necessary to reflect current practices and findings.</w:t>
      </w:r>
    </w:p>
    <w:p w14:paraId="67B1D9D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D00076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Scheduled review records showing timelines and participants involved in documentation assessments.</w:t>
      </w:r>
    </w:p>
    <w:p w14:paraId="752971A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documentation reflecting revisions made based on review findings.</w:t>
      </w:r>
    </w:p>
    <w:p w14:paraId="51FB09E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forms from reviewers assessing the clarity and completeness of TEVV documentation.</w:t>
      </w:r>
    </w:p>
    <w:p w14:paraId="26B8FB0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trails showing historical changes and the reasoning behind updates.</w:t>
      </w:r>
    </w:p>
    <w:p w14:paraId="21840AC6"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619E1ABB"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097458B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4F7D3E9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31D35F9C" w14:textId="77777777" w:rsidTr="005C00A5">
        <w:tc>
          <w:tcPr>
            <w:tcW w:w="1170" w:type="dxa"/>
          </w:tcPr>
          <w:p w14:paraId="12D6672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4640A75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395FF8A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3669C17A" w14:textId="77777777" w:rsidTr="005C00A5">
        <w:tc>
          <w:tcPr>
            <w:tcW w:w="1170" w:type="dxa"/>
          </w:tcPr>
          <w:p w14:paraId="1507B2F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MS-2.1.2</w:t>
            </w:r>
          </w:p>
        </w:tc>
        <w:tc>
          <w:tcPr>
            <w:tcW w:w="2160" w:type="dxa"/>
          </w:tcPr>
          <w:p w14:paraId="6368CE7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2. TEVV Tools and Configuration Documentation</w:t>
            </w:r>
          </w:p>
        </w:tc>
        <w:tc>
          <w:tcPr>
            <w:tcW w:w="6740" w:type="dxa"/>
          </w:tcPr>
          <w:p w14:paraId="46C6BD2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documentation of tools used during TEVV includes details on the software packages, libraries, frameworks, and hardware components employed, specifying their versions, configurations, and implemented customizations. The organization confirms that the tools and their configurations are appropriate for the specific AI system and its intended use case.</w:t>
            </w:r>
          </w:p>
          <w:p w14:paraId="51531A91" w14:textId="77777777" w:rsidR="00963E47" w:rsidRPr="00963E47" w:rsidRDefault="00963E47" w:rsidP="004C3837">
            <w:pPr>
              <w:keepNext/>
              <w:rPr>
                <w:rFonts w:ascii="Aptos" w:hAnsi="Aptos" w:cs="Times New Roman"/>
                <w:b/>
                <w:bCs/>
                <w:color w:val="000000"/>
                <w:sz w:val="20"/>
                <w:szCs w:val="20"/>
              </w:rPr>
            </w:pPr>
          </w:p>
          <w:p w14:paraId="7C2F1C9E" w14:textId="77777777" w:rsidR="00963E47" w:rsidRPr="00963E47" w:rsidRDefault="00963E47" w:rsidP="004C3837">
            <w:pPr>
              <w:keepNext/>
              <w:rPr>
                <w:rFonts w:ascii="Aptos" w:hAnsi="Aptos" w:cs="Times New Roman"/>
                <w:b/>
                <w:bCs/>
                <w:color w:val="000000"/>
                <w:sz w:val="20"/>
                <w:szCs w:val="20"/>
              </w:rPr>
            </w:pPr>
            <w:hyperlink r:id="rId147" w:anchor="measure-2-1" w:history="1">
              <w:r w:rsidRPr="00963E47">
                <w:rPr>
                  <w:rFonts w:ascii="Aptos" w:hAnsi="Aptos" w:cs="Times New Roman"/>
                  <w:color w:val="000000"/>
                  <w:sz w:val="20"/>
                  <w:szCs w:val="20"/>
                  <w:u w:val="single"/>
                </w:rPr>
                <w:t>Link to NIST AI RMF Playbook</w:t>
              </w:r>
            </w:hyperlink>
          </w:p>
        </w:tc>
      </w:tr>
    </w:tbl>
    <w:p w14:paraId="12302457"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BEEC7DD"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72765434"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5FAF9FE2" w14:textId="77777777" w:rsidTr="005C00A5">
        <w:trPr>
          <w:tblHeader/>
        </w:trPr>
        <w:tc>
          <w:tcPr>
            <w:tcW w:w="2160" w:type="dxa"/>
            <w:shd w:val="clear" w:color="auto" w:fill="CCDCDC"/>
            <w:vAlign w:val="center"/>
          </w:tcPr>
          <w:p w14:paraId="408956D0"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6FD43038"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3A4AB933"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1F58B460" w14:textId="77777777" w:rsidTr="005C00A5">
        <w:tc>
          <w:tcPr>
            <w:tcW w:w="2160" w:type="dxa"/>
            <w:shd w:val="clear" w:color="auto" w:fill="CCDCDC"/>
          </w:tcPr>
          <w:p w14:paraId="6F95907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57D33C1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5DB5B7C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229CC204" w14:textId="77777777" w:rsidTr="005C00A5">
        <w:tc>
          <w:tcPr>
            <w:tcW w:w="2160" w:type="dxa"/>
            <w:shd w:val="clear" w:color="auto" w:fill="CCDCDC"/>
          </w:tcPr>
          <w:p w14:paraId="290C813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5FC7147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3691D7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minimal stage document tools used during TEVV, including some details on the software packages, libraries, frameworks, and hardware components employed, specifying their versions, configurations, and implemented customizations, although the documentation may not be comprehensive. The organization ensures that the tools and their configurations are appropriate for the specific AI system and its intended use case to some extent.</w:t>
            </w:r>
          </w:p>
        </w:tc>
      </w:tr>
      <w:tr w:rsidR="00963E47" w:rsidRPr="00963E47" w14:paraId="225FE175" w14:textId="77777777" w:rsidTr="005C00A5">
        <w:tc>
          <w:tcPr>
            <w:tcW w:w="2160" w:type="dxa"/>
            <w:shd w:val="clear" w:color="auto" w:fill="CCDCDC"/>
          </w:tcPr>
          <w:p w14:paraId="72CBCE1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0FAF5DB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5AB296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evolving stage, organizations comprehensively document tools used during TEVV, including detailed information on the software </w:t>
            </w:r>
            <w:r w:rsidRPr="00963E47">
              <w:rPr>
                <w:rFonts w:ascii="Aptos" w:hAnsi="Aptos" w:cs="Times New Roman"/>
                <w:noProof/>
                <w:color w:val="auto"/>
                <w:sz w:val="20"/>
                <w:szCs w:val="20"/>
              </w:rPr>
              <w:lastRenderedPageBreak/>
              <w:t>packages, libraries, frameworks, and hardware components employed, specifying their versions, configurations, and implemented customizations. The organization consistently ensures that the tools and their configurations are appropriate for the specific AI system and its intended use case.</w:t>
            </w:r>
          </w:p>
        </w:tc>
      </w:tr>
      <w:tr w:rsidR="00963E47" w:rsidRPr="00963E47" w14:paraId="72B84F5B" w14:textId="77777777" w:rsidTr="005C00A5">
        <w:tc>
          <w:tcPr>
            <w:tcW w:w="2160" w:type="dxa"/>
            <w:shd w:val="clear" w:color="auto" w:fill="CCDCDC"/>
          </w:tcPr>
          <w:p w14:paraId="53591035"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4: Embedded</w:t>
            </w:r>
          </w:p>
        </w:tc>
        <w:tc>
          <w:tcPr>
            <w:tcW w:w="1350" w:type="dxa"/>
          </w:tcPr>
          <w:p w14:paraId="1ACF9EC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A0A930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continuously documenting tools used during TEVV in real-time, with comprehensive information on the software packages, libraries, frameworks, and hardware components employed, specifying their versions, configurations, and implemented customizations dynamically updated based on data-driven insights. The organization dynamically ensures that the tools and their configurations are appropriate for the specific AI system and its intended use case, with seamless integration into the organization's development and deployment frameworks.</w:t>
            </w:r>
          </w:p>
        </w:tc>
      </w:tr>
    </w:tbl>
    <w:p w14:paraId="23C95D02"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6320B7CF" w14:textId="77777777" w:rsidTr="005C00A5">
        <w:tc>
          <w:tcPr>
            <w:tcW w:w="2250" w:type="dxa"/>
          </w:tcPr>
          <w:p w14:paraId="7F01CE7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0359D88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28D3DF0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4676034A" w14:textId="77777777" w:rsidTr="005C00A5">
        <w:tc>
          <w:tcPr>
            <w:tcW w:w="2250" w:type="dxa"/>
          </w:tcPr>
          <w:p w14:paraId="793861F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Explainable &amp; Interpretable</w:t>
            </w:r>
          </w:p>
        </w:tc>
        <w:tc>
          <w:tcPr>
            <w:tcW w:w="2520" w:type="dxa"/>
          </w:tcPr>
          <w:p w14:paraId="0313B59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Inappropriate or Undocumented Tool Use</w:t>
            </w:r>
          </w:p>
        </w:tc>
        <w:tc>
          <w:tcPr>
            <w:tcW w:w="5300" w:type="dxa"/>
          </w:tcPr>
          <w:p w14:paraId="262A792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TEVV tool documentation is incomplete and appropriateness unconfirmed</w:t>
            </w:r>
          </w:p>
        </w:tc>
      </w:tr>
    </w:tbl>
    <w:p w14:paraId="38691AF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33CD4A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3FB6800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75A6E5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Document the details of tools used during TEVV, including software packages, libraries, frameworks, and hardware components. Specify the versions, configurations, and implemented customizations for each tool to ensure reproducibility and traceability.</w:t>
      </w:r>
    </w:p>
    <w:p w14:paraId="43474191"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1FAB223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a process for evaluating and selecting appropriate tools for each AI system and its intended use case. This process should consider factors such as the tool's capabilities, compatibility with existing infrastructure, and alignment with industry best practices and regulatory requirements. Maintain records of the tool selection process, including the rationale for chosen tools and any identified limitations or risks.</w:t>
      </w:r>
    </w:p>
    <w:p w14:paraId="034D0103"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C2C7FD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123069D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6584F3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Establishment of Tool Documentation Standards</w:t>
      </w:r>
    </w:p>
    <w:p w14:paraId="64E2E39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templates and procedures for recording comprehensive details of all TEVV tools, ensuring consistent and complete documentation.</w:t>
      </w:r>
    </w:p>
    <w:p w14:paraId="6F41FB0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1495B2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Tool inventory templates including version, configuration, and customization details.</w:t>
      </w:r>
    </w:p>
    <w:p w14:paraId="063B700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Standard procedures for documentation and revision control.</w:t>
      </w:r>
    </w:p>
    <w:p w14:paraId="31460D4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records of tool configurations and updates.</w:t>
      </w:r>
    </w:p>
    <w:p w14:paraId="6778D20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Checklists for required documentation elements.</w:t>
      </w:r>
    </w:p>
    <w:p w14:paraId="211E6A4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6E0ED4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Tool Details and Configurations</w:t>
      </w:r>
    </w:p>
    <w:p w14:paraId="1DFCA14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Record precise information on each tool’s version, configuration parameters, and any customizations or tuning applied to ensure clarity and retrievability for future reference.</w:t>
      </w:r>
    </w:p>
    <w:p w14:paraId="7FC4EA4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05B8CF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Configuration files and logs with version and parameter details.</w:t>
      </w:r>
    </w:p>
    <w:p w14:paraId="133ABE6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documenting modifications and their justifications.</w:t>
      </w:r>
    </w:p>
    <w:p w14:paraId="4FA7993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Tool setup manuals aligned with system use case requirements.</w:t>
      </w:r>
    </w:p>
    <w:p w14:paraId="6BAD890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trails of configuration changes.</w:t>
      </w:r>
    </w:p>
    <w:p w14:paraId="7B6DC3C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CFC900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Validation of Tool Appropriateness for System and Use Case</w:t>
      </w:r>
    </w:p>
    <w:p w14:paraId="402DEAD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Assess and document that each tool and configuration is suitable for the AI system’s characteristics, performance needs, and risk considerations before deployment or testing, ensuring alignment with operational requirements.</w:t>
      </w:r>
    </w:p>
    <w:p w14:paraId="3C97A1A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020A80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Evaluation reports confirming tool suitability against system requirements.</w:t>
      </w:r>
    </w:p>
    <w:p w14:paraId="1FDB0F2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Validation checklist comparing tool capabilities to use case needs.</w:t>
      </w:r>
    </w:p>
    <w:p w14:paraId="31E01EC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Sign-offs from technical leads verifying appropriateness.</w:t>
      </w:r>
    </w:p>
    <w:p w14:paraId="7E08D40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 results demonstrating effective operation with selected configurations.</w:t>
      </w:r>
    </w:p>
    <w:p w14:paraId="33BB5C2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5C9FF0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 Review and Maintenance of Tool Documentation</w:t>
      </w:r>
    </w:p>
    <w:p w14:paraId="2149B3B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Schedule ongoing reviews to ensure documentation remains up-to-date with system changes, new tool versions, and evolving use cases, thus maintaining the accuracy and relevance of information.</w:t>
      </w:r>
    </w:p>
    <w:p w14:paraId="23805D3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E84790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with review completion logs.</w:t>
      </w:r>
    </w:p>
    <w:p w14:paraId="0B247D1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documentation following tool upgrades or configuration changes.</w:t>
      </w:r>
    </w:p>
    <w:p w14:paraId="11DF393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approval records for modifications.</w:t>
      </w:r>
    </w:p>
    <w:p w14:paraId="3BA1C6D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logs from system operators or testers.</w:t>
      </w:r>
    </w:p>
    <w:p w14:paraId="48572A1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2F655F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Implementation of Controls for Tool Integrity and Validation</w:t>
      </w:r>
    </w:p>
    <w:p w14:paraId="4F4E06D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procedures to verify the integrity, compatibility, and correct configurations of tools over time, including periodic audits and validation activities to ensure they continue to meet operational needs.</w:t>
      </w:r>
    </w:p>
    <w:p w14:paraId="7F68E22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5B81A8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Validation reports assessing tool integrity and configuration correctness.</w:t>
      </w:r>
    </w:p>
    <w:p w14:paraId="32DD8CE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logs of configuration checks and validations.</w:t>
      </w:r>
    </w:p>
    <w:p w14:paraId="78740D4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dashboards tracking tool performance and compliance.</w:t>
      </w:r>
    </w:p>
    <w:p w14:paraId="172E4AF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corrective actions following validation findings.</w:t>
      </w:r>
    </w:p>
    <w:p w14:paraId="65FDB3A0"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50E0E42E"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5E9E977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0526B45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7CFC6D5D" w14:textId="77777777" w:rsidTr="005C00A5">
        <w:tc>
          <w:tcPr>
            <w:tcW w:w="1170" w:type="dxa"/>
          </w:tcPr>
          <w:p w14:paraId="38E2035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51A7EDB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3258352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1734473E" w14:textId="77777777" w:rsidTr="005C00A5">
        <w:tc>
          <w:tcPr>
            <w:tcW w:w="1170" w:type="dxa"/>
          </w:tcPr>
          <w:p w14:paraId="7AFC723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MS-2.1.3</w:t>
            </w:r>
          </w:p>
        </w:tc>
        <w:tc>
          <w:tcPr>
            <w:tcW w:w="2160" w:type="dxa"/>
          </w:tcPr>
          <w:p w14:paraId="41B64AF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Centralized TEVV Repository and Access</w:t>
            </w:r>
          </w:p>
        </w:tc>
        <w:tc>
          <w:tcPr>
            <w:tcW w:w="6740" w:type="dxa"/>
          </w:tcPr>
          <w:p w14:paraId="096705B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maintains a centralized repository for TEVV documentation, promoting accessibility to relevant stakeholders and enabling updates and version control as the AI system evolves. The repository is organized to facilitate efficient retrieval and review of TEVV documentation, and access controls are implemented to ensure data security and privacy.</w:t>
            </w:r>
          </w:p>
          <w:p w14:paraId="50529CA9" w14:textId="77777777" w:rsidR="00963E47" w:rsidRPr="00963E47" w:rsidRDefault="00963E47" w:rsidP="004C3837">
            <w:pPr>
              <w:keepNext/>
              <w:rPr>
                <w:rFonts w:ascii="Aptos" w:hAnsi="Aptos" w:cs="Times New Roman"/>
                <w:b/>
                <w:bCs/>
                <w:color w:val="000000"/>
                <w:sz w:val="20"/>
                <w:szCs w:val="20"/>
              </w:rPr>
            </w:pPr>
          </w:p>
          <w:p w14:paraId="0C50EA2C" w14:textId="77777777" w:rsidR="00963E47" w:rsidRPr="00963E47" w:rsidRDefault="00963E47" w:rsidP="004C3837">
            <w:pPr>
              <w:keepNext/>
              <w:rPr>
                <w:rFonts w:ascii="Aptos" w:hAnsi="Aptos" w:cs="Times New Roman"/>
                <w:b/>
                <w:bCs/>
                <w:color w:val="000000"/>
                <w:sz w:val="20"/>
                <w:szCs w:val="20"/>
              </w:rPr>
            </w:pPr>
            <w:hyperlink r:id="rId148" w:anchor="measure-2-1" w:history="1">
              <w:r w:rsidRPr="00963E47">
                <w:rPr>
                  <w:rFonts w:ascii="Aptos" w:hAnsi="Aptos" w:cs="Times New Roman"/>
                  <w:color w:val="000000"/>
                  <w:sz w:val="20"/>
                  <w:szCs w:val="20"/>
                  <w:u w:val="single"/>
                </w:rPr>
                <w:t>Link to NIST AI RMF Playbook</w:t>
              </w:r>
            </w:hyperlink>
          </w:p>
        </w:tc>
      </w:tr>
    </w:tbl>
    <w:p w14:paraId="4B9DE446"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34B279A"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753AEE13"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5CC727A9" w14:textId="77777777" w:rsidTr="005C00A5">
        <w:trPr>
          <w:tblHeader/>
        </w:trPr>
        <w:tc>
          <w:tcPr>
            <w:tcW w:w="2160" w:type="dxa"/>
            <w:shd w:val="clear" w:color="auto" w:fill="CCDCDC"/>
            <w:vAlign w:val="center"/>
          </w:tcPr>
          <w:p w14:paraId="70CC3268"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64B6B917"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50E78431"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1885BC8E" w14:textId="77777777" w:rsidTr="005C00A5">
        <w:tc>
          <w:tcPr>
            <w:tcW w:w="2160" w:type="dxa"/>
            <w:shd w:val="clear" w:color="auto" w:fill="CCDCDC"/>
          </w:tcPr>
          <w:p w14:paraId="5F4972C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1FC459B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AB18D4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2DC0D1B" w14:textId="77777777" w:rsidTr="005C00A5">
        <w:tc>
          <w:tcPr>
            <w:tcW w:w="2160" w:type="dxa"/>
            <w:shd w:val="clear" w:color="auto" w:fill="CCDCDC"/>
          </w:tcPr>
          <w:p w14:paraId="5D9F4C4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433F396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B8B1CC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3D0DABD" w14:textId="77777777" w:rsidTr="005C00A5">
        <w:tc>
          <w:tcPr>
            <w:tcW w:w="2160" w:type="dxa"/>
            <w:shd w:val="clear" w:color="auto" w:fill="CCDCDC"/>
          </w:tcPr>
          <w:p w14:paraId="5EEFA6B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2ADC8A0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9A7576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evolving stage, organizations maintain a centralized repository for TEVV documentation, promoting accessibility to relevant stakeholders and enabling updates and version control as the AI </w:t>
            </w:r>
            <w:r w:rsidRPr="00963E47">
              <w:rPr>
                <w:rFonts w:ascii="Aptos" w:hAnsi="Aptos" w:cs="Times New Roman"/>
                <w:noProof/>
                <w:color w:val="auto"/>
                <w:sz w:val="20"/>
                <w:szCs w:val="20"/>
              </w:rPr>
              <w:lastRenderedPageBreak/>
              <w:t>system evolves. The repository is well-organized, facilitating efficient retrieval and review of TEVV documentation, and access controls are consistently implemented to ensure data security and privacy.</w:t>
            </w:r>
          </w:p>
        </w:tc>
      </w:tr>
      <w:tr w:rsidR="00963E47" w:rsidRPr="00963E47" w14:paraId="292A5EB8" w14:textId="77777777" w:rsidTr="005C00A5">
        <w:tc>
          <w:tcPr>
            <w:tcW w:w="2160" w:type="dxa"/>
            <w:shd w:val="clear" w:color="auto" w:fill="CCDCDC"/>
          </w:tcPr>
          <w:p w14:paraId="0E647A1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4: Embedded</w:t>
            </w:r>
          </w:p>
        </w:tc>
        <w:tc>
          <w:tcPr>
            <w:tcW w:w="1350" w:type="dxa"/>
          </w:tcPr>
          <w:p w14:paraId="3FABF69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31F772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maintaining a dynamic, centralized repository for TEVV documentation, with real-time accessibility to relevant stakeholders and seamless updates and version control as the AI system evolves. The repository is intelligently organized, enabling efficient retrieval and review of TEVV documentation based on data-driven insights, and access controls are dynamically optimized to ensure the highest level of data security and privacy.</w:t>
            </w:r>
          </w:p>
        </w:tc>
      </w:tr>
    </w:tbl>
    <w:p w14:paraId="59808CFD"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0AF08887" w14:textId="77777777" w:rsidTr="005C00A5">
        <w:tc>
          <w:tcPr>
            <w:tcW w:w="2250" w:type="dxa"/>
          </w:tcPr>
          <w:p w14:paraId="33AD9F1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26BC7B9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27DE019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27ED73DA" w14:textId="77777777" w:rsidTr="005C00A5">
        <w:tc>
          <w:tcPr>
            <w:tcW w:w="2250" w:type="dxa"/>
          </w:tcPr>
          <w:p w14:paraId="48B2682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Explainable &amp; Interpretable</w:t>
            </w:r>
          </w:p>
        </w:tc>
        <w:tc>
          <w:tcPr>
            <w:tcW w:w="2520" w:type="dxa"/>
          </w:tcPr>
          <w:p w14:paraId="7F517F9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Insufficient Centralized Repository</w:t>
            </w:r>
          </w:p>
        </w:tc>
        <w:tc>
          <w:tcPr>
            <w:tcW w:w="5300" w:type="dxa"/>
          </w:tcPr>
          <w:p w14:paraId="7498E09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Centralized TEVV documentation repository and access controls are insufficient</w:t>
            </w:r>
          </w:p>
        </w:tc>
      </w:tr>
    </w:tbl>
    <w:p w14:paraId="5B82281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B48050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04F5596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3745E7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a centralized, secure repository for storing, managing, and linking TEVV documentation to the AI inventory, ensuring comprehensive management and traceability of AI systems and their validation processes. Organize the repository using a clear structure with categories such as AI system, development stage, and document type to facilitate efficient retrieval, review, and updates.</w:t>
      </w:r>
    </w:p>
    <w:p w14:paraId="32582FEE"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7C33823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Implement access controls and security measures to safeguard sensitive information, ensuring that only authorized personnel can access or modify the documentation. Enforce version control mechanisms to accurately track changes, updates, and maintain an audit trail of modifications and approvals over time.</w:t>
      </w:r>
    </w:p>
    <w:p w14:paraId="5F187AFC"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932F62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43192EF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82CD2C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Establishment of a Centralized TEVV Documentation Repository</w:t>
      </w:r>
    </w:p>
    <w:p w14:paraId="2A9E72C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and implement a digital repository that consolidates all TEVV-related documents with organized structure, version control, and user access management.</w:t>
      </w:r>
    </w:p>
    <w:p w14:paraId="1BA64AB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58DCD3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Approved platform or system for document storage with role-based access controls.</w:t>
      </w:r>
    </w:p>
    <w:p w14:paraId="3C0766D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Folder structures and metadata tags for efficient retrieval.</w:t>
      </w:r>
    </w:p>
    <w:p w14:paraId="0300289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 control logs showing updates over time.</w:t>
      </w:r>
    </w:p>
    <w:p w14:paraId="3822A37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User access logs and permission settings.</w:t>
      </w:r>
    </w:p>
    <w:p w14:paraId="23E6E2CF"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B97D4F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Organization and Structuring of Documentation for Ease of Use</w:t>
      </w:r>
    </w:p>
    <w:p w14:paraId="3AD3248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Organize the TEVV documents logically (e.g., by system component, lifecycle stage, or assessment type) to enable quick and easy retrieval for review and update by relevant stakeholders.</w:t>
      </w:r>
    </w:p>
    <w:p w14:paraId="512C826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393172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Clear folder and naming conventions.</w:t>
      </w:r>
    </w:p>
    <w:p w14:paraId="2CEB674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Indexes or catalogs summarizing document contents and locations.</w:t>
      </w:r>
    </w:p>
    <w:p w14:paraId="5DE5757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Search functionality supporting keyword and metadata searches.</w:t>
      </w:r>
    </w:p>
    <w:p w14:paraId="46D8474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Indexing tools and tagging systems.</w:t>
      </w:r>
    </w:p>
    <w:p w14:paraId="72340C1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1C1CF1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Support for Updates and Version Management</w:t>
      </w:r>
    </w:p>
    <w:p w14:paraId="13335AE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procedures and tools to manage document revisions, track updates, and maintain a complete history of change to ensure transparency and accountability in the documentation process.</w:t>
      </w:r>
    </w:p>
    <w:p w14:paraId="343277A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0F251C8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 histories linked to document files.</w:t>
      </w:r>
    </w:p>
    <w:p w14:paraId="1DC55A1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indicating updates, authors, and approval dates.</w:t>
      </w:r>
    </w:p>
    <w:p w14:paraId="371DEA6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Revision approval workflows.</w:t>
      </w:r>
    </w:p>
    <w:p w14:paraId="11B6B7F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Release notes for major updates.</w:t>
      </w:r>
    </w:p>
    <w:p w14:paraId="29BCD90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CDD8D0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Access Controls and Data Privacy Measures</w:t>
      </w:r>
    </w:p>
    <w:p w14:paraId="6A78DA1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Enforce role-based access controls and data confidentiality policies to protect sensitive information stored within the repository from unauthorized access and potential breaches.</w:t>
      </w:r>
    </w:p>
    <w:p w14:paraId="395401F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6DD525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Access control lists and permissions configuration logs.</w:t>
      </w:r>
    </w:p>
    <w:p w14:paraId="53AD21C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Authentication and login records.</w:t>
      </w:r>
    </w:p>
    <w:p w14:paraId="33F6D73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masking or encryption measures for confidential information.</w:t>
      </w:r>
    </w:p>
    <w:p w14:paraId="1FAC459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logs documenting access and activity.</w:t>
      </w:r>
    </w:p>
    <w:p w14:paraId="2EF639B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7114AD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Periodic Review and Maintenance of the Repository</w:t>
      </w:r>
    </w:p>
    <w:p w14:paraId="2D70213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Schedule regular audits and reviews to verify repository integrity, completeness, and relevance of TEVV documentation, and to implement improvements as systems evolve in response to organizational needs and regulatory requirements.</w:t>
      </w:r>
    </w:p>
    <w:p w14:paraId="41B8484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5B89B5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and audit reports.</w:t>
      </w:r>
    </w:p>
    <w:p w14:paraId="262C152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metadata and documentation indexing.</w:t>
      </w:r>
    </w:p>
    <w:p w14:paraId="043423A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users on repository usability.</w:t>
      </w:r>
    </w:p>
    <w:p w14:paraId="5F48972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system upgrades or reorganization activities.</w:t>
      </w:r>
    </w:p>
    <w:p w14:paraId="7EDAC88B"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50" w:name="_Toc214874795"/>
      <w:r w:rsidRPr="00963E47">
        <w:rPr>
          <w:rFonts w:ascii="Aptos" w:eastAsia="Aptos" w:hAnsi="Aptos" w:cs="Times New Roman"/>
          <w:b/>
          <w:bCs/>
          <w:noProof/>
          <w:color w:val="35256B"/>
          <w:kern w:val="2"/>
          <w:sz w:val="24"/>
          <w14:ligatures w14:val="standardContextual"/>
        </w:rPr>
        <w:t>MEASURE / Evaluating AI Systems / Evaluating AI Systems on Human Subjects</w:t>
      </w:r>
      <w:bookmarkEnd w:id="50"/>
      <w:r w:rsidRPr="00963E47">
        <w:rPr>
          <w:rFonts w:ascii="Aptos" w:eastAsia="Aptos" w:hAnsi="Aptos" w:cs="Times New Roman"/>
          <w:b/>
          <w:bCs/>
          <w:noProof/>
          <w:color w:val="35256B"/>
          <w:kern w:val="2"/>
          <w:sz w:val="24"/>
          <w14:ligatures w14:val="standardContextual"/>
        </w:rPr>
        <w:t xml:space="preserve"> </w:t>
      </w:r>
    </w:p>
    <w:p w14:paraId="2A4C6A7E"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509E302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5FA918F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0AE94032" w14:textId="77777777" w:rsidTr="005C00A5">
        <w:tc>
          <w:tcPr>
            <w:tcW w:w="1170" w:type="dxa"/>
          </w:tcPr>
          <w:p w14:paraId="753061D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5C25B32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2D57587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08BBAEB3" w14:textId="77777777" w:rsidTr="005C00A5">
        <w:tc>
          <w:tcPr>
            <w:tcW w:w="1170" w:type="dxa"/>
          </w:tcPr>
          <w:p w14:paraId="315080C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MS-2.2.1</w:t>
            </w:r>
          </w:p>
        </w:tc>
        <w:tc>
          <w:tcPr>
            <w:tcW w:w="2160" w:type="dxa"/>
          </w:tcPr>
          <w:p w14:paraId="7869181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Human Subject Use and Consent</w:t>
            </w:r>
          </w:p>
        </w:tc>
        <w:tc>
          <w:tcPr>
            <w:tcW w:w="6740" w:type="dxa"/>
          </w:tcPr>
          <w:p w14:paraId="72CF688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conducts evaluations involving human subjects—potentially including focus groups, small group studies, UI/UX research, surveys for publications, structured experiments, large-scale A/B testing, or extensive human data collection—in compliance with relevant laws, regulations, guidelines, and organizational policies. It ensures clear communication of the purpose, nature, risks, and benefits to participants, protection of any human-subjects data, and obtaining informed consent prior to participation. The organization documents the specific requirements followed, the consent procedures used, and the nature of the research to ensure transparency and adherence to standards.</w:t>
            </w:r>
          </w:p>
          <w:p w14:paraId="19EADCD7" w14:textId="77777777" w:rsidR="00963E47" w:rsidRPr="00963E47" w:rsidRDefault="00963E47" w:rsidP="004C3837">
            <w:pPr>
              <w:keepNext/>
              <w:rPr>
                <w:rFonts w:ascii="Aptos" w:hAnsi="Aptos" w:cs="Times New Roman"/>
                <w:b/>
                <w:bCs/>
                <w:color w:val="000000"/>
                <w:sz w:val="20"/>
                <w:szCs w:val="20"/>
              </w:rPr>
            </w:pPr>
          </w:p>
          <w:p w14:paraId="6226E212" w14:textId="77777777" w:rsidR="00963E47" w:rsidRPr="00963E47" w:rsidRDefault="00963E47" w:rsidP="004C3837">
            <w:pPr>
              <w:keepNext/>
              <w:rPr>
                <w:rFonts w:ascii="Aptos" w:hAnsi="Aptos" w:cs="Times New Roman"/>
                <w:b/>
                <w:bCs/>
                <w:color w:val="000000"/>
                <w:sz w:val="20"/>
                <w:szCs w:val="20"/>
              </w:rPr>
            </w:pPr>
            <w:hyperlink r:id="rId149" w:anchor="measure-2-2" w:history="1">
              <w:r w:rsidRPr="00963E47">
                <w:rPr>
                  <w:rFonts w:ascii="Aptos" w:hAnsi="Aptos" w:cs="Times New Roman"/>
                  <w:color w:val="000000"/>
                  <w:sz w:val="20"/>
                  <w:szCs w:val="20"/>
                  <w:u w:val="single"/>
                </w:rPr>
                <w:t>Link to NIST AI RMF Playbook</w:t>
              </w:r>
            </w:hyperlink>
          </w:p>
        </w:tc>
      </w:tr>
    </w:tbl>
    <w:p w14:paraId="2329BA8F"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2E6B5E7"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37DD0A01"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3EF8BCD4" w14:textId="77777777" w:rsidTr="005C00A5">
        <w:trPr>
          <w:tblHeader/>
        </w:trPr>
        <w:tc>
          <w:tcPr>
            <w:tcW w:w="2160" w:type="dxa"/>
            <w:shd w:val="clear" w:color="auto" w:fill="CCDCDC"/>
            <w:vAlign w:val="center"/>
          </w:tcPr>
          <w:p w14:paraId="35D58CD9"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5C893B6B"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17B968DE"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0F110497" w14:textId="77777777" w:rsidTr="005C00A5">
        <w:tc>
          <w:tcPr>
            <w:tcW w:w="2160" w:type="dxa"/>
            <w:shd w:val="clear" w:color="auto" w:fill="CCDCDC"/>
          </w:tcPr>
          <w:p w14:paraId="6770E2F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70C0D2C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064334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65BF1971" w14:textId="77777777" w:rsidTr="005C00A5">
        <w:tc>
          <w:tcPr>
            <w:tcW w:w="2160" w:type="dxa"/>
            <w:shd w:val="clear" w:color="auto" w:fill="CCDCDC"/>
          </w:tcPr>
          <w:p w14:paraId="1AE9D2C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1746C49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0F0176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minimal stage, organizations begin conducting basic evaluations involving human subjects for their limited AI applications, ensuring compliance with fundamental guidelines and data privacy regulations. This includes communicating the purpose and nature of </w:t>
            </w:r>
            <w:r w:rsidRPr="00963E47">
              <w:rPr>
                <w:rFonts w:ascii="Aptos" w:hAnsi="Aptos" w:cs="Times New Roman"/>
                <w:noProof/>
                <w:color w:val="auto"/>
                <w:sz w:val="20"/>
                <w:szCs w:val="20"/>
              </w:rPr>
              <w:lastRenderedPageBreak/>
              <w:t>the evaluation to participants, protecting any human-subjects data, and obtaining informed consent.</w:t>
            </w:r>
          </w:p>
        </w:tc>
      </w:tr>
      <w:tr w:rsidR="00963E47" w:rsidRPr="00963E47" w14:paraId="3CF59B90" w14:textId="77777777" w:rsidTr="005C00A5">
        <w:tc>
          <w:tcPr>
            <w:tcW w:w="2160" w:type="dxa"/>
            <w:shd w:val="clear" w:color="auto" w:fill="CCDCDC"/>
          </w:tcPr>
          <w:p w14:paraId="6F3FFF6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3: Evolving</w:t>
            </w:r>
          </w:p>
        </w:tc>
        <w:tc>
          <w:tcPr>
            <w:tcW w:w="1350" w:type="dxa"/>
          </w:tcPr>
          <w:p w14:paraId="05352BB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3D9FE1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consistently conduct evaluations involving human subjects in compliance with relevant laws, regulations, guidelines, and organizational policies related to human subject protection and informed consent. This includes providing clear information to subjects about the purpose, nature, and potential risks and benefits of the evaluation, and obtaining informed consent before proceeding. The organization comprehensively documents the specific requirements followed and consent procedures used.</w:t>
            </w:r>
          </w:p>
        </w:tc>
      </w:tr>
      <w:tr w:rsidR="00963E47" w:rsidRPr="00963E47" w14:paraId="7E6BF0A4" w14:textId="77777777" w:rsidTr="005C00A5">
        <w:tc>
          <w:tcPr>
            <w:tcW w:w="2160" w:type="dxa"/>
            <w:shd w:val="clear" w:color="auto" w:fill="CCDCDC"/>
          </w:tcPr>
          <w:p w14:paraId="355DA9A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6542F47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4A94FE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continuously conducting evaluations involving human subjects in compliance with relevant laws, regulations, guidelines, and organizational policies related to human subject protection and informed consent, with real-time monitoring and dynamic adjustments based on data-driven insights. This includes providing clear, accessible information to subjects about the purpose, nature, and potential risks and benefits of the evaluation, and obtaining informed consent before proceeding. The organization dynamically documents the specific requirements followed and consent procedures used, with seamless integration into the organization's research and development frameworks, ensuring the highest level of  conduct and human subject protection.</w:t>
            </w:r>
          </w:p>
        </w:tc>
      </w:tr>
    </w:tbl>
    <w:p w14:paraId="0DFBB09A"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56198EB8" w14:textId="77777777" w:rsidTr="005C00A5">
        <w:tc>
          <w:tcPr>
            <w:tcW w:w="2250" w:type="dxa"/>
          </w:tcPr>
          <w:p w14:paraId="0BB2C28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63DCE8C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2CDA847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5D4385E2" w14:textId="77777777" w:rsidTr="005C00A5">
        <w:tc>
          <w:tcPr>
            <w:tcW w:w="2250" w:type="dxa"/>
          </w:tcPr>
          <w:p w14:paraId="2D85047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6309C22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Non-Compliant Human Evaluations</w:t>
            </w:r>
          </w:p>
        </w:tc>
        <w:tc>
          <w:tcPr>
            <w:tcW w:w="5300" w:type="dxa"/>
          </w:tcPr>
          <w:p w14:paraId="0869C8A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Evaluations involving human subjects are non-compliant and lack consent or transparency</w:t>
            </w:r>
          </w:p>
        </w:tc>
      </w:tr>
    </w:tbl>
    <w:p w14:paraId="0274196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B003AC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12DB7F0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9A5B3E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Establish a clear process for conducting evaluations involving human subjects (e.g., focus groups, small studies, UI/UX research, surveys, structured experiments, large-scale A/B testing, or extensive data collection) that complies with relevant laws, regulations, guidelines, and organizational policies on human subject protection and informed consent. Develop standardized templates for informed consent and participant information sheets, ensuring they provide clear, accessible information about the purpose, nature, risks, and benefits of the evaluation. </w:t>
      </w:r>
    </w:p>
    <w:p w14:paraId="34F41FEE"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1479B3F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Assign responsibility for overseeing this process to a designated individual or team, such as an institutional review board, equipped with the necessary expertise and authority to review, approve, monitor ongoing evaluations, and address any issues. Maintain detailed documentation of the requirements followed, the consent procedures used, and the nature of each evaluation to ensure transparency and compliance.</w:t>
      </w:r>
    </w:p>
    <w:p w14:paraId="1BFA0803"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212298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6DD073C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0F6F25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Human Subjects Research Policies and Procedures</w:t>
      </w:r>
    </w:p>
    <w:p w14:paraId="4CBC958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Create formal policies and procedures for conducting human-involved evaluations, ensuring adherence to legal and organizational standards.</w:t>
      </w:r>
    </w:p>
    <w:p w14:paraId="79C046D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06B4D5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Approved research policies referencing relevant laws, regulations, and standards.</w:t>
      </w:r>
    </w:p>
    <w:p w14:paraId="0F82361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Standard operating procedures (SOPs) for planning, conducting, and documenting human evaluations.</w:t>
      </w:r>
    </w:p>
    <w:p w14:paraId="1162723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Checklists for compliance verification prior to study initiation.</w:t>
      </w:r>
    </w:p>
    <w:p w14:paraId="08C3871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Policy review and update schedules.</w:t>
      </w:r>
    </w:p>
    <w:p w14:paraId="502317AF"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D507E9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Clear Communication and Informed Consent Processes</w:t>
      </w:r>
    </w:p>
    <w:p w14:paraId="44158E3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standardized communication materials and procedures to inform participants of purpose, risks, benefits, data use, and their rights, ensuring informed consent is obtained prior to participation in any evaluations or research activities.</w:t>
      </w:r>
    </w:p>
    <w:p w14:paraId="09FED8A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0C99F3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Consent forms detailing purpose, risks, benefits, and data handling.</w:t>
      </w:r>
    </w:p>
    <w:p w14:paraId="21EDA4B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Scripts used to explain research to participants.</w:t>
      </w:r>
    </w:p>
    <w:p w14:paraId="34D5195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participant disclosures and consent signatures.</w:t>
      </w:r>
    </w:p>
    <w:p w14:paraId="6E39C0B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Scripts or FAQs addressing participant questions.</w:t>
      </w:r>
    </w:p>
    <w:p w14:paraId="38A25F4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82F09E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Protecting Human-Subject Data and Ensuring Confidentiality</w:t>
      </w:r>
    </w:p>
    <w:p w14:paraId="4F9ACEB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measures to secure personal data, anonymize or pseudonymize data, and control access, in accordance with privacy regulations and organizational policies to protect participant confidentiality and ensure proper handling of sensitive information.</w:t>
      </w:r>
    </w:p>
    <w:p w14:paraId="00F8EB0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85CDC8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handling policies detailing privacy protections.</w:t>
      </w:r>
    </w:p>
    <w:p w14:paraId="4D86273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anonymization or pseudonymization procedures.</w:t>
      </w:r>
    </w:p>
    <w:p w14:paraId="2E9ABF3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Access control logs and data security audit reports.</w:t>
      </w:r>
    </w:p>
    <w:p w14:paraId="01A7A71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Confidentiality agreements with personnel.</w:t>
      </w:r>
    </w:p>
    <w:p w14:paraId="17C0B5C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70975A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Requirements, Procedures, and Research Details</w:t>
      </w:r>
    </w:p>
    <w:p w14:paraId="20F319B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Record the specific requirements followed, including review approvals, procedures used for informed consent, and detailed descriptions of the study scope and method to maintain transparency and accountability in the research process.</w:t>
      </w:r>
    </w:p>
    <w:p w14:paraId="292D55E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B450DA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approval documents (e.g., IRB or equivalent).</w:t>
      </w:r>
    </w:p>
    <w:p w14:paraId="332A9DB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Consent procedure protocols and participant records.</w:t>
      </w:r>
    </w:p>
    <w:p w14:paraId="04F200C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Study design and methodology documentation.</w:t>
      </w:r>
    </w:p>
    <w:p w14:paraId="53139C3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Logs of protocol adherence and deviations.</w:t>
      </w:r>
    </w:p>
    <w:p w14:paraId="325CDB5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F57B85B"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Ongoing Review and Compliance Monitoring</w:t>
      </w:r>
    </w:p>
    <w:p w14:paraId="5348386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review evaluation practices, update processes based on lessons learned or regulatory updates, and monitor compliance with standards to enhance the integrity and effectiveness of research involving human subjects.</w:t>
      </w:r>
    </w:p>
    <w:p w14:paraId="14A97E6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561D50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meeting minutes, and audit reports.</w:t>
      </w:r>
    </w:p>
    <w:p w14:paraId="5535870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policies and procedures reflecting changes.</w:t>
      </w:r>
    </w:p>
    <w:p w14:paraId="018A784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participants and stakeholders.</w:t>
      </w:r>
    </w:p>
    <w:p w14:paraId="3834257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adverse events or protocol violations and corrective actions.</w:t>
      </w:r>
    </w:p>
    <w:p w14:paraId="438EF804"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5ECD7AF5"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0BF2EA1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010C1D9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4315BD1D" w14:textId="77777777" w:rsidTr="005C00A5">
        <w:tc>
          <w:tcPr>
            <w:tcW w:w="1170" w:type="dxa"/>
          </w:tcPr>
          <w:p w14:paraId="48D83FD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2B16CD7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24D60F4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68C08D94" w14:textId="77777777" w:rsidTr="005C00A5">
        <w:tc>
          <w:tcPr>
            <w:tcW w:w="1170" w:type="dxa"/>
          </w:tcPr>
          <w:p w14:paraId="3404C79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MS-2.2.2</w:t>
            </w:r>
          </w:p>
        </w:tc>
        <w:tc>
          <w:tcPr>
            <w:tcW w:w="2160" w:type="dxa"/>
          </w:tcPr>
          <w:p w14:paraId="3669E5B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Representation and Recruitment Process</w:t>
            </w:r>
          </w:p>
        </w:tc>
        <w:tc>
          <w:tcPr>
            <w:tcW w:w="6740" w:type="dxa"/>
          </w:tcPr>
          <w:p w14:paraId="179D781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takes steps to ensure human subjects involved in AI system evaluations are sufficiently representative of the relevant population. It documents the recruitment and selection process used, including the criteria applied to promote a balanced and representative sample. The organization acknowledges limitations or potential biases in the subject population that could not be fully addressed.</w:t>
            </w:r>
          </w:p>
          <w:p w14:paraId="0F15CEF3" w14:textId="77777777" w:rsidR="00963E47" w:rsidRPr="00963E47" w:rsidRDefault="00963E47" w:rsidP="004C3837">
            <w:pPr>
              <w:keepNext/>
              <w:rPr>
                <w:rFonts w:ascii="Aptos" w:hAnsi="Aptos" w:cs="Times New Roman"/>
                <w:b/>
                <w:bCs/>
                <w:color w:val="000000"/>
                <w:sz w:val="20"/>
                <w:szCs w:val="20"/>
              </w:rPr>
            </w:pPr>
          </w:p>
          <w:p w14:paraId="52B0EEA8" w14:textId="77777777" w:rsidR="00963E47" w:rsidRPr="00963E47" w:rsidRDefault="00963E47" w:rsidP="004C3837">
            <w:pPr>
              <w:keepNext/>
              <w:rPr>
                <w:rFonts w:ascii="Aptos" w:hAnsi="Aptos" w:cs="Times New Roman"/>
                <w:b/>
                <w:bCs/>
                <w:color w:val="000000"/>
                <w:sz w:val="20"/>
                <w:szCs w:val="20"/>
              </w:rPr>
            </w:pPr>
            <w:hyperlink r:id="rId150" w:anchor="measure-2-2" w:history="1">
              <w:r w:rsidRPr="00963E47">
                <w:rPr>
                  <w:rFonts w:ascii="Aptos" w:hAnsi="Aptos" w:cs="Times New Roman"/>
                  <w:color w:val="000000"/>
                  <w:sz w:val="20"/>
                  <w:szCs w:val="20"/>
                  <w:u w:val="single"/>
                </w:rPr>
                <w:t>Link to NIST AI RMF Playbook</w:t>
              </w:r>
            </w:hyperlink>
          </w:p>
        </w:tc>
      </w:tr>
    </w:tbl>
    <w:p w14:paraId="3E044BD8"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5DE7895"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02C4C12D"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64DD56D9" w14:textId="77777777" w:rsidTr="005C00A5">
        <w:trPr>
          <w:tblHeader/>
        </w:trPr>
        <w:tc>
          <w:tcPr>
            <w:tcW w:w="2160" w:type="dxa"/>
            <w:shd w:val="clear" w:color="auto" w:fill="CCDCDC"/>
            <w:vAlign w:val="center"/>
          </w:tcPr>
          <w:p w14:paraId="5133950B"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42E99B98"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1702E379"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49754EAF" w14:textId="77777777" w:rsidTr="005C00A5">
        <w:tc>
          <w:tcPr>
            <w:tcW w:w="2160" w:type="dxa"/>
            <w:shd w:val="clear" w:color="auto" w:fill="CCDCDC"/>
          </w:tcPr>
          <w:p w14:paraId="1A599E0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7B1001D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022FDF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A5E1B80" w14:textId="77777777" w:rsidTr="005C00A5">
        <w:tc>
          <w:tcPr>
            <w:tcW w:w="2160" w:type="dxa"/>
            <w:shd w:val="clear" w:color="auto" w:fill="CCDCDC"/>
          </w:tcPr>
          <w:p w14:paraId="34586FA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3FBF6E7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DFCE80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begin taking initial steps to ensure that human subjects involved in AI system evaluations for their limited AI applications are generally representative of the intended user base. This includes basic documentation of the recruitment and selection process and a general awareness of potential biases.</w:t>
            </w:r>
          </w:p>
        </w:tc>
      </w:tr>
      <w:tr w:rsidR="00963E47" w:rsidRPr="00963E47" w14:paraId="72CD99B7" w14:textId="77777777" w:rsidTr="005C00A5">
        <w:tc>
          <w:tcPr>
            <w:tcW w:w="2160" w:type="dxa"/>
            <w:shd w:val="clear" w:color="auto" w:fill="CCDCDC"/>
          </w:tcPr>
          <w:p w14:paraId="6751D7D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49D3155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1E7C06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consistently take steps to ensure human subjects involved in AI system evaluations are sufficiently representative of the relevant population, considering factors such as demographics, background, and domain expertise. The organization comprehensively documents the recruitment and selection process used, including the criteria applied to promote a balanced and representative sample, and acknowledges limitations or potential biases in the subject population that could not be fully addressed.</w:t>
            </w:r>
          </w:p>
        </w:tc>
      </w:tr>
      <w:tr w:rsidR="00963E47" w:rsidRPr="00963E47" w14:paraId="19953ECA" w14:textId="77777777" w:rsidTr="005C00A5">
        <w:tc>
          <w:tcPr>
            <w:tcW w:w="2160" w:type="dxa"/>
            <w:shd w:val="clear" w:color="auto" w:fill="CCDCDC"/>
          </w:tcPr>
          <w:p w14:paraId="548F014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0D32090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391C09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continuously ensuring human subjects involved in AI system evaluations are sufficiently representative of the relevant population, considering factors such as demographics, background, and domain expertise, with real-time monitoring and dynamic adjustments based on data-driven insights. The organization dynamically documents the recruitment and selection process used, including the criteria applied to promote a balanced and representative sample, and proactively acknowledges limitations or potential biases in the subject population that could not be fully addressed, with seamless integration into the organization's research and development frameworks, ensuring the highest level of representativeness and transparency.</w:t>
            </w:r>
          </w:p>
        </w:tc>
      </w:tr>
    </w:tbl>
    <w:p w14:paraId="0D968322"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288C5857" w14:textId="77777777" w:rsidTr="005C00A5">
        <w:tc>
          <w:tcPr>
            <w:tcW w:w="2250" w:type="dxa"/>
          </w:tcPr>
          <w:p w14:paraId="6231683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lastRenderedPageBreak/>
              <w:t>AI Principle</w:t>
            </w:r>
          </w:p>
        </w:tc>
        <w:tc>
          <w:tcPr>
            <w:tcW w:w="2520" w:type="dxa"/>
          </w:tcPr>
          <w:p w14:paraId="1C78276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488B717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1FE55743" w14:textId="77777777" w:rsidTr="005C00A5">
        <w:tc>
          <w:tcPr>
            <w:tcW w:w="2250" w:type="dxa"/>
          </w:tcPr>
          <w:p w14:paraId="2B25DC5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Fair</w:t>
            </w:r>
          </w:p>
        </w:tc>
        <w:tc>
          <w:tcPr>
            <w:tcW w:w="2520" w:type="dxa"/>
          </w:tcPr>
          <w:p w14:paraId="6682F48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Unrepresentative Human Subjects</w:t>
            </w:r>
          </w:p>
        </w:tc>
        <w:tc>
          <w:tcPr>
            <w:tcW w:w="5300" w:type="dxa"/>
          </w:tcPr>
          <w:p w14:paraId="48EBFA1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Human subjects are not sufficiently representative of relevant populations</w:t>
            </w:r>
          </w:p>
        </w:tc>
      </w:tr>
    </w:tbl>
    <w:p w14:paraId="3C516D3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AD6F86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4405183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27F76D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 recruitment and selection process for human subjects involved in AI system evaluations that promotes a balanced and representative sample of the relevant population. Identify the key demographic and domain-specific factors to consider when selecting participants, and establish clear criteria for inclusion and exclusion based on these factors.</w:t>
      </w:r>
    </w:p>
    <w:p w14:paraId="3EFEBCB2"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4D99C10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Utilize a variety of recruitment methods, such as targeted advertising, community outreach, and partnerships with relevant organizations, to reach a multidisciplinary pool of potential participants. Document the recruitment and selection process, including the specific criteria applied and any challenges or limitations encountered in achieving a fully representative sample. Acknowledge any remaining limitations or potential biases in the subject population and consider strategies for mitigating their impact on the evaluation results.</w:t>
      </w:r>
    </w:p>
    <w:p w14:paraId="1E8FAEAC"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92CB0A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128120E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ED70C0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a Recruitment and Selection Framework</w:t>
      </w:r>
    </w:p>
    <w:p w14:paraId="1AF5AD3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formal processes and criteria for recruiting and selecting human subjects that aim to ensure representativeness and balance relative to the target population.</w:t>
      </w:r>
    </w:p>
    <w:p w14:paraId="5E0382E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7C2BDC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Recruitment and selection policies emphasizing representativeness.</w:t>
      </w:r>
    </w:p>
    <w:p w14:paraId="14F7428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Criteria checklists applied during participant selection.</w:t>
      </w:r>
    </w:p>
    <w:p w14:paraId="6CC0EB1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Sampling strategies documented in protocols (e.g., stratified sampling, quotas).</w:t>
      </w:r>
    </w:p>
    <w:p w14:paraId="4007E9A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recruitment guidelines.</w:t>
      </w:r>
    </w:p>
    <w:p w14:paraId="0A9CC30F"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AF3B9D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Participant Recruitment and Selection Process</w:t>
      </w:r>
    </w:p>
    <w:p w14:paraId="332C569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Record specific methods, criteria, and procedures used in recruiting and selecting subjects, including demographic and contextual considerations to ensure transparency and reproducibility in the recruitment process.</w:t>
      </w:r>
    </w:p>
    <w:p w14:paraId="4702227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7F0F9A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Recruitment logs and screening questionnaires.</w:t>
      </w:r>
    </w:p>
    <w:p w14:paraId="32A5A3D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Inclusion/exclusion criteria documentation.</w:t>
      </w:r>
    </w:p>
    <w:p w14:paraId="178BC08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Sampling plans demonstrating attempts to promote representativeness.</w:t>
      </w:r>
    </w:p>
    <w:p w14:paraId="6765EF2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outreach efforts to various subpopulations.</w:t>
      </w:r>
    </w:p>
    <w:p w14:paraId="4C95A66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41CBBF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Acknowledgment of Limitations and Biases</w:t>
      </w:r>
    </w:p>
    <w:p w14:paraId="7D62EB2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Clearly document any known limitations, biases, or gaps in the participant population that could not be fully mitigated, and describe the potential impact on evaluation results to inform stakeholders and contextualize findings.</w:t>
      </w:r>
    </w:p>
    <w:p w14:paraId="56E553B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6C9BE8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Bias assessment reports highlighting representativeness gaps.</w:t>
      </w:r>
    </w:p>
    <w:p w14:paraId="749FA84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Limitations section in evaluation reports.</w:t>
      </w:r>
    </w:p>
    <w:p w14:paraId="2C074DB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or reviewer acknowledgments of potential biases.</w:t>
      </w:r>
    </w:p>
    <w:p w14:paraId="2F3E0A1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plans for future mitigation where possible.</w:t>
      </w:r>
    </w:p>
    <w:p w14:paraId="7A15608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1241A6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Evaluation and Validation of Sample Representativeness</w:t>
      </w:r>
    </w:p>
    <w:p w14:paraId="01154CF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analyses to compare participant demographics and characteristics against the target population to assess representativeness, and document findings to identify disparities and inform future recruitment strategies.</w:t>
      </w:r>
    </w:p>
    <w:p w14:paraId="2936630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26816EA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Statistical comparison reports (e.g., demographic distributions).</w:t>
      </w:r>
    </w:p>
    <w:p w14:paraId="4E7E54E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Traceability matrices linking sample characteristics to target population features.</w:t>
      </w:r>
    </w:p>
    <w:p w14:paraId="5F8C9A9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Gap analysis reports with recommendations for future sampling.</w:t>
      </w:r>
    </w:p>
    <w:p w14:paraId="3012911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Validation dashboards displaying representativeness metrics.</w:t>
      </w:r>
    </w:p>
    <w:p w14:paraId="5354956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EF3F11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Improvement and Reporting of Sampling Practices</w:t>
      </w:r>
    </w:p>
    <w:p w14:paraId="1F7528C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Periodically review recruitment and sampling processes, incorporate lessons learned, and update procedures to improve representativeness in future evaluations to enhance the validity and generalizability of research outcomes.</w:t>
      </w:r>
    </w:p>
    <w:p w14:paraId="6CA9DB9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B5926E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meeting minutes and improvement action logs.</w:t>
      </w:r>
    </w:p>
    <w:p w14:paraId="3635AAC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recruitment and sampling protocols reflecting best practices.</w:t>
      </w:r>
    </w:p>
    <w:p w14:paraId="43E6809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participants and evaluators.</w:t>
      </w:r>
    </w:p>
    <w:p w14:paraId="7CE0264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adjustments made to address biases or gaps.</w:t>
      </w:r>
    </w:p>
    <w:p w14:paraId="3E2A4512"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76A888FF"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3A9C871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21F738E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18C3BB72" w14:textId="77777777" w:rsidTr="005C00A5">
        <w:tc>
          <w:tcPr>
            <w:tcW w:w="1170" w:type="dxa"/>
          </w:tcPr>
          <w:p w14:paraId="244F9F1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1D96D14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3DE86DA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39820DDD" w14:textId="77777777" w:rsidTr="005C00A5">
        <w:tc>
          <w:tcPr>
            <w:tcW w:w="1170" w:type="dxa"/>
          </w:tcPr>
          <w:p w14:paraId="27FAD01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MS-2.2.3</w:t>
            </w:r>
          </w:p>
        </w:tc>
        <w:tc>
          <w:tcPr>
            <w:tcW w:w="2160" w:type="dxa"/>
          </w:tcPr>
          <w:p w14:paraId="5C0DEDB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Adverse Event Monitoring and Review</w:t>
            </w:r>
          </w:p>
        </w:tc>
        <w:tc>
          <w:tcPr>
            <w:tcW w:w="6740" w:type="dxa"/>
          </w:tcPr>
          <w:p w14:paraId="1D65DD9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has procedures in place to monitor for and document adverse events or unintended consequences experienced by human subjects during the evaluation process, such as errors in testing or negative impacts. It takes appropriate measures to address and mitigate these issues when they occur. The organization conducts post-evaluation reviews to identify lessons learned from any adverse events in order to drive improvements to its human subject evaluation practices.</w:t>
            </w:r>
          </w:p>
          <w:p w14:paraId="67F2248B" w14:textId="77777777" w:rsidR="00963E47" w:rsidRPr="00963E47" w:rsidRDefault="00963E47" w:rsidP="004C3837">
            <w:pPr>
              <w:keepNext/>
              <w:rPr>
                <w:rFonts w:ascii="Aptos" w:hAnsi="Aptos" w:cs="Times New Roman"/>
                <w:b/>
                <w:bCs/>
                <w:color w:val="000000"/>
                <w:sz w:val="20"/>
                <w:szCs w:val="20"/>
              </w:rPr>
            </w:pPr>
          </w:p>
          <w:p w14:paraId="4F70E806" w14:textId="77777777" w:rsidR="00963E47" w:rsidRPr="00963E47" w:rsidRDefault="00963E47" w:rsidP="004C3837">
            <w:pPr>
              <w:keepNext/>
              <w:rPr>
                <w:rFonts w:ascii="Aptos" w:hAnsi="Aptos" w:cs="Times New Roman"/>
                <w:b/>
                <w:bCs/>
                <w:color w:val="000000"/>
                <w:sz w:val="20"/>
                <w:szCs w:val="20"/>
              </w:rPr>
            </w:pPr>
            <w:hyperlink r:id="rId151" w:anchor="measure-2-2" w:history="1">
              <w:r w:rsidRPr="00963E47">
                <w:rPr>
                  <w:rFonts w:ascii="Aptos" w:hAnsi="Aptos" w:cs="Times New Roman"/>
                  <w:color w:val="000000"/>
                  <w:sz w:val="20"/>
                  <w:szCs w:val="20"/>
                  <w:u w:val="single"/>
                </w:rPr>
                <w:t>Link to NIST AI RMF Playbook</w:t>
              </w:r>
            </w:hyperlink>
          </w:p>
        </w:tc>
      </w:tr>
    </w:tbl>
    <w:p w14:paraId="4D5AAF66"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B07CD46"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655ABB83"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605B10D1" w14:textId="77777777" w:rsidTr="005C00A5">
        <w:trPr>
          <w:tblHeader/>
        </w:trPr>
        <w:tc>
          <w:tcPr>
            <w:tcW w:w="2160" w:type="dxa"/>
            <w:shd w:val="clear" w:color="auto" w:fill="CCDCDC"/>
            <w:vAlign w:val="center"/>
          </w:tcPr>
          <w:p w14:paraId="64D87C8F"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602F7056"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16F56CC9"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325A51D2" w14:textId="77777777" w:rsidTr="005C00A5">
        <w:tc>
          <w:tcPr>
            <w:tcW w:w="2160" w:type="dxa"/>
            <w:shd w:val="clear" w:color="auto" w:fill="CCDCDC"/>
          </w:tcPr>
          <w:p w14:paraId="20A10BC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5D4E843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832725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39F0DE07" w14:textId="77777777" w:rsidTr="005C00A5">
        <w:tc>
          <w:tcPr>
            <w:tcW w:w="2160" w:type="dxa"/>
            <w:shd w:val="clear" w:color="auto" w:fill="CCDCDC"/>
          </w:tcPr>
          <w:p w14:paraId="4E01BEA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33FCE77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08477F7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6131FCA6" w14:textId="77777777" w:rsidTr="005C00A5">
        <w:tc>
          <w:tcPr>
            <w:tcW w:w="2160" w:type="dxa"/>
            <w:shd w:val="clear" w:color="auto" w:fill="CCDCDC"/>
          </w:tcPr>
          <w:p w14:paraId="6882936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745E911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AF2018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have well-established procedures in place to monitor for and document adverse events or unintended consequences experienced by human subjects during the evaluation process, such as errors in testing or negative impacts. The organization consistently takes appropriate measures to address and mitigate these issues when they occur and conducts post-evaluation reviews to identify lessons learned from any adverse events in order to drive improvements to its human subject evaluation practices.</w:t>
            </w:r>
          </w:p>
        </w:tc>
      </w:tr>
      <w:tr w:rsidR="00963E47" w:rsidRPr="00963E47" w14:paraId="32A695CA" w14:textId="77777777" w:rsidTr="005C00A5">
        <w:tc>
          <w:tcPr>
            <w:tcW w:w="2160" w:type="dxa"/>
            <w:shd w:val="clear" w:color="auto" w:fill="CCDCDC"/>
          </w:tcPr>
          <w:p w14:paraId="55B64D5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4DC1BEB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CBDA66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Organizations at the embedded stage have advanced, automated procedures in place to continuously monitor for and document adverse events or unintended consequences experienced by human subjects during the evaluation process, such as errors in testing or negative impacts, with real-time alerts and dynamic adjustments based on data-driven insights. The organization proactively takes appropriate measures to address and mitigate these issues when they </w:t>
            </w:r>
            <w:r w:rsidRPr="00963E47">
              <w:rPr>
                <w:rFonts w:ascii="Aptos" w:hAnsi="Aptos" w:cs="Times New Roman"/>
                <w:noProof/>
                <w:color w:val="auto"/>
                <w:sz w:val="20"/>
                <w:szCs w:val="20"/>
              </w:rPr>
              <w:lastRenderedPageBreak/>
              <w:t>occur and conducts post-evaluation reviews to identify lessons learned from any adverse events in order to drive improvements to its human subject evaluation practices, with seamless integration into the organization's research and development frameworks, ensuring the highest level of human subject protection and continuous improvement.</w:t>
            </w:r>
          </w:p>
        </w:tc>
      </w:tr>
    </w:tbl>
    <w:p w14:paraId="3BCD3954"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218F464A" w14:textId="77777777" w:rsidTr="005C00A5">
        <w:tc>
          <w:tcPr>
            <w:tcW w:w="2250" w:type="dxa"/>
          </w:tcPr>
          <w:p w14:paraId="4B1D284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389F00B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46EA320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31BEAADF" w14:textId="77777777" w:rsidTr="005C00A5">
        <w:tc>
          <w:tcPr>
            <w:tcW w:w="2250" w:type="dxa"/>
          </w:tcPr>
          <w:p w14:paraId="10883A6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55348F9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Inadequate Human Impact Monitoring</w:t>
            </w:r>
          </w:p>
        </w:tc>
        <w:tc>
          <w:tcPr>
            <w:tcW w:w="5300" w:type="dxa"/>
          </w:tcPr>
          <w:p w14:paraId="5C75E42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Procedures are inadequate to monitor and document adverse events with human subjects</w:t>
            </w:r>
          </w:p>
        </w:tc>
      </w:tr>
    </w:tbl>
    <w:p w14:paraId="7AAE0CC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22CC0A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09E78D7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32B4DC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procedures for monitoring and documenting adverse events or unintended consequences experienced by human subjects during the evaluation process. Develop clear definitions and criteria for identifying and classifying adverse events, and train evaluation staff to recognize and report these incidents promptly.</w:t>
      </w:r>
    </w:p>
    <w:p w14:paraId="7F5293B5"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1DF976F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Implement a system for tracking and investigating reported adverse events, including procedures for providing appropriate support and follow-up to affected participants. Establish a process for conducting post-evaluation reviews to identify lessons learned from any adverse events and develop recommendations for improving the organization's human subject evaluation practices. Ensure that these recommendations are communicated to relevant stakeholders and incorporated into future evaluation plans and protocols.</w:t>
      </w:r>
    </w:p>
    <w:p w14:paraId="06558254"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975848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4C69980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9FA9A8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Establishment of Incident Monitoring and Documentation Procedures</w:t>
      </w:r>
    </w:p>
    <w:p w14:paraId="6E0770F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formal processes for real-time monitoring, recording, and documenting adverse events, errors, or negative impacts on human subjects during evaluation activities.</w:t>
      </w:r>
    </w:p>
    <w:p w14:paraId="2E8626A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B8583A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reporting protocols with clear definitions of adverse events.</w:t>
      </w:r>
    </w:p>
    <w:p w14:paraId="7C184CD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logs with detailed descriptions, timestamps, and responsible personnel.</w:t>
      </w:r>
    </w:p>
    <w:p w14:paraId="4B49F1A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Procedures for categorizing and prioritizing incidents based on severity and impact.</w:t>
      </w:r>
    </w:p>
    <w:p w14:paraId="6EC7BFF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records emphasizing incident identification and reporting.</w:t>
      </w:r>
    </w:p>
    <w:p w14:paraId="001C916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303875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Response and Mitigation Mechanisms</w:t>
      </w:r>
    </w:p>
    <w:p w14:paraId="196B194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Define and implement steps for immediate response, investigation, and mitigation of adverse events, including communication with affected subjects and stakeholders to ensure timely support and resolution of issues.</w:t>
      </w:r>
    </w:p>
    <w:p w14:paraId="3CB57B6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94C0A9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response playbooks and escalation procedures.</w:t>
      </w:r>
    </w:p>
    <w:p w14:paraId="15400DF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Investigation reports detailing root causes and corrective actions.</w:t>
      </w:r>
    </w:p>
    <w:p w14:paraId="556489E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mitigation measures and follow-up activities.</w:t>
      </w:r>
    </w:p>
    <w:p w14:paraId="0D0B669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communications with human subjects and stakeholders.</w:t>
      </w:r>
    </w:p>
    <w:p w14:paraId="096AA7F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BBB4A2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Post-Evaluation Review and Lessons Learned</w:t>
      </w:r>
    </w:p>
    <w:p w14:paraId="3B19CC8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structured post-evaluation reviews when adverse events occur, analyzing root causes, impacts, and the effectiveness of response measures, and documenting lessons learned to inform future practices and prevent recurrence.</w:t>
      </w:r>
    </w:p>
    <w:p w14:paraId="67C866F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E23826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reports summarizing adverse events and responses.</w:t>
      </w:r>
    </w:p>
    <w:p w14:paraId="034E6D6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documentation with recommended process improvements.</w:t>
      </w:r>
    </w:p>
    <w:p w14:paraId="72C6F26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Follow-up activity records verifying implementation of lessons learned.</w:t>
      </w:r>
    </w:p>
    <w:p w14:paraId="554E8D9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Management review and approval records of review findings.</w:t>
      </w:r>
    </w:p>
    <w:p w14:paraId="419BF7AF"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779D62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Improvement of Practices and Procedures</w:t>
      </w:r>
    </w:p>
    <w:p w14:paraId="38189CD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update procedures, training, and mitigation strategies based on lessons learned from adverse events to improve safety and response capabilities within the organization’s evaluation processes.</w:t>
      </w:r>
    </w:p>
    <w:p w14:paraId="23467AD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1E3588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Revision logs showing updates to incident management protocols.</w:t>
      </w:r>
    </w:p>
    <w:p w14:paraId="69C9203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refreshers emphasizing lessons learned.</w:t>
      </w:r>
    </w:p>
    <w:p w14:paraId="63E6D08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evaluation teams on process effectiveness.</w:t>
      </w:r>
    </w:p>
    <w:p w14:paraId="28D9A08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Systematic implementation of corrective actions.</w:t>
      </w:r>
    </w:p>
    <w:p w14:paraId="3FEF652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E097A4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Transparency and Communication with Stakeholders</w:t>
      </w:r>
    </w:p>
    <w:p w14:paraId="2CA4536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transparent communication with affected human subjects and stakeholders about adverse events, actions taken, and improvements implemented, fostering trust and accountability in the organization's commitment to sound practices and participant safety.</w:t>
      </w:r>
    </w:p>
    <w:p w14:paraId="372061F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05A5E5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Communication records or reports shared with subjects and stakeholders.</w:t>
      </w:r>
    </w:p>
    <w:p w14:paraId="55E2699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Transparency disclosures in internal or external reports.</w:t>
      </w:r>
    </w:p>
    <w:p w14:paraId="69F9264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feedback on incident handling and transparency.</w:t>
      </w:r>
    </w:p>
    <w:p w14:paraId="163F92D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stakeholder engagement post-incident.</w:t>
      </w:r>
    </w:p>
    <w:p w14:paraId="1FF142C2"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51" w:name="_Toc214874796"/>
      <w:r w:rsidRPr="00963E47">
        <w:rPr>
          <w:rFonts w:ascii="Aptos" w:eastAsia="Aptos" w:hAnsi="Aptos" w:cs="Times New Roman"/>
          <w:b/>
          <w:bCs/>
          <w:noProof/>
          <w:color w:val="35256B"/>
          <w:kern w:val="2"/>
          <w:sz w:val="24"/>
          <w14:ligatures w14:val="standardContextual"/>
        </w:rPr>
        <w:t>MEASURE / Evaluating AI Systems / Ensuring Realistic Measurement</w:t>
      </w:r>
      <w:bookmarkEnd w:id="51"/>
      <w:r w:rsidRPr="00963E47">
        <w:rPr>
          <w:rFonts w:ascii="Aptos" w:eastAsia="Aptos" w:hAnsi="Aptos" w:cs="Times New Roman"/>
          <w:b/>
          <w:bCs/>
          <w:noProof/>
          <w:color w:val="35256B"/>
          <w:kern w:val="2"/>
          <w:sz w:val="24"/>
          <w14:ligatures w14:val="standardContextual"/>
        </w:rPr>
        <w:t xml:space="preserve"> </w:t>
      </w:r>
    </w:p>
    <w:p w14:paraId="059AE199"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21CD6B3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6098205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7D0F0C7F" w14:textId="77777777" w:rsidTr="005C00A5">
        <w:tc>
          <w:tcPr>
            <w:tcW w:w="1170" w:type="dxa"/>
          </w:tcPr>
          <w:p w14:paraId="471E466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6F7FED9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19CA32E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67E8C308" w14:textId="77777777" w:rsidTr="005C00A5">
        <w:tc>
          <w:tcPr>
            <w:tcW w:w="1170" w:type="dxa"/>
          </w:tcPr>
          <w:p w14:paraId="455F62C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MS-2.3.1</w:t>
            </w:r>
          </w:p>
        </w:tc>
        <w:tc>
          <w:tcPr>
            <w:tcW w:w="2160" w:type="dxa"/>
          </w:tcPr>
          <w:p w14:paraId="775CD22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Performance and Assurance Criteria</w:t>
            </w:r>
          </w:p>
        </w:tc>
        <w:tc>
          <w:tcPr>
            <w:tcW w:w="6740" w:type="dxa"/>
          </w:tcPr>
          <w:p w14:paraId="3EF6A03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defines clear performance and assurance criteria for its AI systems that are tailored to the specific intended use cases, deployment settings, and stakeholder expectations associated with each system. The organization engages a range of relevant stakeholders to review and validate that the selected measures are appropriate and meaningful for assessing the system in its real-world context of use. The stakeholder engagement process and key feedback are documented.</w:t>
            </w:r>
          </w:p>
          <w:p w14:paraId="166D68FA" w14:textId="77777777" w:rsidR="00963E47" w:rsidRPr="00963E47" w:rsidRDefault="00963E47" w:rsidP="004C3837">
            <w:pPr>
              <w:keepNext/>
              <w:rPr>
                <w:rFonts w:ascii="Aptos" w:hAnsi="Aptos" w:cs="Times New Roman"/>
                <w:b/>
                <w:bCs/>
                <w:color w:val="000000"/>
                <w:sz w:val="20"/>
                <w:szCs w:val="20"/>
              </w:rPr>
            </w:pPr>
          </w:p>
          <w:p w14:paraId="7E60F01F" w14:textId="77777777" w:rsidR="00963E47" w:rsidRPr="00963E47" w:rsidRDefault="00963E47" w:rsidP="004C3837">
            <w:pPr>
              <w:keepNext/>
              <w:rPr>
                <w:rFonts w:ascii="Aptos" w:hAnsi="Aptos" w:cs="Times New Roman"/>
                <w:b/>
                <w:bCs/>
                <w:color w:val="000000"/>
                <w:sz w:val="20"/>
                <w:szCs w:val="20"/>
              </w:rPr>
            </w:pPr>
            <w:hyperlink r:id="rId152" w:anchor="measure-2-3" w:history="1">
              <w:r w:rsidRPr="00963E47">
                <w:rPr>
                  <w:rFonts w:ascii="Aptos" w:hAnsi="Aptos" w:cs="Times New Roman"/>
                  <w:color w:val="000000"/>
                  <w:sz w:val="20"/>
                  <w:szCs w:val="20"/>
                  <w:u w:val="single"/>
                </w:rPr>
                <w:t>Link to NIST AI RMF Playbook</w:t>
              </w:r>
            </w:hyperlink>
          </w:p>
        </w:tc>
      </w:tr>
    </w:tbl>
    <w:p w14:paraId="678EE7CA"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05F2113"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0C84B6F0"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61BA4E71" w14:textId="77777777" w:rsidTr="005C00A5">
        <w:trPr>
          <w:tblHeader/>
        </w:trPr>
        <w:tc>
          <w:tcPr>
            <w:tcW w:w="2160" w:type="dxa"/>
            <w:shd w:val="clear" w:color="auto" w:fill="CCDCDC"/>
            <w:vAlign w:val="center"/>
          </w:tcPr>
          <w:p w14:paraId="5A6AD15B"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4EEE646D"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2A8F97AB"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4AB9746E" w14:textId="77777777" w:rsidTr="005C00A5">
        <w:tc>
          <w:tcPr>
            <w:tcW w:w="2160" w:type="dxa"/>
            <w:shd w:val="clear" w:color="auto" w:fill="CCDCDC"/>
          </w:tcPr>
          <w:p w14:paraId="43601E4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5976E38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103D2C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27DDAACD" w14:textId="77777777" w:rsidTr="005C00A5">
        <w:tc>
          <w:tcPr>
            <w:tcW w:w="2160" w:type="dxa"/>
            <w:shd w:val="clear" w:color="auto" w:fill="CCDCDC"/>
          </w:tcPr>
          <w:p w14:paraId="47B487E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73CDE6D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D1D4B4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begin defining basic performance criteria for their limited AI systems, tailored to their intended use cases and stakeholder expectations. They begin engaging key stakeholders to review and validate these measures.</w:t>
            </w:r>
          </w:p>
        </w:tc>
      </w:tr>
      <w:tr w:rsidR="00963E47" w:rsidRPr="00963E47" w14:paraId="4EFB2301" w14:textId="77777777" w:rsidTr="005C00A5">
        <w:tc>
          <w:tcPr>
            <w:tcW w:w="2160" w:type="dxa"/>
            <w:shd w:val="clear" w:color="auto" w:fill="CCDCDC"/>
          </w:tcPr>
          <w:p w14:paraId="7DEE434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3898D01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973EA9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evolving stage, organizations consistently define clear performance and assurance criteria for their AI systems that are tailored to the specific intended use cases, deployment settings, and stakeholder expectations associated with each system. The organization actively engages a range of relevant stakeholders to review and validate that the selected measures are appropriate and </w:t>
            </w:r>
            <w:r w:rsidRPr="00963E47">
              <w:rPr>
                <w:rFonts w:ascii="Aptos" w:hAnsi="Aptos" w:cs="Times New Roman"/>
                <w:noProof/>
                <w:color w:val="auto"/>
                <w:sz w:val="20"/>
                <w:szCs w:val="20"/>
              </w:rPr>
              <w:lastRenderedPageBreak/>
              <w:t>meaningful for assessing the system in its real-world context of use. The stakeholder engagement process and key feedback are comprehensively documented.</w:t>
            </w:r>
          </w:p>
        </w:tc>
      </w:tr>
      <w:tr w:rsidR="00963E47" w:rsidRPr="00963E47" w14:paraId="6C01B554" w14:textId="77777777" w:rsidTr="005C00A5">
        <w:tc>
          <w:tcPr>
            <w:tcW w:w="2160" w:type="dxa"/>
            <w:shd w:val="clear" w:color="auto" w:fill="CCDCDC"/>
          </w:tcPr>
          <w:p w14:paraId="137AC52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4: Embedded</w:t>
            </w:r>
          </w:p>
        </w:tc>
        <w:tc>
          <w:tcPr>
            <w:tcW w:w="1350" w:type="dxa"/>
          </w:tcPr>
          <w:p w14:paraId="67E9BF8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D64B85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continuously defining clear performance and assurance criteria for their AI systems that are dynamically tailored to the specific intended use cases, deployment settings, and stakeholder expectations associated with each system, with real-time updates based on data-driven insights. The organization proactively engages a range of relevant stakeholders to review and validate that the selected measures are appropriate and meaningful for assessing the system in its real-world context of use, with seamless integration of stakeholder feedback. The stakeholder engagement process and key feedback are dynamically documented, ensuring the highest level of context-specific relevance and stakeholder alignment.</w:t>
            </w:r>
          </w:p>
        </w:tc>
      </w:tr>
    </w:tbl>
    <w:p w14:paraId="189646C9"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6CAB22B9" w14:textId="77777777" w:rsidTr="005C00A5">
        <w:tc>
          <w:tcPr>
            <w:tcW w:w="2250" w:type="dxa"/>
          </w:tcPr>
          <w:p w14:paraId="58265CD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52C3A8E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37344E4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3CE94785" w14:textId="77777777" w:rsidTr="005C00A5">
        <w:tc>
          <w:tcPr>
            <w:tcW w:w="2250" w:type="dxa"/>
          </w:tcPr>
          <w:p w14:paraId="7C6010D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Valid &amp; Reliable</w:t>
            </w:r>
          </w:p>
        </w:tc>
        <w:tc>
          <w:tcPr>
            <w:tcW w:w="2520" w:type="dxa"/>
          </w:tcPr>
          <w:p w14:paraId="0C73B94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Lack of Tailored Criteria</w:t>
            </w:r>
          </w:p>
        </w:tc>
        <w:tc>
          <w:tcPr>
            <w:tcW w:w="5300" w:type="dxa"/>
          </w:tcPr>
          <w:p w14:paraId="4E981EF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Performance and assurance criteria lack tailoring, stakeholder engagement, and documentation for AI</w:t>
            </w:r>
          </w:p>
        </w:tc>
      </w:tr>
    </w:tbl>
    <w:p w14:paraId="5C6985F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7454DF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18CCD28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4B537B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a process for defining clear performance and assurance criteria for each AI system, tailored to its specific intended use cases, deployment settings, and stakeholder expectations. Involve a broad range of relevant stakeholders, such as end-users, domain experts, and risk management professionals, in the process of developing and validating these criteria.</w:t>
      </w:r>
    </w:p>
    <w:p w14:paraId="37267969"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A0C918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Document the stakeholder engagement process, including the methods used to gather input (e.g., surveys, focus groups, interviews), the key feedback received, and how this feedback was incorporated into the final set of performance and assurance criteria. Ensure that the criteria are measurable, achievable, and aligned with the organization's overall goals and values.</w:t>
      </w:r>
    </w:p>
    <w:p w14:paraId="2F36CBF8"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43BB53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61A4142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EA65B8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System-Specific Performance and Assurance Criteria</w:t>
      </w:r>
    </w:p>
    <w:p w14:paraId="7F126D2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Create documentation of tailored performance metrics and assurance criteria that reflect the system’s use case, deployment setting, and stakeholder needs.</w:t>
      </w:r>
    </w:p>
    <w:p w14:paraId="00F2A85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831FC5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Performance and assurance criteria templates aligned with intended application contexts.</w:t>
      </w:r>
    </w:p>
    <w:p w14:paraId="30AA2F1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Technical specifications specifying metrics relevant to the system’s goals.</w:t>
      </w:r>
    </w:p>
    <w:p w14:paraId="0BDD14B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Policy or standard documents on criteria development processes.</w:t>
      </w:r>
    </w:p>
    <w:p w14:paraId="3B70936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criteria documents.</w:t>
      </w:r>
    </w:p>
    <w:p w14:paraId="68D30DCF"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3C5BE0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Stakeholder Review and Validation Process</w:t>
      </w:r>
    </w:p>
    <w:p w14:paraId="5417E7B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structured processes for engaging stakeholders (e.g., end-users, subject matter experts, affected communities) to review and validate the appropriateness and relevance of the performance measures to ensure that they reflect real-world needs and scenarios.</w:t>
      </w:r>
    </w:p>
    <w:p w14:paraId="3422054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831DA9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agendas, minutes, and feedback forms from stakeholder reviews.</w:t>
      </w:r>
    </w:p>
    <w:p w14:paraId="4B9BFCF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sign-offs confirming validation of criteria.</w:t>
      </w:r>
    </w:p>
    <w:p w14:paraId="3A438FD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Records of workshops and validation sessions.</w:t>
      </w:r>
    </w:p>
    <w:p w14:paraId="4CF18F8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Summaries of stakeholder inputs and integration into criteria.</w:t>
      </w:r>
    </w:p>
    <w:p w14:paraId="6A1C343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70CEE3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Feedback and Validation Outcomes</w:t>
      </w:r>
    </w:p>
    <w:p w14:paraId="261B769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Record all stakeholder feedback, validation results, and the rationale for adopting specific measures, maintaining traceability and transparency to support accountability and facilitate future reviews.</w:t>
      </w:r>
    </w:p>
    <w:p w14:paraId="06A16B0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994B6A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logs with dates, stakeholder identities, and comments.</w:t>
      </w:r>
    </w:p>
    <w:p w14:paraId="592FF1D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Validation reports with explanations of measure appropriateness and adjustments.</w:t>
      </w:r>
    </w:p>
    <w:p w14:paraId="1F5DC8E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of criteria updates based on stakeholder input.</w:t>
      </w:r>
    </w:p>
    <w:p w14:paraId="6BF1332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Signed approval records from relevant oversight bodies.</w:t>
      </w:r>
    </w:p>
    <w:p w14:paraId="1F44A5A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793D7F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Alignment of Criteria with Real-World Contexts and Expectations</w:t>
      </w:r>
    </w:p>
    <w:p w14:paraId="6DD06EC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Ensure that performance and assurance criteria are aligned with operational realities, stakeholder expectations, and regulatory or industry standards; document how this alignment was achieved through stakeholder engagement and iterative review processes.</w:t>
      </w:r>
    </w:p>
    <w:p w14:paraId="7036988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986D4A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Mapping matrices linking criteria to use case scenarios and stakeholder expectations.</w:t>
      </w:r>
    </w:p>
    <w:p w14:paraId="4498E18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Compliance checklists confirming standards are met.</w:t>
      </w:r>
    </w:p>
    <w:p w14:paraId="3810262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validation reports explicitly addressing real-world applicability.</w:t>
      </w:r>
    </w:p>
    <w:p w14:paraId="5E94453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External review or benchmark reports.</w:t>
      </w:r>
    </w:p>
    <w:p w14:paraId="792F23E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081D44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Periodic Review and Adaptation of Criteria</w:t>
      </w:r>
    </w:p>
    <w:p w14:paraId="2FB95C7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Schedule regular reviews of performance and assurance criteria to incorporate system updates, operational feedback, lessons learned, and evolving stakeholder expectations to maintain the relevance and effectiveness of the criteria over time.</w:t>
      </w:r>
    </w:p>
    <w:p w14:paraId="751D35A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CA0C54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and review meeting minutes.</w:t>
      </w:r>
    </w:p>
    <w:p w14:paraId="3EBDEF4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criteria documentation reflecting latest insights.</w:t>
      </w:r>
    </w:p>
    <w:p w14:paraId="1790EAE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summaries from operations and stakeholder re-engagements.</w:t>
      </w:r>
    </w:p>
    <w:p w14:paraId="2D8F982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 histories of criteria documents.</w:t>
      </w:r>
    </w:p>
    <w:p w14:paraId="78CCBE8C"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61B6EB68"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4171DA0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47C567C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533EBBFB" w14:textId="77777777" w:rsidTr="005C00A5">
        <w:tc>
          <w:tcPr>
            <w:tcW w:w="1170" w:type="dxa"/>
          </w:tcPr>
          <w:p w14:paraId="7B2B0A1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3D2F1B8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533FD79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7275D58E" w14:textId="77777777" w:rsidTr="005C00A5">
        <w:tc>
          <w:tcPr>
            <w:tcW w:w="1170" w:type="dxa"/>
          </w:tcPr>
          <w:p w14:paraId="28BE7D4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MS-2.3.2</w:t>
            </w:r>
          </w:p>
        </w:tc>
        <w:tc>
          <w:tcPr>
            <w:tcW w:w="2160" w:type="dxa"/>
          </w:tcPr>
          <w:p w14:paraId="2ED7DDC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Measurement Methods and Results</w:t>
            </w:r>
          </w:p>
        </w:tc>
        <w:tc>
          <w:tcPr>
            <w:tcW w:w="6740" w:type="dxa"/>
          </w:tcPr>
          <w:p w14:paraId="2A634FB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selects and applies a combination of quantitative and qualitative measurement methods to rigorously evaluate each AI system's performance and assurance characteristics, based on the specific criteria defined for that system. Quantitative measures may include established metrics appropriate for regression, time-series, classification, information retrieval, clustering, dimensional reduction, natural language processing or other tasks. Qualitative measures may include user feedback, expert reviews, and assessments of explainability, usability and accessibility. The measurement approaches and results are documented.</w:t>
            </w:r>
          </w:p>
          <w:p w14:paraId="3EF50893" w14:textId="77777777" w:rsidR="00963E47" w:rsidRPr="00963E47" w:rsidRDefault="00963E47" w:rsidP="004C3837">
            <w:pPr>
              <w:keepNext/>
              <w:rPr>
                <w:rFonts w:ascii="Aptos" w:hAnsi="Aptos" w:cs="Times New Roman"/>
                <w:b/>
                <w:bCs/>
                <w:color w:val="000000"/>
                <w:sz w:val="20"/>
                <w:szCs w:val="20"/>
              </w:rPr>
            </w:pPr>
          </w:p>
          <w:p w14:paraId="5956CFFC" w14:textId="77777777" w:rsidR="00963E47" w:rsidRPr="00963E47" w:rsidRDefault="00963E47" w:rsidP="004C3837">
            <w:pPr>
              <w:keepNext/>
              <w:rPr>
                <w:rFonts w:ascii="Aptos" w:hAnsi="Aptos" w:cs="Times New Roman"/>
                <w:b/>
                <w:bCs/>
                <w:color w:val="000000"/>
                <w:sz w:val="20"/>
                <w:szCs w:val="20"/>
              </w:rPr>
            </w:pPr>
            <w:hyperlink r:id="rId153" w:anchor="measure-2-3" w:history="1">
              <w:r w:rsidRPr="00963E47">
                <w:rPr>
                  <w:rFonts w:ascii="Aptos" w:hAnsi="Aptos" w:cs="Times New Roman"/>
                  <w:color w:val="000000"/>
                  <w:sz w:val="20"/>
                  <w:szCs w:val="20"/>
                  <w:u w:val="single"/>
                </w:rPr>
                <w:t>Link to NIST AI RMF Playbook</w:t>
              </w:r>
            </w:hyperlink>
          </w:p>
        </w:tc>
      </w:tr>
    </w:tbl>
    <w:p w14:paraId="2D8E8EB7"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105CC22"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lastRenderedPageBreak/>
        <w:t>Adoption Stage Applicability:</w:t>
      </w:r>
      <w:r w:rsidRPr="00963E47">
        <w:rPr>
          <w:rFonts w:ascii="Aptos" w:eastAsia="Aptos" w:hAnsi="Aptos" w:cs="Times New Roman"/>
          <w:color w:val="C00000"/>
          <w:kern w:val="2"/>
          <w:sz w:val="20"/>
          <w:szCs w:val="20"/>
          <w14:ligatures w14:val="standardContextual"/>
        </w:rPr>
        <w:t xml:space="preserve"> </w:t>
      </w:r>
    </w:p>
    <w:p w14:paraId="66752365"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2908B121" w14:textId="77777777" w:rsidTr="005C00A5">
        <w:trPr>
          <w:tblHeader/>
        </w:trPr>
        <w:tc>
          <w:tcPr>
            <w:tcW w:w="2160" w:type="dxa"/>
            <w:shd w:val="clear" w:color="auto" w:fill="CCDCDC"/>
            <w:vAlign w:val="center"/>
          </w:tcPr>
          <w:p w14:paraId="36DBBAE0"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269CED68"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6D4C73F0"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74F5B26E" w14:textId="77777777" w:rsidTr="005C00A5">
        <w:tc>
          <w:tcPr>
            <w:tcW w:w="2160" w:type="dxa"/>
            <w:shd w:val="clear" w:color="auto" w:fill="CCDCDC"/>
          </w:tcPr>
          <w:p w14:paraId="4D800B0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4434667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94C737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161DC2D7" w14:textId="77777777" w:rsidTr="005C00A5">
        <w:tc>
          <w:tcPr>
            <w:tcW w:w="2160" w:type="dxa"/>
            <w:shd w:val="clear" w:color="auto" w:fill="CCDCDC"/>
          </w:tcPr>
          <w:p w14:paraId="10CB13E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59C68A8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0BE786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begin selecting and applying basic measurement methods (potentially a mix of quantitative and qualitative) to evaluate the performance and characteristics of their limited AI systems. These methods might be less rigorous, but still aim to provide some level of assessment. Documentation is basic.</w:t>
            </w:r>
          </w:p>
        </w:tc>
      </w:tr>
      <w:tr w:rsidR="00963E47" w:rsidRPr="00963E47" w14:paraId="2A8533C5" w14:textId="77777777" w:rsidTr="005C00A5">
        <w:tc>
          <w:tcPr>
            <w:tcW w:w="2160" w:type="dxa"/>
            <w:shd w:val="clear" w:color="auto" w:fill="CCDCDC"/>
          </w:tcPr>
          <w:p w14:paraId="0EC8672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392A341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31CFF9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consistently select and apply a combination of quantitative and qualitative measurement methods to rigorously evaluate each AI system's performance and assurance characteristics, based on the specific criteria defined for that system. Quantitative measures may include established metrics such as accuracy, precision, recall, and error rates. Qualitative measures may include user feedback, expert reviews, and assessments of explainability, usability, and accessibility. The measurement approaches and results are comprehensively documented.</w:t>
            </w:r>
          </w:p>
        </w:tc>
      </w:tr>
      <w:tr w:rsidR="00963E47" w:rsidRPr="00963E47" w14:paraId="3782AD04" w14:textId="77777777" w:rsidTr="005C00A5">
        <w:tc>
          <w:tcPr>
            <w:tcW w:w="2160" w:type="dxa"/>
            <w:shd w:val="clear" w:color="auto" w:fill="CCDCDC"/>
          </w:tcPr>
          <w:p w14:paraId="531FDB1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0824E8F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B0AC70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continuously selecting and applying a combination of quantitative and qualitative measurement methods to rigorously evaluate each AI system's performance and assurance characteristics, based on the specific criteria defined for that system, with real-time updates based on data-driven insights. Quantitative measures may include established metrics such as accuracy, precision, recall, and error rates. Qualitative measures may include user feedback, expert reviews, and assessments of explainability, usability, and accessibility. The measurement approaches and results are dynamically documented, ensuring the highest level of comprehensive evaluation and transparency.</w:t>
            </w:r>
          </w:p>
        </w:tc>
      </w:tr>
    </w:tbl>
    <w:p w14:paraId="2B3438E3"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72DEE05B" w14:textId="77777777" w:rsidTr="005C00A5">
        <w:tc>
          <w:tcPr>
            <w:tcW w:w="2250" w:type="dxa"/>
          </w:tcPr>
          <w:p w14:paraId="0D772C6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2FEFB11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19692C8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1DADD3B8" w14:textId="77777777" w:rsidTr="005C00A5">
        <w:tc>
          <w:tcPr>
            <w:tcW w:w="2250" w:type="dxa"/>
          </w:tcPr>
          <w:p w14:paraId="6B51F9A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42E403A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Lack of Qualitative Measures</w:t>
            </w:r>
          </w:p>
        </w:tc>
        <w:tc>
          <w:tcPr>
            <w:tcW w:w="5300" w:type="dxa"/>
          </w:tcPr>
          <w:p w14:paraId="406C816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system evaluation lacks quantitative and qualitative measures and documentation</w:t>
            </w:r>
          </w:p>
        </w:tc>
      </w:tr>
    </w:tbl>
    <w:p w14:paraId="309FF84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403E19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23F1D04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ED0ABC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 framework for selecting and applying a combination of quantitative and qualitative measurement methods to rigorously evaluate each AI system’s performance and assurance characteristics, based on the specific criteria defined for that system. Identify relevant quantitative metrics, such as accuracy, precision, recall, and error rates, appropriate for the system’s tasks, including regression, time-series analysis, classification, information retrieval, clustering, dimensional reduction, or natural language processing.</w:t>
      </w:r>
    </w:p>
    <w:p w14:paraId="765BE083"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DC10A4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Determine qualitative measures—such as user feedback, expert reviews, and assessments of explainability, usability, and accessibility—that can provide valuable insights into the system’s real-world performance and impact. These qualitative assessments help identify issues that may not be fully captured through quantitative metrics but are critical for evaluating trustworthiness and effectiveness.</w:t>
      </w:r>
    </w:p>
    <w:p w14:paraId="31B36BCE"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4B3B91E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Ensure that all measurement approaches, including the selection of metrics and methods, and their results, are thoroughly documented. The documentation should be clear, comprehensive, and accessible to relevant stakeholders, supporting transparency and facilitating ongoing evaluation. Regularly review and update measurement </w:t>
      </w:r>
      <w:r w:rsidRPr="00963E47">
        <w:rPr>
          <w:rFonts w:ascii="Aptos" w:eastAsia="Aptos" w:hAnsi="Aptos" w:cs="Times New Roman"/>
          <w:noProof/>
          <w:color w:val="auto"/>
          <w:kern w:val="2"/>
          <w:sz w:val="20"/>
          <w:szCs w:val="20"/>
          <w14:ligatures w14:val="standardContextual"/>
        </w:rPr>
        <w:lastRenderedPageBreak/>
        <w:t>strategies to adapt to evolving system capabilities, data, and stakeholder feedback, maintaining the relevance and reliability of performance assessments.</w:t>
      </w:r>
    </w:p>
    <w:p w14:paraId="4759437A"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67E832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7E793A5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BC0F68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Defined AI Evaluation Goals and Methods</w:t>
      </w:r>
    </w:p>
    <w:p w14:paraId="04BE4C8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For each AI system, set clear performance and reliability goals. Then, choose the best mix of number-based tests (like accuracy scores) and human-based assessments (like user feedback) to check if these goals are met.</w:t>
      </w:r>
    </w:p>
    <w:p w14:paraId="138A5BF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DF7D24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AI system documents showing performance goals.</w:t>
      </w:r>
    </w:p>
    <w:p w14:paraId="674BA23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Justification for chosen evaluation methods.</w:t>
      </w:r>
    </w:p>
    <w:p w14:paraId="5B9A4A4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Approval records for evaluation plans.</w:t>
      </w:r>
    </w:p>
    <w:p w14:paraId="4920782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Mapping of AI tasks to their required measurements.</w:t>
      </w:r>
    </w:p>
    <w:p w14:paraId="7DAD913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6A97F5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of Performance Numbers for AI Evaluation</w:t>
      </w:r>
    </w:p>
    <w:p w14:paraId="2F861C1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collect and track key performance numbers for each AI system, tailored to what that system does. This provides objective proof of how well the AI is working.</w:t>
      </w:r>
    </w:p>
    <w:p w14:paraId="46EFA99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34AEC6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Software settings showing automatic tracking of AI metrics.</w:t>
      </w:r>
    </w:p>
    <w:p w14:paraId="1C5B719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Dashboards showing AI performance numbers.</w:t>
      </w:r>
    </w:p>
    <w:p w14:paraId="7B20E58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from AI system tests with numerical results.</w:t>
      </w:r>
    </w:p>
    <w:p w14:paraId="3813213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Documents explaining how these numbers are calculated.</w:t>
      </w:r>
    </w:p>
    <w:p w14:paraId="50ED6663"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E7DBB0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Collection of Human Feedback on AI Systems</w:t>
      </w:r>
    </w:p>
    <w:p w14:paraId="787CFE4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organized ways to get human insights about AI systems, like how easy they are to use, how fair they seem, or if their explanations make sense. This includes talking to users and getting expert opinions.</w:t>
      </w:r>
    </w:p>
    <w:p w14:paraId="6E345BA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9AD491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Summaries of user feedback on AI system experience.</w:t>
      </w:r>
    </w:p>
    <w:p w14:paraId="37DB054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from experts reviewing AI system fairness.</w:t>
      </w:r>
    </w:p>
    <w:p w14:paraId="6867290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Results from AI system usability tests.</w:t>
      </w:r>
    </w:p>
    <w:p w14:paraId="589E958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Documents outlining how qualitative feedback is gathered.</w:t>
      </w:r>
    </w:p>
    <w:p w14:paraId="56DBA35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31693D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Clear Documentation of AI Evaluation Methods</w:t>
      </w:r>
    </w:p>
    <w:p w14:paraId="5432079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Clearly write down how each AI system is evaluated, including all the specific tests and methods used. This explains why these methods were chosen and how they confirm the AI is working as expected.</w:t>
      </w:r>
    </w:p>
    <w:p w14:paraId="1E59914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D26584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Documents detailing evaluation methods for each AI system.</w:t>
      </w:r>
    </w:p>
    <w:p w14:paraId="7316A58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showing updates to evaluation documents.</w:t>
      </w:r>
    </w:p>
    <w:p w14:paraId="46D98D0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Centralized location for all AI evaluation documents.</w:t>
      </w:r>
    </w:p>
    <w:p w14:paraId="2305178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Proof new AI systems follow documentation rules.</w:t>
      </w:r>
    </w:p>
    <w:p w14:paraId="156517F3"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25480B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Centralized AI Evaluation Results</w:t>
      </w:r>
    </w:p>
    <w:p w14:paraId="5EDA081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All test results and feedback are collected, stored, and regularly reviewed together. This helps find overall trends, areas needing improvement, and keeps a clear record of the AI system's performance and trustworthiness.</w:t>
      </w:r>
    </w:p>
    <w:p w14:paraId="6D74B1D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0D694D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summarizing all AI evaluation results.</w:t>
      </w:r>
    </w:p>
    <w:p w14:paraId="3319B88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Dashboards showing combined test results and feedback.</w:t>
      </w:r>
    </w:p>
    <w:p w14:paraId="7CC8EF8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where evaluation results lead to actions.</w:t>
      </w:r>
    </w:p>
    <w:p w14:paraId="4399073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Proof results inform incident resolution or risk plans.</w:t>
      </w:r>
    </w:p>
    <w:p w14:paraId="60B7DE91"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08E242FC"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6B307D0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3E38B02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4ACB70FF" w14:textId="77777777" w:rsidTr="005C00A5">
        <w:tc>
          <w:tcPr>
            <w:tcW w:w="1170" w:type="dxa"/>
          </w:tcPr>
          <w:p w14:paraId="1FCAE73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461600E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552D6D6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61CB0714" w14:textId="77777777" w:rsidTr="005C00A5">
        <w:tc>
          <w:tcPr>
            <w:tcW w:w="1170" w:type="dxa"/>
          </w:tcPr>
          <w:p w14:paraId="79BAB94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MS-2.3.3</w:t>
            </w:r>
          </w:p>
        </w:tc>
        <w:tc>
          <w:tcPr>
            <w:tcW w:w="2160" w:type="dxa"/>
          </w:tcPr>
          <w:p w14:paraId="0B62E66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Performance Analysis and Trends</w:t>
            </w:r>
          </w:p>
        </w:tc>
        <w:tc>
          <w:tcPr>
            <w:tcW w:w="6740" w:type="dxa"/>
          </w:tcPr>
          <w:p w14:paraId="6C2E094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analyzes the quantitative and qualitative measurement methods and results used to evaluate AI system performance and assurance across its AI systems. It identifies patterns, trends, and outliers in the results to pinpoint areas for improvement in its AI system measurement practices. The organization documents how its measurement approaches and results evolve over time, using these insights to drive continuous improvement.</w:t>
            </w:r>
          </w:p>
          <w:p w14:paraId="3D27FA42" w14:textId="77777777" w:rsidR="00963E47" w:rsidRPr="00963E47" w:rsidRDefault="00963E47" w:rsidP="004C3837">
            <w:pPr>
              <w:keepNext/>
              <w:rPr>
                <w:rFonts w:ascii="Aptos" w:hAnsi="Aptos" w:cs="Times New Roman"/>
                <w:b/>
                <w:bCs/>
                <w:color w:val="000000"/>
                <w:sz w:val="20"/>
                <w:szCs w:val="20"/>
              </w:rPr>
            </w:pPr>
          </w:p>
          <w:p w14:paraId="41B898CF" w14:textId="77777777" w:rsidR="00963E47" w:rsidRPr="00963E47" w:rsidRDefault="00963E47" w:rsidP="004C3837">
            <w:pPr>
              <w:keepNext/>
              <w:rPr>
                <w:rFonts w:ascii="Aptos" w:hAnsi="Aptos" w:cs="Times New Roman"/>
                <w:b/>
                <w:bCs/>
                <w:color w:val="000000"/>
                <w:sz w:val="20"/>
                <w:szCs w:val="20"/>
              </w:rPr>
            </w:pPr>
            <w:hyperlink r:id="rId154" w:anchor="measure-2-3" w:history="1">
              <w:r w:rsidRPr="00963E47">
                <w:rPr>
                  <w:rFonts w:ascii="Aptos" w:hAnsi="Aptos" w:cs="Times New Roman"/>
                  <w:color w:val="000000"/>
                  <w:sz w:val="20"/>
                  <w:szCs w:val="20"/>
                  <w:u w:val="single"/>
                </w:rPr>
                <w:t>Link to NIST AI RMF Playbook</w:t>
              </w:r>
            </w:hyperlink>
          </w:p>
        </w:tc>
      </w:tr>
    </w:tbl>
    <w:p w14:paraId="44DB67DA"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02BEB04"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1FE3C39C"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36AD267A" w14:textId="77777777" w:rsidTr="005C00A5">
        <w:trPr>
          <w:tblHeader/>
        </w:trPr>
        <w:tc>
          <w:tcPr>
            <w:tcW w:w="2160" w:type="dxa"/>
            <w:shd w:val="clear" w:color="auto" w:fill="CCDCDC"/>
            <w:vAlign w:val="center"/>
          </w:tcPr>
          <w:p w14:paraId="7FD3F243"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0101F632"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434E8766"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00B68F27" w14:textId="77777777" w:rsidTr="005C00A5">
        <w:tc>
          <w:tcPr>
            <w:tcW w:w="2160" w:type="dxa"/>
            <w:shd w:val="clear" w:color="auto" w:fill="CCDCDC"/>
          </w:tcPr>
          <w:p w14:paraId="2BA9F42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32077FB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4BB4E4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1179E0A7" w14:textId="77777777" w:rsidTr="005C00A5">
        <w:tc>
          <w:tcPr>
            <w:tcW w:w="2160" w:type="dxa"/>
            <w:shd w:val="clear" w:color="auto" w:fill="CCDCDC"/>
          </w:tcPr>
          <w:p w14:paraId="769E75B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3817410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F25A00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begin analyzing the data from their limited AI systems and looking for patterns, trends, and outliers in the results to identify areas for improvement in AI system measurement practices.</w:t>
            </w:r>
          </w:p>
        </w:tc>
      </w:tr>
      <w:tr w:rsidR="00963E47" w:rsidRPr="00963E47" w14:paraId="2F269C97" w14:textId="77777777" w:rsidTr="005C00A5">
        <w:tc>
          <w:tcPr>
            <w:tcW w:w="2160" w:type="dxa"/>
            <w:shd w:val="clear" w:color="auto" w:fill="CCDCDC"/>
          </w:tcPr>
          <w:p w14:paraId="0BAC168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63E9D55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CA98A2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consistently analyze the quantitative and qualitative measurement methods and results used to evaluate AI system performance and assurance across their AI systems. The organization identifies patterns, trends, and outliers in the results to pinpoint areas for improvement in its AI system measurement practices. The organization comprehensively documents how its measurement approaches and results evolve over time, using these insights to drive continuous improvement.</w:t>
            </w:r>
          </w:p>
        </w:tc>
      </w:tr>
      <w:tr w:rsidR="00963E47" w:rsidRPr="00963E47" w14:paraId="57B510DF" w14:textId="77777777" w:rsidTr="005C00A5">
        <w:tc>
          <w:tcPr>
            <w:tcW w:w="2160" w:type="dxa"/>
            <w:shd w:val="clear" w:color="auto" w:fill="CCDCDC"/>
          </w:tcPr>
          <w:p w14:paraId="7752283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25DCC9C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2349E9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continuously analyzing the quantitative and qualitative measurement methods and results used to evaluate AI system performance and assurance across their AI systems, with real-time identification of patterns, trends, and outliers in the results to pinpoint areas for improvement in its AI system measurement practices based on data-driven insights. The organization dynamically documents how its measurement approaches and results evolve over time, using these insights to drive continuous improvement, ensuring the highest level of proactive optimization and adaptation.</w:t>
            </w:r>
          </w:p>
        </w:tc>
      </w:tr>
    </w:tbl>
    <w:p w14:paraId="58552B2E"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28A8BEA3" w14:textId="77777777" w:rsidTr="005C00A5">
        <w:tc>
          <w:tcPr>
            <w:tcW w:w="2250" w:type="dxa"/>
          </w:tcPr>
          <w:p w14:paraId="56665A5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lastRenderedPageBreak/>
              <w:t>AI Principle</w:t>
            </w:r>
          </w:p>
        </w:tc>
        <w:tc>
          <w:tcPr>
            <w:tcW w:w="2520" w:type="dxa"/>
          </w:tcPr>
          <w:p w14:paraId="2FA4217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46A4504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47153126" w14:textId="77777777" w:rsidTr="005C00A5">
        <w:tc>
          <w:tcPr>
            <w:tcW w:w="2250" w:type="dxa"/>
          </w:tcPr>
          <w:p w14:paraId="6CA63CF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407CDF9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Undocumented Analysis Results</w:t>
            </w:r>
          </w:p>
        </w:tc>
        <w:tc>
          <w:tcPr>
            <w:tcW w:w="5300" w:type="dxa"/>
          </w:tcPr>
          <w:p w14:paraId="1199747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Analysis of measurement methods and results lacks insight and results are undocumented</w:t>
            </w:r>
          </w:p>
        </w:tc>
      </w:tr>
    </w:tbl>
    <w:p w14:paraId="130B62B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6D5B24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3F2564C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897D9F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a process for analyzing the quantitative and qualitative measurement methods and results used to evaluate AI system performance and assurance across the organization's AI systems. Use data visualization and statistical analysis techniques to identify patterns, trends, and outliers in the results.</w:t>
      </w:r>
    </w:p>
    <w:p w14:paraId="1492CBDA"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EA3373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Document how the organization's measurement approaches and results evolve over time, including any changes made to the methods or criteria based on lessons learned or new industry standards. Use these insights to inform continuous improvement efforts, such as refining measurement techniques, updating performance criteria, or investing in new tools and technologies to enhance AI system evaluation.</w:t>
      </w:r>
    </w:p>
    <w:p w14:paraId="368A550F"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3EDE1A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07F6051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42E9D0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Measurement Methodology Review</w:t>
      </w:r>
    </w:p>
    <w:p w14:paraId="0B4ABC3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regular reviews of the quantitative and qualitative measurement methods employed to evaluate AI system performance and assurance, ensuring they align with organizational goals and best practices.</w:t>
      </w:r>
    </w:p>
    <w:p w14:paraId="4D230C9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4A7577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the review process, including agendas and meeting minutes.</w:t>
      </w:r>
    </w:p>
    <w:p w14:paraId="32D47E0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summarizing findings and recommendations from methodology reviews.</w:t>
      </w:r>
    </w:p>
    <w:p w14:paraId="1CF392A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Historical comparisons of measurement methodologies and rationale for changes.</w:t>
      </w:r>
    </w:p>
    <w:p w14:paraId="474F09A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feedback forms evaluating the effectiveness of measurement methods.</w:t>
      </w:r>
    </w:p>
    <w:p w14:paraId="3E315F52"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722B3F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Trend Analysis Reports</w:t>
      </w:r>
    </w:p>
    <w:p w14:paraId="595EE92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Generate trend analysis reports that identify patterns, trends, and outliers in AI system performance results through systematic data analysis and visualization techniques.</w:t>
      </w:r>
    </w:p>
    <w:p w14:paraId="2922DED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9CB08D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Trend analysis visualizations (e.g., graphs, charts) displaying performance metrics over time.</w:t>
      </w:r>
    </w:p>
    <w:p w14:paraId="3D1EDED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Written analysis reports detailing identified trends and their implications for system improvement.</w:t>
      </w:r>
    </w:p>
    <w:p w14:paraId="6456F96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data sources and analysis methods used in trend reporting.</w:t>
      </w:r>
    </w:p>
    <w:p w14:paraId="77AAB97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plans developed in response to identified trends outlining specific areas for improvement.</w:t>
      </w:r>
    </w:p>
    <w:p w14:paraId="6B99C3E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4FE2FD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Monitoring Framework</w:t>
      </w:r>
    </w:p>
    <w:p w14:paraId="267E35B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a continuous monitoring framework to assess AI system performance metrics in real-time, enabling timely identification of outliers and performance issues.</w:t>
      </w:r>
    </w:p>
    <w:p w14:paraId="52E00C9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850E06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the monitoring tools and systems utilized for real-time assessment.</w:t>
      </w:r>
    </w:p>
    <w:p w14:paraId="51BD31B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Logs of alerts and notifications generated by the monitoring framework for performance deviations.</w:t>
      </w:r>
    </w:p>
    <w:p w14:paraId="622A48E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Periodic summary reports illustrating results from continuous monitoring activities.</w:t>
      </w:r>
    </w:p>
    <w:p w14:paraId="0B3C6C1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corrective actions taken in response to performance issues detected through monitoring.</w:t>
      </w:r>
    </w:p>
    <w:p w14:paraId="280B667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867320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Evolving Measurement Practices</w:t>
      </w:r>
    </w:p>
    <w:p w14:paraId="09F7435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comprehensive documentation that tracks how measurement approaches and results evolve over time, including adjustments made based on performance analysis.</w:t>
      </w:r>
    </w:p>
    <w:p w14:paraId="6DDEF95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E10097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documentation showing changes in measurement practices.</w:t>
      </w:r>
    </w:p>
    <w:p w14:paraId="6848277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detailing when and why specific measurement techniques were modified.</w:t>
      </w:r>
    </w:p>
    <w:p w14:paraId="331F0F7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stakeholder reviews and input related to measurement practice changes.</w:t>
      </w:r>
    </w:p>
    <w:p w14:paraId="49A23A0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Examples of how evolving practices directly influenced performance criteria and results.</w:t>
      </w:r>
    </w:p>
    <w:p w14:paraId="6F97FB0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486EE8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Post-Analysis Improvement Action Items</w:t>
      </w:r>
    </w:p>
    <w:p w14:paraId="37796B9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structured process for developing and tracking action items aimed at improving measurement practices based on insights gained from performance analyses.</w:t>
      </w:r>
    </w:p>
    <w:p w14:paraId="482047D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9708C0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item lists generated from analysis discussions, including assigned responsibilities and deadlines.</w:t>
      </w:r>
    </w:p>
    <w:p w14:paraId="0DB88D4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Follow-up meeting notes documenting the status of improvement initiatives.</w:t>
      </w:r>
    </w:p>
    <w:p w14:paraId="7C0FF6F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detailing the outcomes of implemented action items and their impact on measurement practices.</w:t>
      </w:r>
    </w:p>
    <w:p w14:paraId="0B82415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stakeholders involved in the implementation of new practices to assess perceived effectiveness.</w:t>
      </w:r>
    </w:p>
    <w:p w14:paraId="1F1177C1"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7C2BF616"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3D8C951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553F766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4B8C40EB" w14:textId="77777777" w:rsidTr="005C00A5">
        <w:tc>
          <w:tcPr>
            <w:tcW w:w="1170" w:type="dxa"/>
          </w:tcPr>
          <w:p w14:paraId="7EAD52D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5A4FAF4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3E0471B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73C2F509" w14:textId="77777777" w:rsidTr="005C00A5">
        <w:tc>
          <w:tcPr>
            <w:tcW w:w="1170" w:type="dxa"/>
          </w:tcPr>
          <w:p w14:paraId="5EA3485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MS-2.3.4</w:t>
            </w:r>
          </w:p>
        </w:tc>
        <w:tc>
          <w:tcPr>
            <w:tcW w:w="2160" w:type="dxa"/>
          </w:tcPr>
          <w:p w14:paraId="391C258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Performance Under Realistic Conditions</w:t>
            </w:r>
          </w:p>
        </w:tc>
        <w:tc>
          <w:tcPr>
            <w:tcW w:w="6740" w:type="dxa"/>
          </w:tcPr>
          <w:p w14:paraId="07D95F2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demonstrates and documents AI system performance and assurance under realistic conditions that closely approximate the intended deployment settings. Key factors, such as data quality, user interactions, and environmental variables, are considered. Limitations in replicating the deployment environment are documented and communicated to stakeholders, along with plans to address them.</w:t>
            </w:r>
          </w:p>
          <w:p w14:paraId="392509BB" w14:textId="77777777" w:rsidR="00963E47" w:rsidRPr="00963E47" w:rsidRDefault="00963E47" w:rsidP="004C3837">
            <w:pPr>
              <w:keepNext/>
              <w:rPr>
                <w:rFonts w:ascii="Aptos" w:hAnsi="Aptos" w:cs="Times New Roman"/>
                <w:b/>
                <w:bCs/>
                <w:color w:val="000000"/>
                <w:sz w:val="20"/>
                <w:szCs w:val="20"/>
              </w:rPr>
            </w:pPr>
          </w:p>
          <w:p w14:paraId="5CF3103E" w14:textId="77777777" w:rsidR="00963E47" w:rsidRPr="00963E47" w:rsidRDefault="00963E47" w:rsidP="004C3837">
            <w:pPr>
              <w:keepNext/>
              <w:rPr>
                <w:rFonts w:ascii="Aptos" w:hAnsi="Aptos" w:cs="Times New Roman"/>
                <w:b/>
                <w:bCs/>
                <w:color w:val="000000"/>
                <w:sz w:val="20"/>
                <w:szCs w:val="20"/>
              </w:rPr>
            </w:pPr>
            <w:hyperlink r:id="rId155" w:anchor="measure-2-3" w:history="1">
              <w:r w:rsidRPr="00963E47">
                <w:rPr>
                  <w:rFonts w:ascii="Aptos" w:hAnsi="Aptos" w:cs="Times New Roman"/>
                  <w:color w:val="000000"/>
                  <w:sz w:val="20"/>
                  <w:szCs w:val="20"/>
                  <w:u w:val="single"/>
                </w:rPr>
                <w:t>Link to NIST AI RMF Playbook</w:t>
              </w:r>
            </w:hyperlink>
          </w:p>
        </w:tc>
      </w:tr>
    </w:tbl>
    <w:p w14:paraId="193F444C"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B2BCBFC"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4A3D5B1D"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01CA4354" w14:textId="77777777" w:rsidTr="005C00A5">
        <w:trPr>
          <w:tblHeader/>
        </w:trPr>
        <w:tc>
          <w:tcPr>
            <w:tcW w:w="2160" w:type="dxa"/>
            <w:shd w:val="clear" w:color="auto" w:fill="CCDCDC"/>
            <w:vAlign w:val="center"/>
          </w:tcPr>
          <w:p w14:paraId="2EDD35D6"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77672576"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4B150E16"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6BE873DD" w14:textId="77777777" w:rsidTr="005C00A5">
        <w:tc>
          <w:tcPr>
            <w:tcW w:w="2160" w:type="dxa"/>
            <w:shd w:val="clear" w:color="auto" w:fill="CCDCDC"/>
          </w:tcPr>
          <w:p w14:paraId="47859F1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6C36252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43D3A0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17E2AF0E" w14:textId="77777777" w:rsidTr="005C00A5">
        <w:tc>
          <w:tcPr>
            <w:tcW w:w="2160" w:type="dxa"/>
            <w:shd w:val="clear" w:color="auto" w:fill="CCDCDC"/>
          </w:tcPr>
          <w:p w14:paraId="4FB1C43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71C1779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6153D7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begin demonstrating AI system performance under conditions that approximate the intended deployment settings for their limited AI applications. They begin to consider data quality and user interactions, and document any limitations in replicating the deployment environment.</w:t>
            </w:r>
          </w:p>
        </w:tc>
      </w:tr>
      <w:tr w:rsidR="00963E47" w:rsidRPr="00963E47" w14:paraId="6602F890" w14:textId="77777777" w:rsidTr="005C00A5">
        <w:tc>
          <w:tcPr>
            <w:tcW w:w="2160" w:type="dxa"/>
            <w:shd w:val="clear" w:color="auto" w:fill="CCDCDC"/>
          </w:tcPr>
          <w:p w14:paraId="6E627CD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535CD66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B9AA04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consistently demonstrate and document AI system performance and assurance under realistic conditions that closely approximate the intended deployment settings. Key factors, such as data quality, user interactions, and environmental variables, are considered. Limitations in replicating the deployment environment are comprehensively documented and communicated to stakeholders, along with plans to address them.</w:t>
            </w:r>
          </w:p>
        </w:tc>
      </w:tr>
      <w:tr w:rsidR="00963E47" w:rsidRPr="00963E47" w14:paraId="08D6D410" w14:textId="77777777" w:rsidTr="005C00A5">
        <w:tc>
          <w:tcPr>
            <w:tcW w:w="2160" w:type="dxa"/>
            <w:shd w:val="clear" w:color="auto" w:fill="CCDCDC"/>
          </w:tcPr>
          <w:p w14:paraId="1B069E6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67F8ADF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A35B11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continuously demonstrating and documenting AI system performance and assurance under realistic conditions that closely approximate the intended deployment settings, with real-time consideration of key factors, such as data quality, user interactions, and environmental variables, based on data-driven insights. Limitations in replicating the deployment environment are dynamically documented and communicated to stakeholders, along with plans to address them, ensuring the highest level of context-specific evaluation and transparency.</w:t>
            </w:r>
          </w:p>
        </w:tc>
      </w:tr>
    </w:tbl>
    <w:p w14:paraId="34921918"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2077E173" w14:textId="77777777" w:rsidTr="005C00A5">
        <w:tc>
          <w:tcPr>
            <w:tcW w:w="2250" w:type="dxa"/>
          </w:tcPr>
          <w:p w14:paraId="63D978C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28FC041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673612B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170D5B4A" w14:textId="77777777" w:rsidTr="005C00A5">
        <w:tc>
          <w:tcPr>
            <w:tcW w:w="2250" w:type="dxa"/>
          </w:tcPr>
          <w:p w14:paraId="3210C7C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Valid &amp; Reliable</w:t>
            </w:r>
          </w:p>
        </w:tc>
        <w:tc>
          <w:tcPr>
            <w:tcW w:w="2520" w:type="dxa"/>
          </w:tcPr>
          <w:p w14:paraId="48CBFBD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Undocumented Performance Conditions</w:t>
            </w:r>
          </w:p>
        </w:tc>
        <w:tc>
          <w:tcPr>
            <w:tcW w:w="5300" w:type="dxa"/>
          </w:tcPr>
          <w:p w14:paraId="548896C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Performance and assurance are undocumented under realistic conditions and limits are unaddressed</w:t>
            </w:r>
          </w:p>
        </w:tc>
      </w:tr>
    </w:tbl>
    <w:p w14:paraId="7673D72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51313D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57ED235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F72246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Design and implement a testing and evaluation process that demonstrates AI system performance and assurance under realistic conditions that closely approximate the intended deployment settings. Identify the key factors, such as data quality, user interactions, and environmental variables, that may impact system performance in the real world.</w:t>
      </w:r>
    </w:p>
    <w:p w14:paraId="18EACB00"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27A7B1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test cases and scenarios that incorporate these factors, and document the results of the testing, including any limitations or challenges encountered in replicating the deployment environment. Communicate these limitations to relevant stakeholders, along with plans for addressing them in future iterations of the system or testing process. Regularly review and update the testing process to ensure that it remains relevant and effective as the AI system and its deployment environment evolve.</w:t>
      </w:r>
    </w:p>
    <w:p w14:paraId="2FD1151F"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324121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19D6E64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44E120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Planning and Design of Realistic Evaluation Conditions</w:t>
      </w:r>
    </w:p>
    <w:p w14:paraId="2216A9A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procedures for designing evaluation conditions that accurately replicate deployment environments, capturing relevant data, user behaviors, and environmental factors.</w:t>
      </w:r>
    </w:p>
    <w:p w14:paraId="5A764E7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7AD284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Evaluation protocols outlining environment setup and key parameters.</w:t>
      </w:r>
    </w:p>
    <w:p w14:paraId="18EF586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Simulation and testing plans incorporating environmental and user interaction variables.</w:t>
      </w:r>
    </w:p>
    <w:p w14:paraId="31203A9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Mapping documents linking evaluation conditions to real-world deployment scenarios.</w:t>
      </w:r>
    </w:p>
    <w:p w14:paraId="3C75A44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testing plans and environment configurations.</w:t>
      </w:r>
    </w:p>
    <w:p w14:paraId="082B17D3"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83DB4B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Data Collection and Environmental Variable Documentation</w:t>
      </w:r>
    </w:p>
    <w:p w14:paraId="7249EF9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Collect data and document environmental variables, user interactions, and data quality metrics during testing to ensure realism and contextual relevance in the evaluation of AI system performance.</w:t>
      </w:r>
    </w:p>
    <w:p w14:paraId="19799FD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9F4E9A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logs including environmental and interaction context.</w:t>
      </w:r>
    </w:p>
    <w:p w14:paraId="73B52FA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Environmental noise, sensor, and environment data captured during evaluation.</w:t>
      </w:r>
    </w:p>
    <w:p w14:paraId="08F2983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User interaction logs and behavioral metrics.</w:t>
      </w:r>
    </w:p>
    <w:p w14:paraId="5DC5B7B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quality assessments linked to environmental conditions.</w:t>
      </w:r>
    </w:p>
    <w:p w14:paraId="0525C37F"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4C994B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Performance and Assurance Evaluation Under Realistic Settings</w:t>
      </w:r>
    </w:p>
    <w:p w14:paraId="145ADF1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performance testing and assurance assessments under the designed realistic conditions, measuring system behavior, robustness, and safety to validate readiness for deployment in actual use cases.</w:t>
      </w:r>
    </w:p>
    <w:p w14:paraId="7D2D281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867865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 results and performance metrics documented in realistic scenarios.</w:t>
      </w:r>
    </w:p>
    <w:p w14:paraId="4699BA3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Safety and robustness evaluation reports aligned with deployment contexts.</w:t>
      </w:r>
    </w:p>
    <w:p w14:paraId="12894DB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and failure logs during testing.</w:t>
      </w:r>
    </w:p>
    <w:p w14:paraId="3877EDE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Visualizations showing performance under varied environmental conditions.</w:t>
      </w:r>
    </w:p>
    <w:p w14:paraId="6BEE912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A42938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and Communication of Limitations</w:t>
      </w:r>
    </w:p>
    <w:p w14:paraId="272180B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 limitations in accurately replicating deployment environments, including environmental, data, or interaction gaps, and communicate these limitations to stakeholders to ensure transparency and manage expectations regarding system capabilities.</w:t>
      </w:r>
    </w:p>
    <w:p w14:paraId="4B54104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730129D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Limitations reports linked to evaluation results.</w:t>
      </w:r>
    </w:p>
    <w:p w14:paraId="0EAE0F5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communication artifacts explaining environmental gaps.</w:t>
      </w:r>
    </w:p>
    <w:p w14:paraId="468F635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plans for bridging gaps or refining evaluation environments.</w:t>
      </w:r>
    </w:p>
    <w:p w14:paraId="05E28ED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updating deployment and evaluation plans based on limitations.</w:t>
      </w:r>
    </w:p>
    <w:p w14:paraId="5F8EBB93"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1BEDEB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Mitigation and Improvement Plans</w:t>
      </w:r>
    </w:p>
    <w:p w14:paraId="1272733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and track plans to address identified limitations, enhance evaluation conditions, and progressively improve real-world approximation in testing to support continuous improvement in AI system validation and deployment practices.</w:t>
      </w:r>
    </w:p>
    <w:p w14:paraId="4BBBA87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93A4AF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Improvement and remediation plans with timelines and responsibilities.</w:t>
      </w:r>
    </w:p>
    <w:p w14:paraId="4C5A19D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Follow-up testing results showing adjustments.</w:t>
      </w:r>
    </w:p>
    <w:p w14:paraId="379DB3D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stakeholders on evaluation realism.</w:t>
      </w:r>
    </w:p>
    <w:p w14:paraId="3809AA3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Iterative updates to evaluation procedures and environment configurations.</w:t>
      </w:r>
    </w:p>
    <w:p w14:paraId="65D472D2"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52" w:name="_Toc214874797"/>
      <w:r w:rsidRPr="00963E47">
        <w:rPr>
          <w:rFonts w:ascii="Aptos" w:eastAsia="Aptos" w:hAnsi="Aptos" w:cs="Times New Roman"/>
          <w:b/>
          <w:bCs/>
          <w:noProof/>
          <w:color w:val="35256B"/>
          <w:kern w:val="2"/>
          <w:sz w:val="24"/>
          <w14:ligatures w14:val="standardContextual"/>
        </w:rPr>
        <w:t>MEASURE / Evaluating AI Systems / Monitoring Deployed AI Systems</w:t>
      </w:r>
      <w:bookmarkEnd w:id="52"/>
      <w:r w:rsidRPr="00963E47">
        <w:rPr>
          <w:rFonts w:ascii="Aptos" w:eastAsia="Aptos" w:hAnsi="Aptos" w:cs="Times New Roman"/>
          <w:b/>
          <w:bCs/>
          <w:noProof/>
          <w:color w:val="35256B"/>
          <w:kern w:val="2"/>
          <w:sz w:val="24"/>
          <w14:ligatures w14:val="standardContextual"/>
        </w:rPr>
        <w:t xml:space="preserve"> </w:t>
      </w:r>
    </w:p>
    <w:p w14:paraId="2245D6E1"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6C51417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044A4AC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612ACF03" w14:textId="77777777" w:rsidTr="005C00A5">
        <w:tc>
          <w:tcPr>
            <w:tcW w:w="1170" w:type="dxa"/>
          </w:tcPr>
          <w:p w14:paraId="312288C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14E6431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60A97CE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7D12F10B" w14:textId="77777777" w:rsidTr="005C00A5">
        <w:tc>
          <w:tcPr>
            <w:tcW w:w="1170" w:type="dxa"/>
          </w:tcPr>
          <w:p w14:paraId="42549F6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MS-2.4.1</w:t>
            </w:r>
          </w:p>
        </w:tc>
        <w:tc>
          <w:tcPr>
            <w:tcW w:w="2160" w:type="dxa"/>
          </w:tcPr>
          <w:p w14:paraId="4373E8D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Monitoring and Anomaly Detection</w:t>
            </w:r>
          </w:p>
        </w:tc>
        <w:tc>
          <w:tcPr>
            <w:tcW w:w="6740" w:type="dxa"/>
          </w:tcPr>
          <w:p w14:paraId="50B76ED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monitors the functionality, reliability, and behavior of the AI system and its components in production, as identified during the MAP function. It implements both manual and automated monitoring tools and processes, including statistical quality control (SQC) approaches, to continuously gather data, alerting stakeholders to any deviations or anomalies.</w:t>
            </w:r>
          </w:p>
          <w:p w14:paraId="2823406A" w14:textId="77777777" w:rsidR="00963E47" w:rsidRPr="00963E47" w:rsidRDefault="00963E47" w:rsidP="004C3837">
            <w:pPr>
              <w:keepNext/>
              <w:rPr>
                <w:rFonts w:ascii="Aptos" w:hAnsi="Aptos" w:cs="Times New Roman"/>
                <w:b/>
                <w:bCs/>
                <w:color w:val="000000"/>
                <w:sz w:val="20"/>
                <w:szCs w:val="20"/>
              </w:rPr>
            </w:pPr>
          </w:p>
          <w:p w14:paraId="6B6AD8FA" w14:textId="77777777" w:rsidR="00963E47" w:rsidRPr="00963E47" w:rsidRDefault="00963E47" w:rsidP="004C3837">
            <w:pPr>
              <w:keepNext/>
              <w:rPr>
                <w:rFonts w:ascii="Aptos" w:hAnsi="Aptos" w:cs="Times New Roman"/>
                <w:b/>
                <w:bCs/>
                <w:color w:val="000000"/>
                <w:sz w:val="20"/>
                <w:szCs w:val="20"/>
              </w:rPr>
            </w:pPr>
            <w:hyperlink r:id="rId156" w:anchor="measure-2-4" w:history="1">
              <w:r w:rsidRPr="00963E47">
                <w:rPr>
                  <w:rFonts w:ascii="Aptos" w:hAnsi="Aptos" w:cs="Times New Roman"/>
                  <w:color w:val="000000"/>
                  <w:sz w:val="20"/>
                  <w:szCs w:val="20"/>
                  <w:u w:val="single"/>
                </w:rPr>
                <w:t>Link to NIST AI RMF Playbook</w:t>
              </w:r>
            </w:hyperlink>
          </w:p>
        </w:tc>
      </w:tr>
    </w:tbl>
    <w:p w14:paraId="5AB62782"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9169174"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11D6BFD9"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1677A30A" w14:textId="77777777" w:rsidTr="005C00A5">
        <w:trPr>
          <w:tblHeader/>
        </w:trPr>
        <w:tc>
          <w:tcPr>
            <w:tcW w:w="2160" w:type="dxa"/>
            <w:shd w:val="clear" w:color="auto" w:fill="CCDCDC"/>
            <w:vAlign w:val="center"/>
          </w:tcPr>
          <w:p w14:paraId="768A9DDA"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3ED6B2F9"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4D9CE12F"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1FD14346" w14:textId="77777777" w:rsidTr="005C00A5">
        <w:tc>
          <w:tcPr>
            <w:tcW w:w="2160" w:type="dxa"/>
            <w:shd w:val="clear" w:color="auto" w:fill="CCDCDC"/>
          </w:tcPr>
          <w:p w14:paraId="06B67DB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2202A3F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5A58E83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0DB07F8F" w14:textId="77777777" w:rsidTr="005C00A5">
        <w:tc>
          <w:tcPr>
            <w:tcW w:w="2160" w:type="dxa"/>
            <w:shd w:val="clear" w:color="auto" w:fill="CCDCDC"/>
          </w:tcPr>
          <w:p w14:paraId="3A0E9E3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5DD93A6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1A2CD7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begin monitoring the basic functionality and behavior of their limited AI systems in production, using simple manual or automated tools. They start gathering data and alerting stakeholders to any significant deviations or anomalies.</w:t>
            </w:r>
          </w:p>
        </w:tc>
      </w:tr>
      <w:tr w:rsidR="00963E47" w:rsidRPr="00963E47" w14:paraId="1BE9D6EE" w14:textId="77777777" w:rsidTr="005C00A5">
        <w:tc>
          <w:tcPr>
            <w:tcW w:w="2160" w:type="dxa"/>
            <w:shd w:val="clear" w:color="auto" w:fill="CCDCDC"/>
          </w:tcPr>
          <w:p w14:paraId="471A4F3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575DC8A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3E74FB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consistently monitor the functionality and behavior of the AI system and its components in production, as identified during the MAP function. The organization implements both manual and automated monitoring tools and processes to continuously gather data, alerting stakeholders to any deviations or anomalies.</w:t>
            </w:r>
          </w:p>
        </w:tc>
      </w:tr>
      <w:tr w:rsidR="00963E47" w:rsidRPr="00963E47" w14:paraId="2E8C7204" w14:textId="77777777" w:rsidTr="005C00A5">
        <w:tc>
          <w:tcPr>
            <w:tcW w:w="2160" w:type="dxa"/>
            <w:shd w:val="clear" w:color="auto" w:fill="CCDCDC"/>
          </w:tcPr>
          <w:p w14:paraId="74E72BD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6388FC7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9495D4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Organizations at the embedded stage have advanced, automated processes for continuously monitoring the functionality and behavior of the AI system and its components in production, as identified during the MAP function, with real-time data gathering and dynamic alerts to stakeholders based on data-driven insights. These processes are seamlessly integrated into the organization's operational and risk </w:t>
            </w:r>
            <w:r w:rsidRPr="00963E47">
              <w:rPr>
                <w:rFonts w:ascii="Aptos" w:hAnsi="Aptos" w:cs="Times New Roman"/>
                <w:noProof/>
                <w:color w:val="auto"/>
                <w:sz w:val="20"/>
                <w:szCs w:val="20"/>
              </w:rPr>
              <w:lastRenderedPageBreak/>
              <w:t>management frameworks, ensuring the highest level of proactive monitoring and anomaly detection.</w:t>
            </w:r>
          </w:p>
        </w:tc>
      </w:tr>
    </w:tbl>
    <w:p w14:paraId="5CFEDBA4"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5C7DA3CF" w14:textId="77777777" w:rsidTr="005C00A5">
        <w:tc>
          <w:tcPr>
            <w:tcW w:w="2250" w:type="dxa"/>
          </w:tcPr>
          <w:p w14:paraId="383D1AC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1B38922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644C419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61227930" w14:textId="77777777" w:rsidTr="005C00A5">
        <w:tc>
          <w:tcPr>
            <w:tcW w:w="2250" w:type="dxa"/>
          </w:tcPr>
          <w:p w14:paraId="5B02277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7CB2112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Unmonitored Production Behavior</w:t>
            </w:r>
          </w:p>
        </w:tc>
        <w:tc>
          <w:tcPr>
            <w:tcW w:w="5300" w:type="dxa"/>
          </w:tcPr>
          <w:p w14:paraId="56499D4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functionality, reliability, and behavior are not monitored in production</w:t>
            </w:r>
          </w:p>
        </w:tc>
      </w:tr>
    </w:tbl>
    <w:p w14:paraId="0290179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CE56D3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389CD39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36F3B1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a comprehensive monitoring framework for AI systems in production, incorporating both manual and automated tools and processes. Identify the key functionality, reliability, and behavior metrics to be monitored, based on the findings from the MAP function, and develop a data collection plan to ensure that relevant information is captured consistently and reliably. Include statistical quality control techniques (e.g., control charts, control limits, process capability indicators) in monitoring design to detect shifts, trends, and assignable causes.</w:t>
      </w:r>
    </w:p>
    <w:p w14:paraId="0D3C1597"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515091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Assign clear roles and responsibilities for monitoring activities, including data collection, analysis, and reporting. Implement automated alerting mechanisms (including SQC-based alerts) to notify relevant stakeholders of any deviations or anomalies in system performance or reliability, and establish clear protocols for investigating and responding to these alerts in a timely manner.</w:t>
      </w:r>
    </w:p>
    <w:p w14:paraId="230B6D69"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87120C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770223C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823E58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Establishment of Monitoring Framework and Toolset</w:t>
      </w:r>
    </w:p>
    <w:p w14:paraId="0428801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and document a comprehensive monitoring framework that specifies tools, data collection methods, thresholds, and responsibilities for ongoing system oversight.</w:t>
      </w:r>
    </w:p>
    <w:p w14:paraId="20C6163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A4E45F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strategy documents integrating manual checks and automated tools.</w:t>
      </w:r>
    </w:p>
    <w:p w14:paraId="57DF11B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Catalogs of monitoring tools, dashboards, and alerting systems deployed.</w:t>
      </w:r>
    </w:p>
    <w:p w14:paraId="23B74C0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Defined roles and responsibilities for monitoring activities.</w:t>
      </w:r>
    </w:p>
    <w:p w14:paraId="49EDA63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Configuration files for automated monitoring systems.</w:t>
      </w:r>
    </w:p>
    <w:p w14:paraId="3D0EE38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F3C61F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Implementation of Automated and Manual Monitoring Processes</w:t>
      </w:r>
    </w:p>
    <w:p w14:paraId="4A869D4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Set up continuous data collection and real-time analysis mechanisms, complemented by manual reviews, ensuring comprehensive oversight of the AI system's functioning and performance.</w:t>
      </w:r>
    </w:p>
    <w:p w14:paraId="294CFD0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9937A3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Automated dashboards tracking key performance and reliability indicators.</w:t>
      </w:r>
    </w:p>
    <w:p w14:paraId="79C3675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Alert logs triggered by deviations, anomalies, or quality issues.</w:t>
      </w:r>
    </w:p>
    <w:p w14:paraId="585F6D2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Manual review reports and audit logs.</w:t>
      </w:r>
    </w:p>
    <w:p w14:paraId="5FEAA1F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Scheduled manual inspection checklists.</w:t>
      </w:r>
    </w:p>
    <w:p w14:paraId="4754812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FEBC21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Application of Statistical Quality Control (SQC) Approaches</w:t>
      </w:r>
    </w:p>
    <w:p w14:paraId="6282793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Employ SQC techniques like control charts, trend analysis, and threshold-based alerts to identify statistically significant deviations in system metrics that may indicate potential issues or anomalies requiring attention.</w:t>
      </w:r>
    </w:p>
    <w:p w14:paraId="427068E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D7440E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Control charts with documented upper/lower control limits.</w:t>
      </w:r>
    </w:p>
    <w:p w14:paraId="1FEB9EF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Trend analysis reports indicating shifts or drifts.</w:t>
      </w:r>
    </w:p>
    <w:p w14:paraId="2D3F102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Threshold-based alerting logs and anomaly reports.</w:t>
      </w:r>
    </w:p>
    <w:p w14:paraId="675A68A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Validation of control limits via historical data analysis.</w:t>
      </w:r>
    </w:p>
    <w:p w14:paraId="126D9E0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253E70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Stakeholder Notification and Incident Response Procedures</w:t>
      </w:r>
    </w:p>
    <w:p w14:paraId="37D1EC4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Define and document procedures for promptly notifying relevant stakeholders of detected deviations, anomalies, or incidents, including escalation paths to ensure timely response and resolution of identified issues.</w:t>
      </w:r>
    </w:p>
    <w:p w14:paraId="0B6139C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BF1672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alert notifications and escalation protocols.</w:t>
      </w:r>
    </w:p>
    <w:p w14:paraId="670FD67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communication logs.</w:t>
      </w:r>
    </w:p>
    <w:p w14:paraId="65A3075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response action plans and follow-up records.</w:t>
      </w:r>
    </w:p>
    <w:p w14:paraId="3A5C8CD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records emphasizing alert management procedures.</w:t>
      </w:r>
    </w:p>
    <w:p w14:paraId="0B93C27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E98F99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Periodic Review and Continuous Improvement of Monitoring Processes</w:t>
      </w:r>
    </w:p>
    <w:p w14:paraId="0DAC214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evaluate monitoring effectiveness, update thresholds, tools, and processes based on lessons learned, system updates, and changing operational context to enhance the organization's ability to manage AI system reliability and performance effectively.</w:t>
      </w:r>
    </w:p>
    <w:p w14:paraId="1F863BB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BADFD3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review schedules and review meeting minutes.</w:t>
      </w:r>
    </w:p>
    <w:p w14:paraId="5CD9604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of tool configurations and thresholds.</w:t>
      </w:r>
    </w:p>
    <w:p w14:paraId="1A508B7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monitoring teams and stakeholders.</w:t>
      </w:r>
    </w:p>
    <w:p w14:paraId="1F02589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System update records affecting monitoring parameters.</w:t>
      </w:r>
    </w:p>
    <w:p w14:paraId="380DCAA9"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04249083"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09C8A04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70B9571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1C98F1A0" w14:textId="77777777" w:rsidTr="005C00A5">
        <w:tc>
          <w:tcPr>
            <w:tcW w:w="1170" w:type="dxa"/>
          </w:tcPr>
          <w:p w14:paraId="11503B3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4DFCB00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71F9F0D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789AB634" w14:textId="77777777" w:rsidTr="005C00A5">
        <w:tc>
          <w:tcPr>
            <w:tcW w:w="1170" w:type="dxa"/>
          </w:tcPr>
          <w:p w14:paraId="327A3D4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MS-2.4.2</w:t>
            </w:r>
          </w:p>
        </w:tc>
        <w:tc>
          <w:tcPr>
            <w:tcW w:w="2160" w:type="dxa"/>
          </w:tcPr>
          <w:p w14:paraId="168E72F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Performance Tracking and Improvement</w:t>
            </w:r>
          </w:p>
        </w:tc>
        <w:tc>
          <w:tcPr>
            <w:tcW w:w="6740" w:type="dxa"/>
          </w:tcPr>
          <w:p w14:paraId="71DD25D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systematically analyzes production data to track system performance and reliability over time, comparing real-world metrics against pre-deployment expectations. This analysis includes evaluating error propagation, identifying feedback loop risks, and assessing whether the AI system is adapting appropriately to changing conditions, using statistical quality control methods to detect shifts, trends, and assignable causes. Findings from these evaluations inform iterative improvements.</w:t>
            </w:r>
          </w:p>
          <w:p w14:paraId="4C01F7E8" w14:textId="77777777" w:rsidR="00963E47" w:rsidRPr="00963E47" w:rsidRDefault="00963E47" w:rsidP="004C3837">
            <w:pPr>
              <w:keepNext/>
              <w:rPr>
                <w:rFonts w:ascii="Aptos" w:hAnsi="Aptos" w:cs="Times New Roman"/>
                <w:b/>
                <w:bCs/>
                <w:color w:val="000000"/>
                <w:sz w:val="20"/>
                <w:szCs w:val="20"/>
              </w:rPr>
            </w:pPr>
          </w:p>
          <w:p w14:paraId="029065B6" w14:textId="77777777" w:rsidR="00963E47" w:rsidRPr="00963E47" w:rsidRDefault="00963E47" w:rsidP="004C3837">
            <w:pPr>
              <w:keepNext/>
              <w:rPr>
                <w:rFonts w:ascii="Aptos" w:hAnsi="Aptos" w:cs="Times New Roman"/>
                <w:b/>
                <w:bCs/>
                <w:color w:val="000000"/>
                <w:sz w:val="20"/>
                <w:szCs w:val="20"/>
              </w:rPr>
            </w:pPr>
            <w:hyperlink r:id="rId157" w:anchor="measure-2-4" w:history="1">
              <w:r w:rsidRPr="00963E47">
                <w:rPr>
                  <w:rFonts w:ascii="Aptos" w:hAnsi="Aptos" w:cs="Times New Roman"/>
                  <w:color w:val="000000"/>
                  <w:sz w:val="20"/>
                  <w:szCs w:val="20"/>
                  <w:u w:val="single"/>
                </w:rPr>
                <w:t>Link to NIST AI RMF Playbook</w:t>
              </w:r>
            </w:hyperlink>
          </w:p>
        </w:tc>
      </w:tr>
    </w:tbl>
    <w:p w14:paraId="624CE6D8"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B40EA46"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4468584B"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6265034E" w14:textId="77777777" w:rsidTr="005C00A5">
        <w:trPr>
          <w:tblHeader/>
        </w:trPr>
        <w:tc>
          <w:tcPr>
            <w:tcW w:w="2160" w:type="dxa"/>
            <w:shd w:val="clear" w:color="auto" w:fill="CCDCDC"/>
            <w:vAlign w:val="center"/>
          </w:tcPr>
          <w:p w14:paraId="72101F6B"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6F923478"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56F3CF50"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2CE34CD1" w14:textId="77777777" w:rsidTr="005C00A5">
        <w:tc>
          <w:tcPr>
            <w:tcW w:w="2160" w:type="dxa"/>
            <w:shd w:val="clear" w:color="auto" w:fill="CCDCDC"/>
          </w:tcPr>
          <w:p w14:paraId="583CBFF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2D9D77D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0D0C534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1A50E87F" w14:textId="77777777" w:rsidTr="005C00A5">
        <w:tc>
          <w:tcPr>
            <w:tcW w:w="2160" w:type="dxa"/>
            <w:shd w:val="clear" w:color="auto" w:fill="CCDCDC"/>
          </w:tcPr>
          <w:p w14:paraId="2706C41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499DA23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F64D51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begin analyzing production data from their limited AI systems to track basic system performance and reliability over time, comparing real-world metrics against pre-deployment expectations. The analysis is less sophisticated.</w:t>
            </w:r>
          </w:p>
        </w:tc>
      </w:tr>
      <w:tr w:rsidR="00963E47" w:rsidRPr="00963E47" w14:paraId="0D23F341" w14:textId="77777777" w:rsidTr="005C00A5">
        <w:tc>
          <w:tcPr>
            <w:tcW w:w="2160" w:type="dxa"/>
            <w:shd w:val="clear" w:color="auto" w:fill="CCDCDC"/>
          </w:tcPr>
          <w:p w14:paraId="2CF408A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28FC070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7A702D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systematically analyze production data to track system performance over time, comparing real-world metrics against pre-deployment expectations. This analysis includes evaluating error propagation, identifying feedback loop risks, and assessing whether the AI system is adapting appropriately to changing conditions. Findings from these evaluations consistently inform iterative improvements.</w:t>
            </w:r>
          </w:p>
        </w:tc>
      </w:tr>
      <w:tr w:rsidR="00963E47" w:rsidRPr="00963E47" w14:paraId="6FAC2E21" w14:textId="77777777" w:rsidTr="005C00A5">
        <w:tc>
          <w:tcPr>
            <w:tcW w:w="2160" w:type="dxa"/>
            <w:shd w:val="clear" w:color="auto" w:fill="CCDCDC"/>
          </w:tcPr>
          <w:p w14:paraId="3737CA9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72641C1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5963CE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Organizations at the embedded stage have advanced, automated processes for continuously analyzing production data to track system </w:t>
            </w:r>
            <w:r w:rsidRPr="00963E47">
              <w:rPr>
                <w:rFonts w:ascii="Aptos" w:hAnsi="Aptos" w:cs="Times New Roman"/>
                <w:noProof/>
                <w:color w:val="auto"/>
                <w:sz w:val="20"/>
                <w:szCs w:val="20"/>
              </w:rPr>
              <w:lastRenderedPageBreak/>
              <w:t>performance over time, comparing real-world metrics against pre-deployment expectations, with real-time evaluation of error propagation, identification of feedback loop risks, and assessment of whether the AI system is adapting appropriately to changing conditions based on data-driven insights. Findings from these evaluations dynamically inform iterative improvements, ensuring the highest level of proactive system optimization and adaptation.</w:t>
            </w:r>
          </w:p>
        </w:tc>
      </w:tr>
    </w:tbl>
    <w:p w14:paraId="3B72A69E"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7CA24B5B" w14:textId="77777777" w:rsidTr="005C00A5">
        <w:tc>
          <w:tcPr>
            <w:tcW w:w="2250" w:type="dxa"/>
          </w:tcPr>
          <w:p w14:paraId="386ED45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0ED4D86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167E0C1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7BE2AD17" w14:textId="77777777" w:rsidTr="005C00A5">
        <w:tc>
          <w:tcPr>
            <w:tcW w:w="2250" w:type="dxa"/>
          </w:tcPr>
          <w:p w14:paraId="7931D81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083B07A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Unsystematic Data Analysis</w:t>
            </w:r>
          </w:p>
        </w:tc>
        <w:tc>
          <w:tcPr>
            <w:tcW w:w="5300" w:type="dxa"/>
          </w:tcPr>
          <w:p w14:paraId="5BA2494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Production data analysis for AI systems is not performed systematically</w:t>
            </w:r>
          </w:p>
        </w:tc>
      </w:tr>
    </w:tbl>
    <w:p w14:paraId="42174C4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2D73D6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665B75E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DC7F94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 process for systematically analyzing production data to track AI system performance and reliability over time. Establish baseline metrics and performance expectations based on pre-deployment testing and validation, and regularly compare real-world performance against these benchmarks using statistical quality control methods to identify special-cause variation and sustained shifts.</w:t>
      </w:r>
    </w:p>
    <w:p w14:paraId="5BB44156"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2D3B60D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Conduct in-depth evaluations of error propagation, feedback loop risks, and the AI system's ability to adapt to changing conditions. Use the findings from these evaluations to identify areas for improvement and inform iterative updates to the system's design, training, and deployment processes. Document the analysis process, SQC findings, and results, and share relevant insights with stakeholders to promote transparency and accountability.</w:t>
      </w:r>
    </w:p>
    <w:p w14:paraId="59FE5DA9"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E5C028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7AD9984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8B3040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Establishment of Data Analysis and Monitoring Framework</w:t>
      </w:r>
    </w:p>
    <w:p w14:paraId="56AF4C1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 structured framework for collecting, analyzing, and comparing production metrics against expectations, incorporating SQC techniques for trend detection.</w:t>
      </w:r>
    </w:p>
    <w:p w14:paraId="1E07521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9E4411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analysis protocols and procedures.</w:t>
      </w:r>
    </w:p>
    <w:p w14:paraId="64A23DA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dashboards displaying key performance indicators (KPIs) and trend lines.</w:t>
      </w:r>
    </w:p>
    <w:p w14:paraId="3F23831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Scheduled data review meetings and review schedules.</w:t>
      </w:r>
    </w:p>
    <w:p w14:paraId="5068B9E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analysis scripts and configurations.</w:t>
      </w:r>
    </w:p>
    <w:p w14:paraId="5CB0EE1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AAAEF6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Responsibility Assignment for Data Analysis and Review</w:t>
      </w:r>
    </w:p>
    <w:p w14:paraId="5AAE1BD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Define roles and responsibilities for conducting systematic performance analyses, trend detection, and cause analysis, ensuring accountability in the evaluation process and facilitating effective teamwork.</w:t>
      </w:r>
    </w:p>
    <w:p w14:paraId="646F5C3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F3100D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RACI matrices for analytical tasks.</w:t>
      </w:r>
    </w:p>
    <w:p w14:paraId="35FA430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Task assignment records for data analysts, model developers, or evaluation teams.</w:t>
      </w:r>
    </w:p>
    <w:p w14:paraId="5CEA0DE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review processes with sign-offs.</w:t>
      </w:r>
    </w:p>
    <w:p w14:paraId="1A233C4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4CBDA2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Evaluation of Error Propagation, Feedback Loops, and Adaptation</w:t>
      </w:r>
    </w:p>
    <w:p w14:paraId="2B7C5DF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data analysis to evaluate how errors propagate over system states, identify feedback loops that may cause instability, and assess whether the system adapts appropriately to environmental changes to maintain desired performance and reliability standards.</w:t>
      </w:r>
    </w:p>
    <w:p w14:paraId="5D2D79C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4A50E0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Error propagation analysis reports.</w:t>
      </w:r>
    </w:p>
    <w:p w14:paraId="3B18C4E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loop risk assessments and monitoring logs.</w:t>
      </w:r>
    </w:p>
    <w:p w14:paraId="4046333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System change logs correlating to environmental shifts.</w:t>
      </w:r>
    </w:p>
    <w:p w14:paraId="6026F33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Analytical models illustrating system adaptation performance.</w:t>
      </w:r>
    </w:p>
    <w:p w14:paraId="514E181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C00102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Application of Statistical Quality Control (SQC) Methods</w:t>
      </w:r>
    </w:p>
    <w:p w14:paraId="6977F55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Employ control charts, trend analysis, and cause analysis to detect statistically significant shifts, trends, or anomalies indicative of performance issues or drift in the AI system's operational effectiveness.</w:t>
      </w:r>
    </w:p>
    <w:p w14:paraId="3A0CEB2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CA5B5A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Control charts with documented limits and identified shifts.</w:t>
      </w:r>
    </w:p>
    <w:p w14:paraId="1C37490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Trend analysis reports with cause attribution.</w:t>
      </w:r>
    </w:p>
    <w:p w14:paraId="0FFA28B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logs correlating shifts with root causes.</w:t>
      </w:r>
    </w:p>
    <w:p w14:paraId="0AF9397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Detection reports with notifications and escalation records.</w:t>
      </w:r>
    </w:p>
    <w:p w14:paraId="161E788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A0294E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of Findings to Drive Iterative Improvements</w:t>
      </w:r>
    </w:p>
    <w:p w14:paraId="4017552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Incorporate insights from data analysis and SQC evaluations into system updates, retraining, or process adjustments, ensuring ongoing system robustness and alignment with operational needs to support continuous improvement and responsiveness to changing environments.</w:t>
      </w:r>
    </w:p>
    <w:p w14:paraId="5A2AC74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62CEB2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requests and updates driven by data analysis insights.</w:t>
      </w:r>
    </w:p>
    <w:p w14:paraId="74452B2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Model retraining logs aligned with detected drift or feedback loop issues.</w:t>
      </w:r>
    </w:p>
    <w:p w14:paraId="1C94582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Documented lessons learned and process refinement records.</w:t>
      </w:r>
    </w:p>
    <w:p w14:paraId="0207590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monitoring and evaluation procedures reflecting new insights.</w:t>
      </w:r>
    </w:p>
    <w:p w14:paraId="6EEFB24A"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7C97C308"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65220E4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668B9EA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55535B0E" w14:textId="77777777" w:rsidTr="005C00A5">
        <w:tc>
          <w:tcPr>
            <w:tcW w:w="1170" w:type="dxa"/>
          </w:tcPr>
          <w:p w14:paraId="1553329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33C9436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4B2B406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2DF41073" w14:textId="77777777" w:rsidTr="005C00A5">
        <w:tc>
          <w:tcPr>
            <w:tcW w:w="1170" w:type="dxa"/>
          </w:tcPr>
          <w:p w14:paraId="79D9108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MS-2.4.3</w:t>
            </w:r>
          </w:p>
        </w:tc>
        <w:tc>
          <w:tcPr>
            <w:tcW w:w="2160" w:type="dxa"/>
          </w:tcPr>
          <w:p w14:paraId="175C398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Monitoring Integration</w:t>
            </w:r>
          </w:p>
        </w:tc>
        <w:tc>
          <w:tcPr>
            <w:tcW w:w="6740" w:type="dxa"/>
          </w:tcPr>
          <w:p w14:paraId="4818B1B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integrates AI-specific monitoring activities with its broader system-wide monitoring framework. AI-related performance and reliability metrics, anomaly detection signals, decision logs, and statistical quality control indicators are incorporated into existing monitoring platforms and operational dashboards. This allows AI-related alerts to be contextualized alongside other system indicators, enabling a holistic response to incidents.</w:t>
            </w:r>
          </w:p>
          <w:p w14:paraId="766664A3" w14:textId="77777777" w:rsidR="00963E47" w:rsidRPr="00963E47" w:rsidRDefault="00963E47" w:rsidP="004C3837">
            <w:pPr>
              <w:keepNext/>
              <w:rPr>
                <w:rFonts w:ascii="Aptos" w:hAnsi="Aptos" w:cs="Times New Roman"/>
                <w:b/>
                <w:bCs/>
                <w:color w:val="000000"/>
                <w:sz w:val="20"/>
                <w:szCs w:val="20"/>
              </w:rPr>
            </w:pPr>
          </w:p>
          <w:p w14:paraId="512FB308" w14:textId="77777777" w:rsidR="00963E47" w:rsidRPr="00963E47" w:rsidRDefault="00963E47" w:rsidP="004C3837">
            <w:pPr>
              <w:keepNext/>
              <w:rPr>
                <w:rFonts w:ascii="Aptos" w:hAnsi="Aptos" w:cs="Times New Roman"/>
                <w:b/>
                <w:bCs/>
                <w:color w:val="000000"/>
                <w:sz w:val="20"/>
                <w:szCs w:val="20"/>
              </w:rPr>
            </w:pPr>
            <w:hyperlink r:id="rId158" w:anchor="measure-2-4" w:history="1">
              <w:r w:rsidRPr="00963E47">
                <w:rPr>
                  <w:rFonts w:ascii="Aptos" w:hAnsi="Aptos" w:cs="Times New Roman"/>
                  <w:color w:val="000000"/>
                  <w:sz w:val="20"/>
                  <w:szCs w:val="20"/>
                  <w:u w:val="single"/>
                </w:rPr>
                <w:t>Link to NIST AI RMF Playbook</w:t>
              </w:r>
            </w:hyperlink>
          </w:p>
        </w:tc>
      </w:tr>
    </w:tbl>
    <w:p w14:paraId="0727DDC1"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F72DDA7"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14AE0D69"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00E1C434" w14:textId="77777777" w:rsidTr="005C00A5">
        <w:trPr>
          <w:tblHeader/>
        </w:trPr>
        <w:tc>
          <w:tcPr>
            <w:tcW w:w="2160" w:type="dxa"/>
            <w:shd w:val="clear" w:color="auto" w:fill="CCDCDC"/>
            <w:vAlign w:val="center"/>
          </w:tcPr>
          <w:p w14:paraId="74454265"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201100F3"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475E1F40"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713D22E4" w14:textId="77777777" w:rsidTr="005C00A5">
        <w:tc>
          <w:tcPr>
            <w:tcW w:w="2160" w:type="dxa"/>
            <w:shd w:val="clear" w:color="auto" w:fill="CCDCDC"/>
          </w:tcPr>
          <w:p w14:paraId="7030AC3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164BDC6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7541F2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42BF16E8" w14:textId="77777777" w:rsidTr="005C00A5">
        <w:tc>
          <w:tcPr>
            <w:tcW w:w="2160" w:type="dxa"/>
            <w:shd w:val="clear" w:color="auto" w:fill="CCDCDC"/>
          </w:tcPr>
          <w:p w14:paraId="5170765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6278EF0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5475B57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104CEA71" w14:textId="77777777" w:rsidTr="005C00A5">
        <w:tc>
          <w:tcPr>
            <w:tcW w:w="2160" w:type="dxa"/>
            <w:shd w:val="clear" w:color="auto" w:fill="CCDCDC"/>
          </w:tcPr>
          <w:p w14:paraId="37DE8E1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6FFE9B1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591AAA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consistently integrate AI-specific monitoring activities with their broader system-wide monitoring framework. AI-related performance metrics, anomaly detection signals, and decision logs are incorporated into existing monitoring platforms and operational dashboards. This allows AI-related alerts to be contextualized alongside other system indicators, enabling a holistic response to incidents.</w:t>
            </w:r>
          </w:p>
        </w:tc>
      </w:tr>
      <w:tr w:rsidR="00963E47" w:rsidRPr="00963E47" w14:paraId="60B1CAEF" w14:textId="77777777" w:rsidTr="005C00A5">
        <w:tc>
          <w:tcPr>
            <w:tcW w:w="2160" w:type="dxa"/>
            <w:shd w:val="clear" w:color="auto" w:fill="CCDCDC"/>
          </w:tcPr>
          <w:p w14:paraId="71CAAAB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070535F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DF4BAD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Organizations at the embedded stage have advanced, automated processes for seamlessly integrating AI-specific monitoring activities </w:t>
            </w:r>
            <w:r w:rsidRPr="00963E47">
              <w:rPr>
                <w:rFonts w:ascii="Aptos" w:hAnsi="Aptos" w:cs="Times New Roman"/>
                <w:noProof/>
                <w:color w:val="auto"/>
                <w:sz w:val="20"/>
                <w:szCs w:val="20"/>
              </w:rPr>
              <w:lastRenderedPageBreak/>
              <w:t>with their broader system-wide monitoring framework, with real-time incorporation of AI-related performance metrics, anomaly detection signals, and decision logs into existing monitoring platforms and operational dashboards based on data-driven insights. This allows AI-related alerts to be dynamically contextualized alongside other system indicators, enabling a holistic response to incidents, ensuring the highest level of integrated monitoring and incident response.</w:t>
            </w:r>
          </w:p>
        </w:tc>
      </w:tr>
    </w:tbl>
    <w:p w14:paraId="1FC32F6F"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667066B3" w14:textId="77777777" w:rsidTr="005C00A5">
        <w:tc>
          <w:tcPr>
            <w:tcW w:w="2250" w:type="dxa"/>
          </w:tcPr>
          <w:p w14:paraId="1DFF6B6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6AC8ED9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3950A90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1FDFB8FF" w14:textId="77777777" w:rsidTr="005C00A5">
        <w:tc>
          <w:tcPr>
            <w:tcW w:w="2250" w:type="dxa"/>
          </w:tcPr>
          <w:p w14:paraId="0120CAF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6217AC8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Unintegrated AI Monitoring</w:t>
            </w:r>
          </w:p>
        </w:tc>
        <w:tc>
          <w:tcPr>
            <w:tcW w:w="5300" w:type="dxa"/>
          </w:tcPr>
          <w:p w14:paraId="414219A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monitoring activities are not integrated with broader system framework</w:t>
            </w:r>
          </w:p>
        </w:tc>
      </w:tr>
    </w:tbl>
    <w:p w14:paraId="64C8DC7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8BF76B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3438F82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894F58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Integrate AI-specific monitoring activities into the organization's broader system-wide monitoring framework. Identify the key AI-related performance and reliability metrics, anomaly detection signals, decision logs, and statistical quality control indicators that should be incorporated into existing monitoring platforms and operational dashboards.</w:t>
      </w:r>
    </w:p>
    <w:p w14:paraId="559C9542"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7316F4E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Work with IT and operations teams to ensure that AI-related alerts and indicators — including SQC-based signals — are properly contextualized alongside other system metrics, and that there are clear processes in place for triaging and responding to AI-related incidents as part of the overall system management approach. Provide training and support to ensure that all relevant personnel are equipped to effectively monitor and manage AI systems within the integrated framework.</w:t>
      </w:r>
    </w:p>
    <w:p w14:paraId="52BEC372"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B5CD1C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32E9295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5E4E61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Establishment of Integration Framework and Platform</w:t>
      </w:r>
    </w:p>
    <w:p w14:paraId="295B221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 framework for embedding AI monitoring metrics and signals into existing monitoring platforms and operational dashboards, ensuring seamless integration and contextual visibility.</w:t>
      </w:r>
    </w:p>
    <w:p w14:paraId="2837DF9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2897AC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System architecture diagrams showing integration points.</w:t>
      </w:r>
    </w:p>
    <w:p w14:paraId="6F37CC6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Configuration settings or APIs linking AI metrics to existing platforms.</w:t>
      </w:r>
    </w:p>
    <w:p w14:paraId="4AA885E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Templates for embedding AI indicators into dashboards.</w:t>
      </w:r>
    </w:p>
    <w:p w14:paraId="3E259F3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integration documentation.</w:t>
      </w:r>
    </w:p>
    <w:p w14:paraId="445B13C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5133FC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Consolidation of AI Metrics with System Indicators</w:t>
      </w:r>
    </w:p>
    <w:p w14:paraId="7E82270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Incorporate AI performance, reliability, anomaly, and quality indicators alongside other system metrics to enable cross-component analysis and a comprehensive view of overall system health and functionality.</w:t>
      </w:r>
    </w:p>
    <w:p w14:paraId="622130C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E5A3E4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Unified dashboards displaying AI and non-AI system metrics together.</w:t>
      </w:r>
    </w:p>
    <w:p w14:paraId="5713214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demonstrating correlation analysis between AI and system-wide indicators.</w:t>
      </w:r>
    </w:p>
    <w:p w14:paraId="13F0563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Alerting rules applied across combined metrics.</w:t>
      </w:r>
    </w:p>
    <w:p w14:paraId="0628696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Configuration logs of dashboards.</w:t>
      </w:r>
    </w:p>
    <w:p w14:paraId="575F693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253EE3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Contextualization of AI Alerts Within System-Wide Responses</w:t>
      </w:r>
    </w:p>
    <w:p w14:paraId="68E6BD9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Ensure AI alerts are integrated into system incident workflows, allowing contextualized understanding and coordinated response to incidents that may impact system performance or user experience.</w:t>
      </w:r>
    </w:p>
    <w:p w14:paraId="7705707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6B7EE0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response protocols referencing AI alerts within broader event handling.</w:t>
      </w:r>
    </w:p>
    <w:p w14:paraId="79326A8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Automated alert routing and notification templates that include contextual information.</w:t>
      </w:r>
    </w:p>
    <w:p w14:paraId="1E2D0EB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Event logs showing AI alerts correlated with other system anomalies.</w:t>
      </w:r>
    </w:p>
    <w:p w14:paraId="419B38E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discussing incident escalation involving multiple components.</w:t>
      </w:r>
    </w:p>
    <w:p w14:paraId="7AE30AB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31F515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Ongoing Monitoring and Review of Integration Effectiveness</w:t>
      </w:r>
    </w:p>
    <w:p w14:paraId="13816E3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Schedule periodic reviews to assess the effectiveness of integrating AI metrics into system-wide monitoring, making improvements based on incident analyses and performance trends to enhance the organization's overall monitoring capabilities.</w:t>
      </w:r>
    </w:p>
    <w:p w14:paraId="676E49E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D165B3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and analysis reports on integration performance.</w:t>
      </w:r>
    </w:p>
    <w:p w14:paraId="2DB72D1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operations teams on alert relevancy and contextual clarity.</w:t>
      </w:r>
    </w:p>
    <w:p w14:paraId="6748D35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configuration files reflecting improvements.</w:t>
      </w:r>
    </w:p>
    <w:p w14:paraId="6FDFCB1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incorporated into dashboards and protocols.</w:t>
      </w:r>
    </w:p>
    <w:p w14:paraId="777E9362"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DE8FDA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Transparent Communication and Training on Integrated Monitoring</w:t>
      </w:r>
    </w:p>
    <w:p w14:paraId="7E56DA0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Train teams on interpreting and responding to AI-related signals within the broader system context, ensuring awareness and coordination across disciplines to promote a unified approach to incident management and system optimization.</w:t>
      </w:r>
    </w:p>
    <w:p w14:paraId="64F76F3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372C38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session records and materials.</w:t>
      </w:r>
    </w:p>
    <w:p w14:paraId="64C432D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Internal communications explaining integration benefits and procedures.</w:t>
      </w:r>
    </w:p>
    <w:p w14:paraId="55DF344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surveys on team understanding and response confidence.</w:t>
      </w:r>
    </w:p>
    <w:p w14:paraId="6EE651C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operational procedures reflecting integrated monitoring.</w:t>
      </w:r>
    </w:p>
    <w:p w14:paraId="14DC1709"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5A6C82B8"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0FDFAD8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130FED7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441D9181" w14:textId="77777777" w:rsidTr="005C00A5">
        <w:tc>
          <w:tcPr>
            <w:tcW w:w="1170" w:type="dxa"/>
          </w:tcPr>
          <w:p w14:paraId="6516435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2221B77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02885B2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7F14E5CB" w14:textId="77777777" w:rsidTr="005C00A5">
        <w:tc>
          <w:tcPr>
            <w:tcW w:w="1170" w:type="dxa"/>
          </w:tcPr>
          <w:p w14:paraId="3D63CD6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MS-2.4.4</w:t>
            </w:r>
          </w:p>
        </w:tc>
        <w:tc>
          <w:tcPr>
            <w:tcW w:w="2160" w:type="dxa"/>
          </w:tcPr>
          <w:p w14:paraId="38CB69C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Incident Investigation and Root Cause Analysis</w:t>
            </w:r>
          </w:p>
        </w:tc>
        <w:tc>
          <w:tcPr>
            <w:tcW w:w="6740" w:type="dxa"/>
          </w:tcPr>
          <w:p w14:paraId="6EA5686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conducts structured investigations, integrating with existing incident management processes where appropriate, using root cause analysis methodologies when anomalies or failures are detected. These investigations consider factors such as data integrity, model biases, potential unintended consequences, and statistical quality control evidence supporting identified causes. Corrective actions to restore reliability are documented and integrated into future risk mitigation strategies.</w:t>
            </w:r>
          </w:p>
          <w:p w14:paraId="5AA24BD2" w14:textId="77777777" w:rsidR="00963E47" w:rsidRPr="00963E47" w:rsidRDefault="00963E47" w:rsidP="004C3837">
            <w:pPr>
              <w:keepNext/>
              <w:rPr>
                <w:rFonts w:ascii="Aptos" w:hAnsi="Aptos" w:cs="Times New Roman"/>
                <w:b/>
                <w:bCs/>
                <w:color w:val="000000"/>
                <w:sz w:val="20"/>
                <w:szCs w:val="20"/>
              </w:rPr>
            </w:pPr>
          </w:p>
          <w:p w14:paraId="1F43976D" w14:textId="77777777" w:rsidR="00963E47" w:rsidRPr="00963E47" w:rsidRDefault="00963E47" w:rsidP="004C3837">
            <w:pPr>
              <w:keepNext/>
              <w:rPr>
                <w:rFonts w:ascii="Aptos" w:hAnsi="Aptos" w:cs="Times New Roman"/>
                <w:b/>
                <w:bCs/>
                <w:color w:val="000000"/>
                <w:sz w:val="20"/>
                <w:szCs w:val="20"/>
              </w:rPr>
            </w:pPr>
            <w:hyperlink r:id="rId159" w:anchor="measure-2-4" w:history="1">
              <w:r w:rsidRPr="00963E47">
                <w:rPr>
                  <w:rFonts w:ascii="Aptos" w:hAnsi="Aptos" w:cs="Times New Roman"/>
                  <w:color w:val="000000"/>
                  <w:sz w:val="20"/>
                  <w:szCs w:val="20"/>
                  <w:u w:val="single"/>
                </w:rPr>
                <w:t>Link to NIST AI RMF Playbook</w:t>
              </w:r>
            </w:hyperlink>
          </w:p>
        </w:tc>
      </w:tr>
    </w:tbl>
    <w:p w14:paraId="5FC09B99"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B1E2A59"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4F4B9C81"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54578C1A" w14:textId="77777777" w:rsidTr="005C00A5">
        <w:trPr>
          <w:tblHeader/>
        </w:trPr>
        <w:tc>
          <w:tcPr>
            <w:tcW w:w="2160" w:type="dxa"/>
            <w:shd w:val="clear" w:color="auto" w:fill="CCDCDC"/>
            <w:vAlign w:val="center"/>
          </w:tcPr>
          <w:p w14:paraId="22BFEA97"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379761A5"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4589D906"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3F25DDDF" w14:textId="77777777" w:rsidTr="005C00A5">
        <w:tc>
          <w:tcPr>
            <w:tcW w:w="2160" w:type="dxa"/>
            <w:shd w:val="clear" w:color="auto" w:fill="CCDCDC"/>
          </w:tcPr>
          <w:p w14:paraId="3DA6A1E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3C9D05D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EF4C49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569E2A0" w14:textId="77777777" w:rsidTr="005C00A5">
        <w:tc>
          <w:tcPr>
            <w:tcW w:w="2160" w:type="dxa"/>
            <w:shd w:val="clear" w:color="auto" w:fill="CCDCDC"/>
          </w:tcPr>
          <w:p w14:paraId="2ABD7CC5"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4268535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7528FF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45965DA8" w14:textId="77777777" w:rsidTr="005C00A5">
        <w:tc>
          <w:tcPr>
            <w:tcW w:w="2160" w:type="dxa"/>
            <w:shd w:val="clear" w:color="auto" w:fill="CCDCDC"/>
          </w:tcPr>
          <w:p w14:paraId="7A28038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6C1CC93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760BF4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consistently conduct structured investigations using root cause analysis methodologies when anomalies or failures are detected. These investigations consider factors such as data integrity, model biases, and potential unintended consequences. Corrective actions are comprehensively documented and integrated into future risk mitigation strategies.</w:t>
            </w:r>
          </w:p>
        </w:tc>
      </w:tr>
      <w:tr w:rsidR="00963E47" w:rsidRPr="00963E47" w14:paraId="77E44FF3" w14:textId="77777777" w:rsidTr="005C00A5">
        <w:tc>
          <w:tcPr>
            <w:tcW w:w="2160" w:type="dxa"/>
            <w:shd w:val="clear" w:color="auto" w:fill="CCDCDC"/>
          </w:tcPr>
          <w:p w14:paraId="3493DA9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4: Embedded</w:t>
            </w:r>
          </w:p>
        </w:tc>
        <w:tc>
          <w:tcPr>
            <w:tcW w:w="1350" w:type="dxa"/>
          </w:tcPr>
          <w:p w14:paraId="27357D3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A108C5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continuously conducting structured investigations using root cause analysis methodologies when anomalies or failures are detected, with real-time consideration of factors such as data integrity, model biases, and potential unintended consequences based on data-driven insights. Corrective actions are dynamically documented and integrated into future risk mitigation strategies, ensuring the highest level of proactive issue resolution and continuous improvement.</w:t>
            </w:r>
          </w:p>
        </w:tc>
      </w:tr>
    </w:tbl>
    <w:p w14:paraId="0CDC0A87"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1E6E64E9" w14:textId="77777777" w:rsidTr="005C00A5">
        <w:tc>
          <w:tcPr>
            <w:tcW w:w="2250" w:type="dxa"/>
          </w:tcPr>
          <w:p w14:paraId="708C8A3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5A9F9AD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380477A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7538DB96" w14:textId="77777777" w:rsidTr="005C00A5">
        <w:tc>
          <w:tcPr>
            <w:tcW w:w="2250" w:type="dxa"/>
          </w:tcPr>
          <w:p w14:paraId="0C21F71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0E10186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Lack of Root Cause Analysis</w:t>
            </w:r>
          </w:p>
        </w:tc>
        <w:tc>
          <w:tcPr>
            <w:tcW w:w="5300" w:type="dxa"/>
          </w:tcPr>
          <w:p w14:paraId="1A84D70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Structured investigations using root cause analysis are lacking when anomalies are detected</w:t>
            </w:r>
          </w:p>
        </w:tc>
      </w:tr>
    </w:tbl>
    <w:p w14:paraId="214CF95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1071F9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2954475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14199C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a structured process for conducting root cause analysis investigations when anomalies or failures are detected in AI systems. Develop a standardized methodology for identifying and evaluating potential contributing factors, such as data integrity issues, model biases, unintended consequences, and SQC evidence that may indicate special-cause variation.</w:t>
      </w:r>
    </w:p>
    <w:p w14:paraId="6CB4C0C7"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6D54848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Assign clear roles and responsibilities for conducting investigations, and ensure that all relevant stakeholders are involved in the process, including AI developers, data scientists, and subject matter experts. Document the findings and recommendations from each investigation, including actions taken to restore reliability, and establish a process for tracking and implementing corrective actions into future risk mitigation and system improvement plans.</w:t>
      </w:r>
    </w:p>
    <w:p w14:paraId="5E6E3BF0"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45FE45D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Incorporate the lessons learned from investigations into the organization's overall risk management and mitigation strategies for AI systems. Regularly review and update the investigation process to ensure that it remains effective and aligned with industry best practices and evolving AI technologies.</w:t>
      </w:r>
    </w:p>
    <w:p w14:paraId="46CB5421"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16740D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712F638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20B043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Formal Root Cause Analysis Procedures</w:t>
      </w:r>
    </w:p>
    <w:p w14:paraId="3BACCDC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and document standardized procedures for conducting root cause analyses (RCA) when anomalies or failures occur, including criteria for triggering investigations.</w:t>
      </w:r>
    </w:p>
    <w:p w14:paraId="6F6010E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376640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RCA process manuals with step-by-step guidance.</w:t>
      </w:r>
    </w:p>
    <w:p w14:paraId="7FE8848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escalation and investigation initiation protocols.</w:t>
      </w:r>
    </w:p>
    <w:p w14:paraId="1632533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Checklists for evaluating contributing factors like data and bias.</w:t>
      </w:r>
    </w:p>
    <w:p w14:paraId="23B03D9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process documentation.</w:t>
      </w:r>
    </w:p>
    <w:p w14:paraId="3B37184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BAA460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Comprehensive Data and Bias Evaluation During Investigations</w:t>
      </w:r>
    </w:p>
    <w:p w14:paraId="5E4CB71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During RCA, assess data integrity, model biases, and potential unintended effects, supporting cause identification with statistical and technical evidence to ensure a comprehensive understanding of contributing factors to anomalies or failures.</w:t>
      </w:r>
    </w:p>
    <w:p w14:paraId="401974B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B9FEF5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quality assessment reports linked to incidents.</w:t>
      </w:r>
    </w:p>
    <w:p w14:paraId="31ACD7E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Bias evaluation studies and model fairness audits.</w:t>
      </w:r>
    </w:p>
    <w:p w14:paraId="4EE3C52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Statistical analyses demonstrating anomalies or deviations.</w:t>
      </w:r>
    </w:p>
    <w:p w14:paraId="1310771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Technical logs and model evaluation reports.</w:t>
      </w:r>
    </w:p>
    <w:p w14:paraId="79B6619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4CB81D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Investigation Findings and Causes</w:t>
      </w:r>
    </w:p>
    <w:p w14:paraId="6E415C7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Record detailed findings, including identified root causes, contributing factors, and evidence supporting cause attribution to maintain transparency and facilitate future analysis of similar incidents.</w:t>
      </w:r>
    </w:p>
    <w:p w14:paraId="5C860E8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DE78F0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Investigation reports with causal diagrams.</w:t>
      </w:r>
    </w:p>
    <w:p w14:paraId="5766FEC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Evidence summaries linking data, model, or process issues to failures.</w:t>
      </w:r>
    </w:p>
    <w:p w14:paraId="2548B5B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Analytical charts and statistical evidence supporting root cause conclusions.</w:t>
      </w:r>
    </w:p>
    <w:p w14:paraId="7170FC4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Minutes from review meetings documenting findings.</w:t>
      </w:r>
    </w:p>
    <w:p w14:paraId="168A5FB3"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58602E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Corrective Actions and Integration into Risk Strategies</w:t>
      </w:r>
    </w:p>
    <w:p w14:paraId="112A76E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 corrective or remedial actions taken, including their effectiveness, and embed lessons learned into ongoing risk mitigation planning and system improvement to enhance the organization's ability to prevent recurrence of identified issues.</w:t>
      </w:r>
    </w:p>
    <w:p w14:paraId="2520D9C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84FA14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Corrective action plans with timelines and responsibilities.</w:t>
      </w:r>
    </w:p>
    <w:p w14:paraId="21EAEF8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Follow-up testing and validation reports verifying fixes.</w:t>
      </w:r>
    </w:p>
    <w:p w14:paraId="4CF47DB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documentation linked to system or process updates.</w:t>
      </w:r>
    </w:p>
    <w:p w14:paraId="5A88981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 logs showing revisions based on investigation insights.</w:t>
      </w:r>
    </w:p>
    <w:p w14:paraId="4540BCA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F91E88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Monitoring and Improvement of Investigation Processes</w:t>
      </w:r>
    </w:p>
    <w:p w14:paraId="7B931E3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review investigation outcomes and processes to improve RCA methods, evidence collection, and corrective actions, ensuring ongoing system reliability and adherence to best practices in incident management.</w:t>
      </w:r>
    </w:p>
    <w:p w14:paraId="55FA4E1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E93826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Post-incident review reports analyzing RCA effectiveness.</w:t>
      </w:r>
    </w:p>
    <w:p w14:paraId="7BFDA6E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investigators on process improvements.</w:t>
      </w:r>
    </w:p>
    <w:p w14:paraId="4CF8692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RCA procedures reflecting best practices.</w:t>
      </w:r>
    </w:p>
    <w:p w14:paraId="70E6951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Tracking metrics on incident recurrence and resolution efficacy.</w:t>
      </w:r>
    </w:p>
    <w:p w14:paraId="58F1AB34"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53" w:name="_Toc214874798"/>
      <w:r w:rsidRPr="00963E47">
        <w:rPr>
          <w:rFonts w:ascii="Aptos" w:eastAsia="Aptos" w:hAnsi="Aptos" w:cs="Times New Roman"/>
          <w:b/>
          <w:bCs/>
          <w:noProof/>
          <w:color w:val="35256B"/>
          <w:kern w:val="2"/>
          <w:sz w:val="24"/>
          <w14:ligatures w14:val="standardContextual"/>
        </w:rPr>
        <w:t>MEASURE / Evaluating AI Systems / Measuring Validity and Reliability</w:t>
      </w:r>
      <w:bookmarkEnd w:id="53"/>
      <w:r w:rsidRPr="00963E47">
        <w:rPr>
          <w:rFonts w:ascii="Aptos" w:eastAsia="Aptos" w:hAnsi="Aptos" w:cs="Times New Roman"/>
          <w:b/>
          <w:bCs/>
          <w:noProof/>
          <w:color w:val="35256B"/>
          <w:kern w:val="2"/>
          <w:sz w:val="24"/>
          <w14:ligatures w14:val="standardContextual"/>
        </w:rPr>
        <w:t xml:space="preserve"> </w:t>
      </w:r>
    </w:p>
    <w:p w14:paraId="4A41D7CF"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5B010BF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5234246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69273EE7" w14:textId="77777777" w:rsidTr="005C00A5">
        <w:tc>
          <w:tcPr>
            <w:tcW w:w="1170" w:type="dxa"/>
          </w:tcPr>
          <w:p w14:paraId="35651C9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0306CE4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3723880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05FDFBE8" w14:textId="77777777" w:rsidTr="005C00A5">
        <w:tc>
          <w:tcPr>
            <w:tcW w:w="1170" w:type="dxa"/>
          </w:tcPr>
          <w:p w14:paraId="21A50F2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MS-2.5.1</w:t>
            </w:r>
          </w:p>
        </w:tc>
        <w:tc>
          <w:tcPr>
            <w:tcW w:w="2160" w:type="dxa"/>
          </w:tcPr>
          <w:p w14:paraId="5442AF2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Validation and Reliability Testing Process</w:t>
            </w:r>
          </w:p>
        </w:tc>
        <w:tc>
          <w:tcPr>
            <w:tcW w:w="6740" w:type="dxa"/>
          </w:tcPr>
          <w:p w14:paraId="1D45FAD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implements a structured validation and reliability testing process that incorporates performance metrics aligned with real-world deployment conditions, including measures for robustness against distribution shifts, stress testing under varying operational scenarios, and adversarial testing, with oversight or input from the MRM program and independent model validation functions. The organization establishes and documents acceptance criteria based on statistical confidence levels.</w:t>
            </w:r>
          </w:p>
          <w:p w14:paraId="20B46F6F" w14:textId="77777777" w:rsidR="00963E47" w:rsidRPr="00963E47" w:rsidRDefault="00963E47" w:rsidP="004C3837">
            <w:pPr>
              <w:keepNext/>
              <w:rPr>
                <w:rFonts w:ascii="Aptos" w:hAnsi="Aptos" w:cs="Times New Roman"/>
                <w:b/>
                <w:bCs/>
                <w:color w:val="000000"/>
                <w:sz w:val="20"/>
                <w:szCs w:val="20"/>
              </w:rPr>
            </w:pPr>
          </w:p>
          <w:p w14:paraId="4523B5B0" w14:textId="77777777" w:rsidR="00963E47" w:rsidRPr="00963E47" w:rsidRDefault="00963E47" w:rsidP="004C3837">
            <w:pPr>
              <w:keepNext/>
              <w:rPr>
                <w:rFonts w:ascii="Aptos" w:hAnsi="Aptos" w:cs="Times New Roman"/>
                <w:b/>
                <w:bCs/>
                <w:color w:val="000000"/>
                <w:sz w:val="20"/>
                <w:szCs w:val="20"/>
              </w:rPr>
            </w:pPr>
            <w:hyperlink r:id="rId160" w:anchor="measure-2-5" w:history="1">
              <w:r w:rsidRPr="00963E47">
                <w:rPr>
                  <w:rFonts w:ascii="Aptos" w:hAnsi="Aptos" w:cs="Times New Roman"/>
                  <w:color w:val="000000"/>
                  <w:sz w:val="20"/>
                  <w:szCs w:val="20"/>
                  <w:u w:val="single"/>
                </w:rPr>
                <w:t>Link to NIST AI RMF Playbook</w:t>
              </w:r>
            </w:hyperlink>
          </w:p>
        </w:tc>
      </w:tr>
    </w:tbl>
    <w:p w14:paraId="7BB59406"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FFC927A"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178C4C88"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63E65A85" w14:textId="77777777" w:rsidTr="005C00A5">
        <w:trPr>
          <w:tblHeader/>
        </w:trPr>
        <w:tc>
          <w:tcPr>
            <w:tcW w:w="2160" w:type="dxa"/>
            <w:shd w:val="clear" w:color="auto" w:fill="CCDCDC"/>
            <w:vAlign w:val="center"/>
          </w:tcPr>
          <w:p w14:paraId="7C60BAC5"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25EA0EB4"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1F42E20A"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4C561DAF" w14:textId="77777777" w:rsidTr="005C00A5">
        <w:tc>
          <w:tcPr>
            <w:tcW w:w="2160" w:type="dxa"/>
            <w:shd w:val="clear" w:color="auto" w:fill="CCDCDC"/>
          </w:tcPr>
          <w:p w14:paraId="172B85B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7BB4CE4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25AB17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5426837" w14:textId="77777777" w:rsidTr="005C00A5">
        <w:tc>
          <w:tcPr>
            <w:tcW w:w="2160" w:type="dxa"/>
            <w:shd w:val="clear" w:color="auto" w:fill="CCDCDC"/>
          </w:tcPr>
          <w:p w14:paraId="1EBD900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694C158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6E25E2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minimal stage, organizations begin implementing a basic validation and testing process for their limited AI systems. This </w:t>
            </w:r>
            <w:r w:rsidRPr="00963E47">
              <w:rPr>
                <w:rFonts w:ascii="Aptos" w:hAnsi="Aptos" w:cs="Times New Roman"/>
                <w:noProof/>
                <w:color w:val="auto"/>
                <w:sz w:val="20"/>
                <w:szCs w:val="20"/>
              </w:rPr>
              <w:lastRenderedPageBreak/>
              <w:t>process incorporates performance metrics that align with deployment conditions.</w:t>
            </w:r>
          </w:p>
        </w:tc>
      </w:tr>
      <w:tr w:rsidR="00963E47" w:rsidRPr="00963E47" w14:paraId="30AB23A9" w14:textId="77777777" w:rsidTr="005C00A5">
        <w:tc>
          <w:tcPr>
            <w:tcW w:w="2160" w:type="dxa"/>
            <w:shd w:val="clear" w:color="auto" w:fill="CCDCDC"/>
          </w:tcPr>
          <w:p w14:paraId="6FA4D75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3: Evolving</w:t>
            </w:r>
          </w:p>
        </w:tc>
        <w:tc>
          <w:tcPr>
            <w:tcW w:w="1350" w:type="dxa"/>
          </w:tcPr>
          <w:p w14:paraId="21E67B9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21F953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consistently implement a structured validation and reliability testing process that incorporates performance metrics aligned with real-world deployment conditions, including measures for robustness against distribution shifts, stress testing under varying operational scenarios, and adversarial testing. The organization establishes and comprehensively documents acceptance criteria based on statistical confidence levels.</w:t>
            </w:r>
          </w:p>
        </w:tc>
      </w:tr>
      <w:tr w:rsidR="00963E47" w:rsidRPr="00963E47" w14:paraId="1503463B" w14:textId="77777777" w:rsidTr="005C00A5">
        <w:tc>
          <w:tcPr>
            <w:tcW w:w="2160" w:type="dxa"/>
            <w:shd w:val="clear" w:color="auto" w:fill="CCDCDC"/>
          </w:tcPr>
          <w:p w14:paraId="3083E05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4E422A3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B5989A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continuously implementing a structured validation and reliability testing process that incorporates performance metrics aligned with real-world deployment conditions, including measures for robustness against distribution shifts, stress testing under varying operational scenarios, and adversarial testing, with real-time updates based on data-driven insights. The organization dynamically establishes and documents acceptance criteria based on statistical confidence levels, ensuring the highest level of validation and reliability assurance.</w:t>
            </w:r>
          </w:p>
        </w:tc>
      </w:tr>
    </w:tbl>
    <w:p w14:paraId="39AA087F"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638D40AB" w14:textId="77777777" w:rsidTr="005C00A5">
        <w:tc>
          <w:tcPr>
            <w:tcW w:w="2250" w:type="dxa"/>
          </w:tcPr>
          <w:p w14:paraId="4B14B96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751A0A1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03014A5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65E19957" w14:textId="77777777" w:rsidTr="005C00A5">
        <w:tc>
          <w:tcPr>
            <w:tcW w:w="2250" w:type="dxa"/>
          </w:tcPr>
          <w:p w14:paraId="3CF6DD4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Valid &amp; Reliable</w:t>
            </w:r>
          </w:p>
        </w:tc>
        <w:tc>
          <w:tcPr>
            <w:tcW w:w="2520" w:type="dxa"/>
          </w:tcPr>
          <w:p w14:paraId="6592DE2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Misaligned Reliability Testing</w:t>
            </w:r>
          </w:p>
        </w:tc>
        <w:tc>
          <w:tcPr>
            <w:tcW w:w="5300" w:type="dxa"/>
          </w:tcPr>
          <w:p w14:paraId="4E6077D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Validation and reliability testing lacks alignment with real-world conditions and independent oversight</w:t>
            </w:r>
          </w:p>
        </w:tc>
      </w:tr>
    </w:tbl>
    <w:p w14:paraId="1AC4879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09224F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01A0D64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249EEC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Develop a structured validation and reliability testing process that incorporates performance metrics aligned with real-world deployment conditions. Include measures for robustness against distribution shifts, stress testing under varying operational scenarios, and adversarial testing to ensure the AI system can handle a wide range of situations. </w:t>
      </w:r>
    </w:p>
    <w:p w14:paraId="395A7DCE"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F991EC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and document clear acceptance criteria based on statistical confidence levels, taking into account the specific requirements and risk tolerance of the organization and the intended use case of the AI system. Ensure that the validation process is repeatable, well-documented, and can be easily audited or reviewed by relevant stakeholders, including oversight by the MRM program and independent model validation functions.</w:t>
      </w:r>
    </w:p>
    <w:p w14:paraId="103F108A"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E6A39D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2C3A311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F7B2C5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Validation and Testing Framework</w:t>
      </w:r>
    </w:p>
    <w:p w14:paraId="436089F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Create a formal framework outlining testing strategies, metrics, and acceptance criteria aligned with deployment conditions, with oversight from MRM and validation teams.</w:t>
      </w:r>
    </w:p>
    <w:p w14:paraId="69991DA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213322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Testing protocols specifying robustness, stress, and adversarial tests.</w:t>
      </w:r>
    </w:p>
    <w:p w14:paraId="2577317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metrics selected for various validation scenarios.</w:t>
      </w:r>
    </w:p>
    <w:p w14:paraId="68B1B0B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Versioned validation and testing plans.</w:t>
      </w:r>
    </w:p>
    <w:p w14:paraId="03D6554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Roles and responsibilities for oversight activities.</w:t>
      </w:r>
    </w:p>
    <w:p w14:paraId="50930A2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3F8F67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Definition of Performance Metrics and Acceptance Criteria</w:t>
      </w:r>
    </w:p>
    <w:p w14:paraId="711543C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explicit performance metrics and statistical confidence-based acceptance thresholds aligned with real-world operational demands and risk appetite to ensure that the AI system meets performance expectations and regulatory requirements.</w:t>
      </w:r>
    </w:p>
    <w:p w14:paraId="57D6C4E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654C72A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Metrics definitions with formulas, statistical confidence levels, and rationale.</w:t>
      </w:r>
    </w:p>
    <w:p w14:paraId="40D7A5B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Acceptance criteria documented with thresholds (e.g., confidence intervals).</w:t>
      </w:r>
    </w:p>
    <w:p w14:paraId="2BFC718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Validation reports comparing metrics against predefined thresholds.</w:t>
      </w:r>
    </w:p>
    <w:p w14:paraId="0E9B6BE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Traceability matrices linking metrics to operational objectives.</w:t>
      </w:r>
    </w:p>
    <w:p w14:paraId="7B8686E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2F248E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Robustness and Stress Testing Under Operational Scenarios</w:t>
      </w:r>
    </w:p>
    <w:p w14:paraId="53E3787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tests simulating distribution shifts, stress scenarios, and adversarial conditions relevant to deployment environments, and document results to evaluate the system’s robustness and reliability under varied conditions.</w:t>
      </w:r>
    </w:p>
    <w:p w14:paraId="58926AF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41F575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 plans with scenarios for distribution shifts and stress conditions.</w:t>
      </w:r>
    </w:p>
    <w:p w14:paraId="41672A0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 execution logs with results and performance impact assessments.</w:t>
      </w:r>
    </w:p>
    <w:p w14:paraId="2DC444E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Adversarial test reports with mitigation recommendations.</w:t>
      </w:r>
    </w:p>
    <w:p w14:paraId="5D95380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Comparative analyses showing model stability and robustness.</w:t>
      </w:r>
    </w:p>
    <w:p w14:paraId="4092342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3E7F2C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Oversight and Review by MRM and Validation Teams</w:t>
      </w:r>
    </w:p>
    <w:p w14:paraId="34593C4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Ensure validation results and test outcomes are reviewed and approved by the MRM program and independent validation function to provide oversight and enhance the credibility of the validation process.</w:t>
      </w:r>
    </w:p>
    <w:p w14:paraId="5E6AE31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59694A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meeting minutes and approval signatures.</w:t>
      </w:r>
    </w:p>
    <w:p w14:paraId="3CD2172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Independent validation reports with feedback and recommendations.</w:t>
      </w:r>
    </w:p>
    <w:p w14:paraId="62CEDB07" w14:textId="77777777" w:rsidR="00963E47" w:rsidRPr="00963E47" w:rsidRDefault="00963E47" w:rsidP="004C3837">
      <w:pPr>
        <w:rPr>
          <w:rFonts w:ascii="Aptos" w:eastAsia="Aptos" w:hAnsi="Aptos" w:cs="Times New Roman"/>
          <w:noProof/>
          <w:color w:val="auto"/>
          <w:kern w:val="2"/>
          <w:sz w:val="20"/>
          <w:szCs w:val="20"/>
          <w:lang w:val="fr-CA"/>
          <w14:ligatures w14:val="standardContextual"/>
        </w:rPr>
      </w:pPr>
      <w:r w:rsidRPr="00963E47">
        <w:rPr>
          <w:rFonts w:ascii="Aptos" w:eastAsia="Aptos" w:hAnsi="Aptos" w:cs="Times New Roman"/>
          <w:noProof/>
          <w:color w:val="auto"/>
          <w:kern w:val="2"/>
          <w:sz w:val="20"/>
          <w:szCs w:val="20"/>
          <w:lang w:val="fr-CA"/>
          <w14:ligatures w14:val="standardContextual"/>
        </w:rPr>
        <w:t>• Certification documents confirming validation completion.</w:t>
      </w:r>
    </w:p>
    <w:p w14:paraId="34B58DA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Oversight dashboards consolidating validation status.</w:t>
      </w:r>
    </w:p>
    <w:p w14:paraId="3408585F"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F33156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and Continuous Improvement of Acceptance Criteria</w:t>
      </w:r>
    </w:p>
    <w:p w14:paraId="25C8983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 the criteria, results, and lessons learned from validation activities, regularly reviewing and refining thresholds and testing practices based on operational experience and evolving standards to promote continuous improvement and adaptation in testing methodologies.</w:t>
      </w:r>
    </w:p>
    <w:p w14:paraId="1B84254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796466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Validation reports with documented thresholds and compliance.</w:t>
      </w:r>
    </w:p>
    <w:p w14:paraId="1B1850D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Changes and updates to acceptance criteria with approval records.</w:t>
      </w:r>
    </w:p>
    <w:p w14:paraId="0EE2E78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logs referencing validation activities.</w:t>
      </w:r>
    </w:p>
    <w:p w14:paraId="31D91D8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Periodic review schedules with documented updates.</w:t>
      </w:r>
    </w:p>
    <w:p w14:paraId="714F9F8F"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16A91C06"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70A4DB6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7F812A3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195C864C" w14:textId="77777777" w:rsidTr="005C00A5">
        <w:tc>
          <w:tcPr>
            <w:tcW w:w="1170" w:type="dxa"/>
          </w:tcPr>
          <w:p w14:paraId="193CBA1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49BB32C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2D971DB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5FC7E070" w14:textId="77777777" w:rsidTr="005C00A5">
        <w:tc>
          <w:tcPr>
            <w:tcW w:w="1170" w:type="dxa"/>
          </w:tcPr>
          <w:p w14:paraId="0D98D2A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MS-2.5.2</w:t>
            </w:r>
          </w:p>
        </w:tc>
        <w:tc>
          <w:tcPr>
            <w:tcW w:w="2160" w:type="dxa"/>
          </w:tcPr>
          <w:p w14:paraId="3AD5F74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Validation Results and Improvement</w:t>
            </w:r>
          </w:p>
        </w:tc>
        <w:tc>
          <w:tcPr>
            <w:tcW w:w="6740" w:type="dxa"/>
          </w:tcPr>
          <w:p w14:paraId="3D7B675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documents validation results, comparing actual system performance against expected outcomes. This documentation includes model confidence intervals, performance degradation patterns, failure scenarios, and assumptions made during testing, and these outputs are reporting the MRM program and reviewed by model validation functions. The organization continuously refines system components based on identified weaknesses.</w:t>
            </w:r>
          </w:p>
          <w:p w14:paraId="4238F9BB" w14:textId="77777777" w:rsidR="00963E47" w:rsidRPr="00963E47" w:rsidRDefault="00963E47" w:rsidP="004C3837">
            <w:pPr>
              <w:keepNext/>
              <w:rPr>
                <w:rFonts w:ascii="Aptos" w:hAnsi="Aptos" w:cs="Times New Roman"/>
                <w:b/>
                <w:bCs/>
                <w:color w:val="000000"/>
                <w:sz w:val="20"/>
                <w:szCs w:val="20"/>
              </w:rPr>
            </w:pPr>
          </w:p>
          <w:p w14:paraId="1ED15573" w14:textId="77777777" w:rsidR="00963E47" w:rsidRPr="00963E47" w:rsidRDefault="00963E47" w:rsidP="004C3837">
            <w:pPr>
              <w:keepNext/>
              <w:rPr>
                <w:rFonts w:ascii="Aptos" w:hAnsi="Aptos" w:cs="Times New Roman"/>
                <w:b/>
                <w:bCs/>
                <w:color w:val="000000"/>
                <w:sz w:val="20"/>
                <w:szCs w:val="20"/>
              </w:rPr>
            </w:pPr>
            <w:hyperlink r:id="rId161" w:anchor="measure-2-5" w:history="1">
              <w:r w:rsidRPr="00963E47">
                <w:rPr>
                  <w:rFonts w:ascii="Aptos" w:hAnsi="Aptos" w:cs="Times New Roman"/>
                  <w:color w:val="000000"/>
                  <w:sz w:val="20"/>
                  <w:szCs w:val="20"/>
                  <w:u w:val="single"/>
                </w:rPr>
                <w:t>Link to NIST AI RMF Playbook</w:t>
              </w:r>
            </w:hyperlink>
          </w:p>
        </w:tc>
      </w:tr>
    </w:tbl>
    <w:p w14:paraId="11FA035B"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F5F654B"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lastRenderedPageBreak/>
        <w:t>Adoption Stage Applicability:</w:t>
      </w:r>
      <w:r w:rsidRPr="00963E47">
        <w:rPr>
          <w:rFonts w:ascii="Aptos" w:eastAsia="Aptos" w:hAnsi="Aptos" w:cs="Times New Roman"/>
          <w:color w:val="C00000"/>
          <w:kern w:val="2"/>
          <w:sz w:val="20"/>
          <w:szCs w:val="20"/>
          <w14:ligatures w14:val="standardContextual"/>
        </w:rPr>
        <w:t xml:space="preserve"> </w:t>
      </w:r>
    </w:p>
    <w:p w14:paraId="49BDC0AB"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3D523921" w14:textId="77777777" w:rsidTr="005C00A5">
        <w:trPr>
          <w:tblHeader/>
        </w:trPr>
        <w:tc>
          <w:tcPr>
            <w:tcW w:w="2160" w:type="dxa"/>
            <w:shd w:val="clear" w:color="auto" w:fill="CCDCDC"/>
            <w:vAlign w:val="center"/>
          </w:tcPr>
          <w:p w14:paraId="0F953278"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69BDF0F8"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36D24FF5"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3CF14C5A" w14:textId="77777777" w:rsidTr="005C00A5">
        <w:tc>
          <w:tcPr>
            <w:tcW w:w="2160" w:type="dxa"/>
            <w:shd w:val="clear" w:color="auto" w:fill="CCDCDC"/>
          </w:tcPr>
          <w:p w14:paraId="166679A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7455231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013081D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8EF72D1" w14:textId="77777777" w:rsidTr="005C00A5">
        <w:tc>
          <w:tcPr>
            <w:tcW w:w="2160" w:type="dxa"/>
            <w:shd w:val="clear" w:color="auto" w:fill="CCDCDC"/>
          </w:tcPr>
          <w:p w14:paraId="100AE43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0CE2479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FE1EA8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begin documenting the results from their basic validation testing, comparing actual performance to expected outcomes for their limited AI applications.</w:t>
            </w:r>
          </w:p>
        </w:tc>
      </w:tr>
      <w:tr w:rsidR="00963E47" w:rsidRPr="00963E47" w14:paraId="3E2996DB" w14:textId="77777777" w:rsidTr="005C00A5">
        <w:tc>
          <w:tcPr>
            <w:tcW w:w="2160" w:type="dxa"/>
            <w:shd w:val="clear" w:color="auto" w:fill="CCDCDC"/>
          </w:tcPr>
          <w:p w14:paraId="1514AF1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558DE63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FC686A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consistently document validation results, comparing actual system performance against expected outcomes. This documentation includes model confidence intervals, performance degradation patterns, failure scenarios, and assumptions made during testing. The organization continuously refines system components based on identified weaknesses.</w:t>
            </w:r>
          </w:p>
        </w:tc>
      </w:tr>
      <w:tr w:rsidR="00963E47" w:rsidRPr="00963E47" w14:paraId="4A9F02A6" w14:textId="77777777" w:rsidTr="005C00A5">
        <w:tc>
          <w:tcPr>
            <w:tcW w:w="2160" w:type="dxa"/>
            <w:shd w:val="clear" w:color="auto" w:fill="CCDCDC"/>
          </w:tcPr>
          <w:p w14:paraId="5C8D1AA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2C43B93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D24DF8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continuously documenting validation results, comparing actual system performance against expected outcomes, with real-time inclusion of model confidence intervals, performance degradation patterns, failure scenarios, and assumptions made during testing based on data-driven insights. The organization dynamically refines system components based on identified weaknesses, ensuring the highest level of validation transparency and continuous improvement.</w:t>
            </w:r>
          </w:p>
        </w:tc>
      </w:tr>
    </w:tbl>
    <w:p w14:paraId="51356947"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3CB9077A" w14:textId="77777777" w:rsidTr="005C00A5">
        <w:tc>
          <w:tcPr>
            <w:tcW w:w="2250" w:type="dxa"/>
          </w:tcPr>
          <w:p w14:paraId="0914B3D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7A4514C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473AFAE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3087B661" w14:textId="77777777" w:rsidTr="005C00A5">
        <w:tc>
          <w:tcPr>
            <w:tcW w:w="2250" w:type="dxa"/>
          </w:tcPr>
          <w:p w14:paraId="2160A1B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1328035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Undocumented Validation Results</w:t>
            </w:r>
          </w:p>
        </w:tc>
        <w:tc>
          <w:tcPr>
            <w:tcW w:w="5300" w:type="dxa"/>
          </w:tcPr>
          <w:p w14:paraId="01157DC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Validation results lack documentation and continuous refinement based on weaknesses</w:t>
            </w:r>
          </w:p>
        </w:tc>
      </w:tr>
    </w:tbl>
    <w:p w14:paraId="616C74B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8C66EC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0F94A5C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4A99DA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Document the results of the validation process, comparing the actual performance of the AI system against the expected outcomes. Include detailed information on model confidence intervals, performance degradation patterns, failure scenarios, and any assumptions made during testing. Report these validation outputs to the MRM program and ensure they are reviewed by model validation functions to assess model risk and remediation priorities. </w:t>
      </w:r>
    </w:p>
    <w:p w14:paraId="0A133837"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1E60503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Use the validation results to identify weaknesses or areas for improvement in the AI system, and establish a process for continuously refining and updating system components based on these findings. Ensure documentation is clear, concise, accessible to relevant stakeholders, and regularly reviewed and updated as the system evolves.</w:t>
      </w:r>
    </w:p>
    <w:p w14:paraId="6FF19389"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1B5D4E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57B5453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02CF14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Structured Documentation of Validation Results</w:t>
      </w:r>
    </w:p>
    <w:p w14:paraId="3731D1C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standardized process for recording validation outcomes, ensuring all relevant metrics, scenarios, assumptions, and performance patterns are comprehensively documented.</w:t>
      </w:r>
    </w:p>
    <w:p w14:paraId="0D4A22C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024F17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Validation reports summarizing actual vs. expected performance metrics.</w:t>
      </w:r>
    </w:p>
    <w:p w14:paraId="544FBBB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Model confidence intervals and statistical measures documented in test results.</w:t>
      </w:r>
    </w:p>
    <w:p w14:paraId="11E14DE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Failure scenario analyses with detailed descriptions and impacts.</w:t>
      </w:r>
    </w:p>
    <w:p w14:paraId="0B76320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Assumptions and boundary conditions explicitly recorded.</w:t>
      </w:r>
    </w:p>
    <w:p w14:paraId="506AA06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59818B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Reporting and Review by MRM and Validation Functions</w:t>
      </w:r>
    </w:p>
    <w:p w14:paraId="56F8C5A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Ensure validation results are systematically reported to the MRM program and reviewed by independent model validation teams for effectiveness and compliance with organizational standards and regulatory requirements.</w:t>
      </w:r>
    </w:p>
    <w:p w14:paraId="20C4433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4540FE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Formal reports submitted to MRM and validation functions with review signatures.</w:t>
      </w:r>
    </w:p>
    <w:p w14:paraId="47F369E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or review logs documenting discussions and feedback.</w:t>
      </w:r>
    </w:p>
    <w:p w14:paraId="6032EAA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Issue trackers linking weaknesses to validation findings.</w:t>
      </w:r>
    </w:p>
    <w:p w14:paraId="1C6209A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Corrective action plans following review outcomes.</w:t>
      </w:r>
    </w:p>
    <w:p w14:paraId="7819097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38DAE4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Analysis of Performance Degradation and Failure Patterns</w:t>
      </w:r>
    </w:p>
    <w:p w14:paraId="1D6346D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Analyze validation data to identify degradation trends, failure modes, and underlying causes, documenting patterns and insights to guide future testing and development efforts.</w:t>
      </w:r>
    </w:p>
    <w:p w14:paraId="04A15B6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D3B77B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Trend analysis dashboards showing performance over time.</w:t>
      </w:r>
    </w:p>
    <w:p w14:paraId="2D6BD13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Failure mode and effects analysis (FMEA) reports.</w:t>
      </w:r>
    </w:p>
    <w:p w14:paraId="1C46E86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Pattern recognition outputs highlighting systemic weaknesses.</w:t>
      </w:r>
    </w:p>
    <w:p w14:paraId="674D953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Root cause analysis documentation.</w:t>
      </w:r>
    </w:p>
    <w:p w14:paraId="266195B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8B8DB8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Testing Assumptions and Conditions</w:t>
      </w:r>
    </w:p>
    <w:p w14:paraId="36C9B7C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Record all testing assumptions, boundary conditions, and environmental variables influencing validation outcomes, to ensure transparency and replicability in validation processes and results.</w:t>
      </w:r>
    </w:p>
    <w:p w14:paraId="739C5E4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0D9B5D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Assumptions logs linked to test scenarios.</w:t>
      </w:r>
    </w:p>
    <w:p w14:paraId="4B21D03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Testing environment and condition documentation.</w:t>
      </w:r>
    </w:p>
    <w:p w14:paraId="6B3EE43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Limitations of evaluation scope documented and communicated.</w:t>
      </w:r>
    </w:p>
    <w:p w14:paraId="66C6F2D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 case documentation with contextual notes.</w:t>
      </w:r>
    </w:p>
    <w:p w14:paraId="795E231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B757ADB"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Refinement Based on Validation Insights</w:t>
      </w:r>
    </w:p>
    <w:p w14:paraId="54F6F84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validated weaknesses and performance insights to iteratively improve system components, updating models, training data, or algorithms accordingly, with documented review cycles to enhance performance and reliability continuously.</w:t>
      </w:r>
    </w:p>
    <w:p w14:paraId="21A08C8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73BAF6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Improvement logs with links to validation findings.</w:t>
      </w:r>
    </w:p>
    <w:p w14:paraId="37C490C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Model retraining or tuning records.</w:t>
      </w:r>
    </w:p>
    <w:p w14:paraId="0AF403E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 proposals and approval documentation.</w:t>
      </w:r>
    </w:p>
    <w:p w14:paraId="4E45AEC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captured in ongoing model development logs.</w:t>
      </w:r>
    </w:p>
    <w:p w14:paraId="624F9CB4"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233B8201"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3CF7275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70AC4F2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49EF949D" w14:textId="77777777" w:rsidTr="005C00A5">
        <w:tc>
          <w:tcPr>
            <w:tcW w:w="1170" w:type="dxa"/>
          </w:tcPr>
          <w:p w14:paraId="1D65674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56370B9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18C49E0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134EB2B7" w14:textId="77777777" w:rsidTr="005C00A5">
        <w:tc>
          <w:tcPr>
            <w:tcW w:w="1170" w:type="dxa"/>
          </w:tcPr>
          <w:p w14:paraId="0725209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MS-2.5.3</w:t>
            </w:r>
          </w:p>
        </w:tc>
        <w:tc>
          <w:tcPr>
            <w:tcW w:w="2160" w:type="dxa"/>
          </w:tcPr>
          <w:p w14:paraId="36609E6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Generalization and Bias Assessment</w:t>
            </w:r>
          </w:p>
        </w:tc>
        <w:tc>
          <w:tcPr>
            <w:tcW w:w="6740" w:type="dxa"/>
          </w:tcPr>
          <w:p w14:paraId="33AA4CF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conducts evaluations to assess how well the AI system generalizes beyond its training conditions, measuring the impact of data variations, shifts in contextual factors, potential biases introduced by unseen inputs, and to establish knowledge limits. Domain expertise is leveraged to interpret results and determine system limitations.</w:t>
            </w:r>
          </w:p>
          <w:p w14:paraId="2758186B" w14:textId="77777777" w:rsidR="00963E47" w:rsidRPr="00963E47" w:rsidRDefault="00963E47" w:rsidP="004C3837">
            <w:pPr>
              <w:keepNext/>
              <w:rPr>
                <w:rFonts w:ascii="Aptos" w:hAnsi="Aptos" w:cs="Times New Roman"/>
                <w:b/>
                <w:bCs/>
                <w:color w:val="000000"/>
                <w:sz w:val="20"/>
                <w:szCs w:val="20"/>
              </w:rPr>
            </w:pPr>
          </w:p>
          <w:p w14:paraId="79AD9589" w14:textId="77777777" w:rsidR="00963E47" w:rsidRPr="00963E47" w:rsidRDefault="00963E47" w:rsidP="004C3837">
            <w:pPr>
              <w:keepNext/>
              <w:rPr>
                <w:rFonts w:ascii="Aptos" w:hAnsi="Aptos" w:cs="Times New Roman"/>
                <w:b/>
                <w:bCs/>
                <w:color w:val="000000"/>
                <w:sz w:val="20"/>
                <w:szCs w:val="20"/>
              </w:rPr>
            </w:pPr>
            <w:hyperlink r:id="rId162" w:anchor="measure-2-5" w:history="1">
              <w:r w:rsidRPr="00963E47">
                <w:rPr>
                  <w:rFonts w:ascii="Aptos" w:hAnsi="Aptos" w:cs="Times New Roman"/>
                  <w:color w:val="000000"/>
                  <w:sz w:val="20"/>
                  <w:szCs w:val="20"/>
                  <w:u w:val="single"/>
                </w:rPr>
                <w:t>Link to NIST AI RMF Playbook</w:t>
              </w:r>
            </w:hyperlink>
          </w:p>
        </w:tc>
      </w:tr>
    </w:tbl>
    <w:p w14:paraId="4D2AD964"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FE2B308"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lastRenderedPageBreak/>
        <w:t>Adoption Stage Applicability:</w:t>
      </w:r>
      <w:r w:rsidRPr="00963E47">
        <w:rPr>
          <w:rFonts w:ascii="Aptos" w:eastAsia="Aptos" w:hAnsi="Aptos" w:cs="Times New Roman"/>
          <w:color w:val="C00000"/>
          <w:kern w:val="2"/>
          <w:sz w:val="20"/>
          <w:szCs w:val="20"/>
          <w14:ligatures w14:val="standardContextual"/>
        </w:rPr>
        <w:t xml:space="preserve"> </w:t>
      </w:r>
    </w:p>
    <w:p w14:paraId="36FB34B7"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2F5FC132" w14:textId="77777777" w:rsidTr="005C00A5">
        <w:trPr>
          <w:tblHeader/>
        </w:trPr>
        <w:tc>
          <w:tcPr>
            <w:tcW w:w="2160" w:type="dxa"/>
            <w:shd w:val="clear" w:color="auto" w:fill="CCDCDC"/>
            <w:vAlign w:val="center"/>
          </w:tcPr>
          <w:p w14:paraId="5E221F3B"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5E14F09A"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645F1970"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03BCFB84" w14:textId="77777777" w:rsidTr="005C00A5">
        <w:tc>
          <w:tcPr>
            <w:tcW w:w="2160" w:type="dxa"/>
            <w:shd w:val="clear" w:color="auto" w:fill="CCDCDC"/>
          </w:tcPr>
          <w:p w14:paraId="0783570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54AEACC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C26B36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69D5E43F" w14:textId="77777777" w:rsidTr="005C00A5">
        <w:tc>
          <w:tcPr>
            <w:tcW w:w="2160" w:type="dxa"/>
            <w:shd w:val="clear" w:color="auto" w:fill="CCDCDC"/>
          </w:tcPr>
          <w:p w14:paraId="0409B7E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03E1785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BD3078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4658B096" w14:textId="77777777" w:rsidTr="005C00A5">
        <w:tc>
          <w:tcPr>
            <w:tcW w:w="2160" w:type="dxa"/>
            <w:shd w:val="clear" w:color="auto" w:fill="CCDCDC"/>
          </w:tcPr>
          <w:p w14:paraId="4DA222E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6022900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8FB28C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225EC5B" w14:textId="77777777" w:rsidTr="005C00A5">
        <w:tc>
          <w:tcPr>
            <w:tcW w:w="2160" w:type="dxa"/>
            <w:shd w:val="clear" w:color="auto" w:fill="CCDCDC"/>
          </w:tcPr>
          <w:p w14:paraId="537B573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3DCDA1F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4CB311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continuously conducting evaluations to assess how well the AI system generalizes beyond its training conditions, measuring the impact of data variations, shifts in contextual factors, and potential biases introduced by unseen inputs, with real-time updates based on data-driven insights. Domain expertise is dynamically leveraged to interpret results and determine system limitations, ensuring the highest level of generalizability assessment and context-specific interpretation.</w:t>
            </w:r>
          </w:p>
        </w:tc>
      </w:tr>
    </w:tbl>
    <w:p w14:paraId="13E94C15"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783A8ACD" w14:textId="77777777" w:rsidTr="005C00A5">
        <w:tc>
          <w:tcPr>
            <w:tcW w:w="2250" w:type="dxa"/>
          </w:tcPr>
          <w:p w14:paraId="7818801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5EF7EB7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68113C1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7144F5FB" w14:textId="77777777" w:rsidTr="005C00A5">
        <w:tc>
          <w:tcPr>
            <w:tcW w:w="2250" w:type="dxa"/>
          </w:tcPr>
          <w:p w14:paraId="78EBDBD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Explainable &amp; Interpretable</w:t>
            </w:r>
          </w:p>
        </w:tc>
        <w:tc>
          <w:tcPr>
            <w:tcW w:w="2520" w:type="dxa"/>
          </w:tcPr>
          <w:p w14:paraId="0B5EEE8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Lacking Generalization Evaluations</w:t>
            </w:r>
          </w:p>
        </w:tc>
        <w:tc>
          <w:tcPr>
            <w:tcW w:w="5300" w:type="dxa"/>
          </w:tcPr>
          <w:p w14:paraId="53F175E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Generalization evaluations are not performed or lack domain expertise</w:t>
            </w:r>
          </w:p>
        </w:tc>
      </w:tr>
    </w:tbl>
    <w:p w14:paraId="7D9DA0E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333C95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14BEEFD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C039C3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Conduct evaluations to assess the generalizability of the AI system beyond its training conditions. Measure the impact of data variations, shifts in contextual factors, potential biases introduced by unseen inputs, and anomalies (using anomaly detection where appropriate) to understand how well the system can adapt to new situations. </w:t>
      </w:r>
    </w:p>
    <w:p w14:paraId="318BC72A"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A64551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Engage domain experts to help interpret the results of these evaluations and determine the limitations of the AI system. Document these limitations clearly, including any assumptions or constraints that may impact the system's performance or reliability in different contexts. If applicable and desired, report findings to model validation functions and track them through the MRM program, and communicate limitations to relevant stakeholders to inform deployment and use decisions.</w:t>
      </w:r>
    </w:p>
    <w:p w14:paraId="56226F4F"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2151CD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7F012B1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ADF054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Design and Execution of Generalization Evaluation Procedures</w:t>
      </w:r>
    </w:p>
    <w:p w14:paraId="08DA18D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and implement systematic procedures for evaluating AI generalization, including testing for data shifts, unseen inputs, and contextual variability.</w:t>
      </w:r>
    </w:p>
    <w:p w14:paraId="31F78B7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0ADC67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Evaluation plans detailing testing scenarios for distributional shifts.</w:t>
      </w:r>
    </w:p>
    <w:p w14:paraId="25A2CD1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Testing protocols incorporating unseen or adversarial inputs.</w:t>
      </w:r>
    </w:p>
    <w:p w14:paraId="71A1F43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Protocols for measuring the impact of environmental/contextual variations.</w:t>
      </w:r>
    </w:p>
    <w:p w14:paraId="6D22F50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evaluation documents.</w:t>
      </w:r>
    </w:p>
    <w:p w14:paraId="711EE65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9772E2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Measurement and Documentation of Generalization Metrics</w:t>
      </w:r>
    </w:p>
    <w:p w14:paraId="7C32A84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relevant metrics (e.g., out-of-distribution detection, robustness scores, bias metrics) to quantify generalization performance, recording results comprehensively to ensure thorough documentation and analysis of system capabilities.</w:t>
      </w:r>
    </w:p>
    <w:p w14:paraId="3E6F377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BAE96A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Performance dashboards with metrics capturing generalization and robustness.</w:t>
      </w:r>
    </w:p>
    <w:p w14:paraId="03D5A19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analyzing impact of data variations and unseen inputs.</w:t>
      </w:r>
    </w:p>
    <w:p w14:paraId="35A5D8E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Validation logs documenting metric calculations, thresholds, and interpretations.</w:t>
      </w:r>
    </w:p>
    <w:p w14:paraId="367FF49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Specification of metrics used aligned with system purpose.</w:t>
      </w:r>
    </w:p>
    <w:p w14:paraId="65D6D4F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DB4E39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Domain Expertise Involvement in Result Interpretation</w:t>
      </w:r>
    </w:p>
    <w:p w14:paraId="1F8C0C3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Engage domain experts to analyze evaluation outputs, interpret limitations, and contextualize findings regarding system knowledge boundaries, ensuring that expert insights inform further developments and adjustments.</w:t>
      </w:r>
    </w:p>
    <w:p w14:paraId="5ABD9DA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75508C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Expert review meeting minutes and analysis reports.</w:t>
      </w:r>
    </w:p>
    <w:p w14:paraId="543F55B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interpretation sessions and conclusions.</w:t>
      </w:r>
    </w:p>
    <w:p w14:paraId="1CC95FD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Decision logs referencing expert input when defining limitations.</w:t>
      </w:r>
    </w:p>
    <w:p w14:paraId="746ECB0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domain specialists incorporated into system adjustments.</w:t>
      </w:r>
    </w:p>
    <w:p w14:paraId="59703C3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1C2CDF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Formal Review and Tracking of Findings by Model Validation Functions</w:t>
      </w:r>
    </w:p>
    <w:p w14:paraId="696366B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Submit evaluation results to model validation teams, record assessments of generalization and limitations, and track mitigation and improvement actions within the MRM program to facilitate accountability and continual enhancement of system performance.</w:t>
      </w:r>
    </w:p>
    <w:p w14:paraId="2568AEA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C02437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Validation reports with formal assessments of system limits.</w:t>
      </w:r>
    </w:p>
    <w:p w14:paraId="3DE4236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Issue logs and follow-up actions linked to generalization gaps.</w:t>
      </w:r>
    </w:p>
    <w:p w14:paraId="742EC5B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records in the MRM system noting acceptance or corrective plans.</w:t>
      </w:r>
    </w:p>
    <w:p w14:paraId="4164BAA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Periodic summary reports of evaluation outcomes and system status.</w:t>
      </w:r>
    </w:p>
    <w:p w14:paraId="50596E2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1E3FE6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Iterative Improvement and Knowledge Limit Updates</w:t>
      </w:r>
    </w:p>
    <w:p w14:paraId="72A3714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evaluation findings to iteratively improve models, algorithms, and training data, updating knowledge limits and system documentation accordingly to reflect the most current understanding of the AI system's capabilities and limitations.</w:t>
      </w:r>
    </w:p>
    <w:p w14:paraId="033DDC6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73C4D9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Model retraining or fine-tuning logs based on evaluation outcomes.</w:t>
      </w:r>
    </w:p>
    <w:p w14:paraId="5F79068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documentation on system limitations and operational bounds.</w:t>
      </w:r>
    </w:p>
    <w:p w14:paraId="40FC38D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Revised data collection or augmentation strategies.</w:t>
      </w:r>
    </w:p>
    <w:p w14:paraId="271D7B1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and process improvement records.</w:t>
      </w:r>
    </w:p>
    <w:p w14:paraId="31087CF9"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54" w:name="_Toc214874799"/>
      <w:r w:rsidRPr="00963E47">
        <w:rPr>
          <w:rFonts w:ascii="Aptos" w:eastAsia="Aptos" w:hAnsi="Aptos" w:cs="Times New Roman"/>
          <w:b/>
          <w:bCs/>
          <w:noProof/>
          <w:color w:val="35256B"/>
          <w:kern w:val="2"/>
          <w:sz w:val="24"/>
          <w14:ligatures w14:val="standardContextual"/>
        </w:rPr>
        <w:t>MEASURE / Evaluating AI Systems / Measuring Safety</w:t>
      </w:r>
      <w:bookmarkEnd w:id="54"/>
      <w:r w:rsidRPr="00963E47">
        <w:rPr>
          <w:rFonts w:ascii="Aptos" w:eastAsia="Aptos" w:hAnsi="Aptos" w:cs="Times New Roman"/>
          <w:b/>
          <w:bCs/>
          <w:noProof/>
          <w:color w:val="35256B"/>
          <w:kern w:val="2"/>
          <w:sz w:val="24"/>
          <w14:ligatures w14:val="standardContextual"/>
        </w:rPr>
        <w:t xml:space="preserve"> </w:t>
      </w:r>
    </w:p>
    <w:p w14:paraId="2DAF1ED8"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323F1BC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3A18D2C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472A2552" w14:textId="77777777" w:rsidTr="005C00A5">
        <w:tc>
          <w:tcPr>
            <w:tcW w:w="1170" w:type="dxa"/>
          </w:tcPr>
          <w:p w14:paraId="655A9B9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6010E43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03113BA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2A581B44" w14:textId="77777777" w:rsidTr="005C00A5">
        <w:tc>
          <w:tcPr>
            <w:tcW w:w="1170" w:type="dxa"/>
          </w:tcPr>
          <w:p w14:paraId="36E6A8B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MS-2.6.1</w:t>
            </w:r>
          </w:p>
        </w:tc>
        <w:tc>
          <w:tcPr>
            <w:tcW w:w="2160" w:type="dxa"/>
          </w:tcPr>
          <w:p w14:paraId="49E32A8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Safety Risk Assessments and Stress Testing</w:t>
            </w:r>
          </w:p>
        </w:tc>
        <w:tc>
          <w:tcPr>
            <w:tcW w:w="6740" w:type="dxa"/>
          </w:tcPr>
          <w:p w14:paraId="2AE26F4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conducts regular safety risk assessments of its AI systems, focusing on risks identified during the MAP function, including systemic risk to markets or consumers. These assessments include stress testing under various conditions, considering historical system failures in similar domains. The results, including identified safety concerns, failure points, and mitigation strategies, are documented and integrated into the risk management lifecycle.</w:t>
            </w:r>
          </w:p>
          <w:p w14:paraId="4BD3DD85" w14:textId="77777777" w:rsidR="00963E47" w:rsidRPr="00963E47" w:rsidRDefault="00963E47" w:rsidP="004C3837">
            <w:pPr>
              <w:keepNext/>
              <w:rPr>
                <w:rFonts w:ascii="Aptos" w:hAnsi="Aptos" w:cs="Times New Roman"/>
                <w:b/>
                <w:bCs/>
                <w:color w:val="000000"/>
                <w:sz w:val="20"/>
                <w:szCs w:val="20"/>
              </w:rPr>
            </w:pPr>
          </w:p>
          <w:p w14:paraId="19E61248" w14:textId="77777777" w:rsidR="00963E47" w:rsidRPr="00963E47" w:rsidRDefault="00963E47" w:rsidP="004C3837">
            <w:pPr>
              <w:keepNext/>
              <w:rPr>
                <w:rFonts w:ascii="Aptos" w:hAnsi="Aptos" w:cs="Times New Roman"/>
                <w:b/>
                <w:bCs/>
                <w:color w:val="000000"/>
                <w:sz w:val="20"/>
                <w:szCs w:val="20"/>
              </w:rPr>
            </w:pPr>
            <w:hyperlink r:id="rId163" w:anchor="measure-2-6" w:history="1">
              <w:r w:rsidRPr="00963E47">
                <w:rPr>
                  <w:rFonts w:ascii="Aptos" w:hAnsi="Aptos" w:cs="Times New Roman"/>
                  <w:color w:val="000000"/>
                  <w:sz w:val="20"/>
                  <w:szCs w:val="20"/>
                  <w:u w:val="single"/>
                </w:rPr>
                <w:t>Link to NIST AI RMF Playbook</w:t>
              </w:r>
            </w:hyperlink>
          </w:p>
        </w:tc>
      </w:tr>
    </w:tbl>
    <w:p w14:paraId="111AC1A5"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A83846C"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327C06E4"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128EC58D" w14:textId="77777777" w:rsidTr="005C00A5">
        <w:trPr>
          <w:tblHeader/>
        </w:trPr>
        <w:tc>
          <w:tcPr>
            <w:tcW w:w="2160" w:type="dxa"/>
            <w:shd w:val="clear" w:color="auto" w:fill="CCDCDC"/>
            <w:vAlign w:val="center"/>
          </w:tcPr>
          <w:p w14:paraId="5B2122A2"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213A7779"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5B060F88"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0BB18CF8" w14:textId="77777777" w:rsidTr="005C00A5">
        <w:tc>
          <w:tcPr>
            <w:tcW w:w="2160" w:type="dxa"/>
            <w:shd w:val="clear" w:color="auto" w:fill="CCDCDC"/>
          </w:tcPr>
          <w:p w14:paraId="0A3D705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720B835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EBA49E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12E848A" w14:textId="77777777" w:rsidTr="005C00A5">
        <w:tc>
          <w:tcPr>
            <w:tcW w:w="2160" w:type="dxa"/>
            <w:shd w:val="clear" w:color="auto" w:fill="CCDCDC"/>
          </w:tcPr>
          <w:p w14:paraId="3579B11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2: Minimal</w:t>
            </w:r>
          </w:p>
        </w:tc>
        <w:tc>
          <w:tcPr>
            <w:tcW w:w="1350" w:type="dxa"/>
          </w:tcPr>
          <w:p w14:paraId="188C165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1414CD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AI use is limited and non-critical, but conducting safety risk assessments is a proactive measure to identify potential risks before they escalate. Stress testing, while less comprehensive than in later stages, helps uncover vulnerabilities in early AI applications.</w:t>
            </w:r>
          </w:p>
        </w:tc>
      </w:tr>
      <w:tr w:rsidR="00963E47" w:rsidRPr="00963E47" w14:paraId="56452B92" w14:textId="77777777" w:rsidTr="005C00A5">
        <w:tc>
          <w:tcPr>
            <w:tcW w:w="2160" w:type="dxa"/>
            <w:shd w:val="clear" w:color="auto" w:fill="CCDCDC"/>
          </w:tcPr>
          <w:p w14:paraId="009F7C3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016C70B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82DF60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consistently conduct regular safety risk assessments of their AI systems, focusing on risks identified during the MAP function. These assessments include stress testing under various conditions, considering historical system failures in similar domains. The results, including identified safety concerns, failure points, and mitigation strategies, are comprehensively documented and integrated into the risk management lifecycle.</w:t>
            </w:r>
          </w:p>
        </w:tc>
      </w:tr>
      <w:tr w:rsidR="00963E47" w:rsidRPr="00963E47" w14:paraId="23895399" w14:textId="77777777" w:rsidTr="005C00A5">
        <w:tc>
          <w:tcPr>
            <w:tcW w:w="2160" w:type="dxa"/>
            <w:shd w:val="clear" w:color="auto" w:fill="CCDCDC"/>
          </w:tcPr>
          <w:p w14:paraId="36A55F4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0144D51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8B003A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continuously conducting safety risk assessments of their AI systems, focusing on risks identified during the MAP function, with real-time stress testing under various conditions and dynamic consideration of historical system failures in similar domains based on data-driven insights. The results, including identified safety concerns, failure points, and mitigation strategies, are dynamically documented and integrated into the risk management lifecycle, ensuring the highest level of proactive safety risk identification and mitigation.</w:t>
            </w:r>
          </w:p>
        </w:tc>
      </w:tr>
    </w:tbl>
    <w:p w14:paraId="6658D46B"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1E5E3B92" w14:textId="77777777" w:rsidTr="005C00A5">
        <w:tc>
          <w:tcPr>
            <w:tcW w:w="2250" w:type="dxa"/>
          </w:tcPr>
          <w:p w14:paraId="78DA03C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5ECFF39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6AC18D7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5790E050" w14:textId="77777777" w:rsidTr="005C00A5">
        <w:tc>
          <w:tcPr>
            <w:tcW w:w="2250" w:type="dxa"/>
          </w:tcPr>
          <w:p w14:paraId="2020223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0BCE3B9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Irregular Safety Assessments</w:t>
            </w:r>
          </w:p>
        </w:tc>
        <w:tc>
          <w:tcPr>
            <w:tcW w:w="5300" w:type="dxa"/>
          </w:tcPr>
          <w:p w14:paraId="01D15AB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Safety risk assessments are not regularly conducted for AI systems</w:t>
            </w:r>
          </w:p>
        </w:tc>
      </w:tr>
    </w:tbl>
    <w:p w14:paraId="6BFA36C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91364D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7810D7D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935021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a process for conducting regular safety risk assessments of AI systems, focusing on the risks identified during the MAP function. Develop a standardized methodology for these assessments, including stress testing under various conditions and considering historical system failures in similar domains.</w:t>
      </w:r>
    </w:p>
    <w:p w14:paraId="419DDBA3"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FFFC74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Document the results of each safety risk assessment, including identified safety concerns, failure points, and proposed mitigation strategies. Integrate these findings into the organization's overall risk management lifecycle, ensuring that safety risks are prioritized and addressed in a timely manner. Assign clear roles and responsibilities for conducting safety risk assessments and implementing mitigation measures.</w:t>
      </w:r>
    </w:p>
    <w:p w14:paraId="728D623B"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4FE776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2137A1E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E4BF66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Establishment of a Safety Risk Assessment Framework</w:t>
      </w:r>
    </w:p>
    <w:p w14:paraId="7339EB6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and formalize a process for performing safety risk assessments, including stress testing and systemic risk evaluation, aligned with organizational standards.</w:t>
      </w:r>
    </w:p>
    <w:p w14:paraId="1008714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EEDDCA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Approved risk assessment protocols explicitly referencing MAP-derived risks and systemic considerations.</w:t>
      </w:r>
    </w:p>
    <w:p w14:paraId="7636A6D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Templates guiding stress testing scenarios and failure analysis.</w:t>
      </w:r>
    </w:p>
    <w:p w14:paraId="29AA89F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assessment procedures.</w:t>
      </w:r>
    </w:p>
    <w:p w14:paraId="0E7B0A0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Scheduled review and update plans for risk assessment methodologies.</w:t>
      </w:r>
    </w:p>
    <w:p w14:paraId="213C140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8D8D21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Targeted Stress Testing and Failure Scenario Analysis</w:t>
      </w:r>
    </w:p>
    <w:p w14:paraId="51019B9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stress testing under different operational, market, or environmental conditions, and analyze historical failure data relevant to similar systems or domains to ensure comprehensive evaluation of system robustness and risk exposure.</w:t>
      </w:r>
    </w:p>
    <w:p w14:paraId="45BBEA9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52490A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Stress testing plans with defined scenarios and parameters.</w:t>
      </w:r>
    </w:p>
    <w:p w14:paraId="76CE4E0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 results, logs, and performance impact analyses.</w:t>
      </w:r>
    </w:p>
    <w:p w14:paraId="639449F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Historical system failure case studies and failure mode analyses.</w:t>
      </w:r>
    </w:p>
    <w:p w14:paraId="4AE595D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response and mitigation records from stress testing.</w:t>
      </w:r>
    </w:p>
    <w:p w14:paraId="64B32E0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8F9AE3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Safety Concerns, Failure Points, and Mitigations</w:t>
      </w:r>
    </w:p>
    <w:p w14:paraId="2D9D4E7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Record identified safety concerns, failure points, systemic risks, and corresponding mitigation measures, linking them to stress test results and risk assessments to maintain a clear understanding of vulnerabilities and necessary actions.</w:t>
      </w:r>
    </w:p>
    <w:p w14:paraId="06D921C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2F269C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Detailed risk registers with safety concerns and failure points.</w:t>
      </w:r>
    </w:p>
    <w:p w14:paraId="38D0A28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Mitigation plans including technical and process-based controls.</w:t>
      </w:r>
    </w:p>
    <w:p w14:paraId="36F7E77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logs from testing or operational phases.</w:t>
      </w:r>
    </w:p>
    <w:p w14:paraId="5F77929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Traceability matrices linking failures to mitigation actions.</w:t>
      </w:r>
    </w:p>
    <w:p w14:paraId="093F032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16871F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into the Risk Management Lifecycle</w:t>
      </w:r>
    </w:p>
    <w:p w14:paraId="2EE7F9A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Incorporate safety assessment findings into the broader risk management lifecycle, updating risk registers, control plans, and operational procedures accordingly to enhance ongoing risk management efforts and ensure responsiveness to identified issues.</w:t>
      </w:r>
    </w:p>
    <w:p w14:paraId="1462347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684AD0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risk registers reflecting assessment results.</w:t>
      </w:r>
    </w:p>
    <w:p w14:paraId="7AEEA48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management records for process or control updates.</w:t>
      </w:r>
    </w:p>
    <w:p w14:paraId="302BD29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review meeting minutes integrating safety findings.</w:t>
      </w:r>
    </w:p>
    <w:p w14:paraId="1C3A15F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Mitigation action tracking and verification reports.</w:t>
      </w:r>
    </w:p>
    <w:p w14:paraId="7B695FE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491CD9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Ongoing Monitoring, Review, and Learning</w:t>
      </w:r>
    </w:p>
    <w:p w14:paraId="38898A4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review assessment outcomes, incorporate lessons from operational incidents and external events, and refine assessment processes and mitigation strategies to address emerging risks to promote continuous improvement in safety practices and system reliability.</w:t>
      </w:r>
    </w:p>
    <w:p w14:paraId="0F8B816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5EFB5D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Evaluation reports on the effectiveness of mitigation strategies.</w:t>
      </w:r>
    </w:p>
    <w:p w14:paraId="0820C5A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documentation from operational and testing activities.</w:t>
      </w:r>
    </w:p>
    <w:p w14:paraId="6C4ADCD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stress testing scenarios based on recent events.</w:t>
      </w:r>
    </w:p>
    <w:p w14:paraId="0F075A7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Scheduled review and continuous improvement records.</w:t>
      </w:r>
    </w:p>
    <w:p w14:paraId="2826FF05"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7B123097"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03DEFF8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1CFD9C7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03BF7328" w14:textId="77777777" w:rsidTr="005C00A5">
        <w:tc>
          <w:tcPr>
            <w:tcW w:w="1170" w:type="dxa"/>
          </w:tcPr>
          <w:p w14:paraId="48681A1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5CBE635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0EF5B8C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4705FC49" w14:textId="77777777" w:rsidTr="005C00A5">
        <w:tc>
          <w:tcPr>
            <w:tcW w:w="1170" w:type="dxa"/>
          </w:tcPr>
          <w:p w14:paraId="62B1817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MS-2.6.2</w:t>
            </w:r>
          </w:p>
        </w:tc>
        <w:tc>
          <w:tcPr>
            <w:tcW w:w="2160" w:type="dxa"/>
          </w:tcPr>
          <w:p w14:paraId="4EC0E4C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Controlled Failures and Fail-Safe Mechanisms</w:t>
            </w:r>
          </w:p>
        </w:tc>
        <w:tc>
          <w:tcPr>
            <w:tcW w:w="6740" w:type="dxa"/>
          </w:tcPr>
          <w:p w14:paraId="5915C71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demonstrates the AI system's ability to operate safely under normal conditions and fail in a controlled manner when exceeding its knowledge limits through scenario-based testing. The organization implements and assesses fail-safe mechanisms to minimize harm.</w:t>
            </w:r>
          </w:p>
          <w:p w14:paraId="33838F8E" w14:textId="77777777" w:rsidR="00963E47" w:rsidRPr="00963E47" w:rsidRDefault="00963E47" w:rsidP="004C3837">
            <w:pPr>
              <w:keepNext/>
              <w:rPr>
                <w:rFonts w:ascii="Aptos" w:hAnsi="Aptos" w:cs="Times New Roman"/>
                <w:b/>
                <w:bCs/>
                <w:color w:val="000000"/>
                <w:sz w:val="20"/>
                <w:szCs w:val="20"/>
              </w:rPr>
            </w:pPr>
          </w:p>
          <w:p w14:paraId="5926F807" w14:textId="77777777" w:rsidR="00963E47" w:rsidRPr="00963E47" w:rsidRDefault="00963E47" w:rsidP="004C3837">
            <w:pPr>
              <w:keepNext/>
              <w:rPr>
                <w:rFonts w:ascii="Aptos" w:hAnsi="Aptos" w:cs="Times New Roman"/>
                <w:b/>
                <w:bCs/>
                <w:color w:val="000000"/>
                <w:sz w:val="20"/>
                <w:szCs w:val="20"/>
              </w:rPr>
            </w:pPr>
            <w:hyperlink r:id="rId164" w:anchor="measure-2-6" w:history="1">
              <w:r w:rsidRPr="00963E47">
                <w:rPr>
                  <w:rFonts w:ascii="Aptos" w:hAnsi="Aptos" w:cs="Times New Roman"/>
                  <w:color w:val="000000"/>
                  <w:sz w:val="20"/>
                  <w:szCs w:val="20"/>
                  <w:u w:val="single"/>
                </w:rPr>
                <w:t>Link to NIST AI RMF Playbook</w:t>
              </w:r>
            </w:hyperlink>
          </w:p>
        </w:tc>
      </w:tr>
    </w:tbl>
    <w:p w14:paraId="4BAC4AE5"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BC20CE2"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4E74FDD6"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343D1F57" w14:textId="77777777" w:rsidTr="005C00A5">
        <w:trPr>
          <w:tblHeader/>
        </w:trPr>
        <w:tc>
          <w:tcPr>
            <w:tcW w:w="2160" w:type="dxa"/>
            <w:shd w:val="clear" w:color="auto" w:fill="CCDCDC"/>
            <w:vAlign w:val="center"/>
          </w:tcPr>
          <w:p w14:paraId="793ADC5F"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62251C59"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44BD7BA4"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2A085E72" w14:textId="77777777" w:rsidTr="005C00A5">
        <w:tc>
          <w:tcPr>
            <w:tcW w:w="2160" w:type="dxa"/>
            <w:shd w:val="clear" w:color="auto" w:fill="CCDCDC"/>
          </w:tcPr>
          <w:p w14:paraId="27E8218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0F59FDA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0A63999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64CDEDD5" w14:textId="77777777" w:rsidTr="005C00A5">
        <w:tc>
          <w:tcPr>
            <w:tcW w:w="2160" w:type="dxa"/>
            <w:shd w:val="clear" w:color="auto" w:fill="CCDCDC"/>
          </w:tcPr>
          <w:p w14:paraId="1E1C096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34A204B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69BDF2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minimal stage demonstrate the AI system's ability to operate safely under normal conditions, even with limited AI use, and fail in a controlled manner when exceeding its knowledge limits through basic scenario-based testing. The organization begins to implement and assess rudimentary fail-safe mechanisms to minimize harm, building a foundation for more comprehensive safety measures as AI adoption grows.</w:t>
            </w:r>
          </w:p>
        </w:tc>
      </w:tr>
      <w:tr w:rsidR="00963E47" w:rsidRPr="00963E47" w14:paraId="32A040E4" w14:textId="77777777" w:rsidTr="005C00A5">
        <w:tc>
          <w:tcPr>
            <w:tcW w:w="2160" w:type="dxa"/>
            <w:shd w:val="clear" w:color="auto" w:fill="CCDCDC"/>
          </w:tcPr>
          <w:p w14:paraId="4B29E37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210812F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DCC533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consistently demonstrate the AI system's ability to operate safely under normal conditions and fail in a controlled manner when exceeding its knowledge limits through scenario-based testing. The organization implements and assesses fail-safe mechanisms to minimize harm.</w:t>
            </w:r>
          </w:p>
        </w:tc>
      </w:tr>
      <w:tr w:rsidR="00963E47" w:rsidRPr="00963E47" w14:paraId="0A3BF89F" w14:textId="77777777" w:rsidTr="005C00A5">
        <w:tc>
          <w:tcPr>
            <w:tcW w:w="2160" w:type="dxa"/>
            <w:shd w:val="clear" w:color="auto" w:fill="CCDCDC"/>
          </w:tcPr>
          <w:p w14:paraId="48E6263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40561A4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23BC68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continuously demonstrating the AI system's ability to operate safely under normal conditions and fail in a controlled manner when exceeding its knowledge limits through scenario-based testing, with real-time implementation and assessment of fail-safe mechanisms to minimize harm based on data-driven insights. These processes are seamlessly integrated into the organization's development, deployment, and risk management frameworks, ensuring the highest level of safe operation and controlled failure.</w:t>
            </w:r>
          </w:p>
        </w:tc>
      </w:tr>
    </w:tbl>
    <w:p w14:paraId="39BD9B7E"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01EACA0E" w14:textId="77777777" w:rsidTr="005C00A5">
        <w:tc>
          <w:tcPr>
            <w:tcW w:w="2250" w:type="dxa"/>
          </w:tcPr>
          <w:p w14:paraId="3A02FF4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2008EE3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11A855A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3D29F832" w14:textId="77777777" w:rsidTr="005C00A5">
        <w:tc>
          <w:tcPr>
            <w:tcW w:w="2250" w:type="dxa"/>
          </w:tcPr>
          <w:p w14:paraId="27561B2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Safe</w:t>
            </w:r>
          </w:p>
        </w:tc>
        <w:tc>
          <w:tcPr>
            <w:tcW w:w="2520" w:type="dxa"/>
          </w:tcPr>
          <w:p w14:paraId="2D5C9D7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Inadequate Failure Mode Planning</w:t>
            </w:r>
          </w:p>
        </w:tc>
        <w:tc>
          <w:tcPr>
            <w:tcW w:w="5300" w:type="dxa"/>
          </w:tcPr>
          <w:p w14:paraId="5512614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system's safe operation under normal conditions is undemonstrated</w:t>
            </w:r>
          </w:p>
        </w:tc>
      </w:tr>
    </w:tbl>
    <w:p w14:paraId="0E235A2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D454DC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66C6729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626B87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Design and implement scenario-based testing to demonstrate the AI system's ability to operate safely under normal conditions and fail in a controlled manner when exceeding its knowledge limits. Develop a range of test scenarios that cover both typical and edge cases, and establish clear criteria for evaluating the system's performance in each scenario.</w:t>
      </w:r>
    </w:p>
    <w:p w14:paraId="76805EA3"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5BB7B2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Implement fail-safe mechanisms to minimize harm in the event of a system failure, and assess the effectiveness of these mechanisms through rigorous testing. Document the results of the scenario-based testing and fail-safe mechanism assessments, and use these findings to inform ongoing improvements to the AI system's safety features.</w:t>
      </w:r>
    </w:p>
    <w:p w14:paraId="746FEB84"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4AB262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Note: policies for safe and fast decommission are established in GOVERN 1.7; documented knowledge limits are defined in MEASURE 2.5. Use those artifacts when designing tests and fail</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safe criteria.</w:t>
      </w:r>
    </w:p>
    <w:p w14:paraId="34E49D09"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169327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7BC1008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63E0EF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Scenario-Based Testing Protocols</w:t>
      </w:r>
    </w:p>
    <w:p w14:paraId="05D0DDF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Create formal scenarios that simulate normal operations and boundary or edge cases where the system might exceed its knowledge limits, including failure modes.</w:t>
      </w:r>
    </w:p>
    <w:p w14:paraId="38E11EF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F6D73F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 plans outlining specific scenarios targeting safe operation and controlled failure.</w:t>
      </w:r>
    </w:p>
    <w:p w14:paraId="1507D30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Scripts for simulating knowledge limits and boundary conditions.</w:t>
      </w:r>
    </w:p>
    <w:p w14:paraId="68389C9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Defined success criteria for safe operation and failure behavior.</w:t>
      </w:r>
    </w:p>
    <w:p w14:paraId="5EDD661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scenario documentation.</w:t>
      </w:r>
    </w:p>
    <w:p w14:paraId="6EA3450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89BAC8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Implementation of Fail-Safe Mechanisms</w:t>
      </w:r>
    </w:p>
    <w:p w14:paraId="57369D7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Design and implement fail-safe features (e.g., system shutdown, fallback actions, escalation procedures) intended to initiate automatically upon detecting knowledge limits or failure conditions to ensure the safety and integrity of system operations.</w:t>
      </w:r>
    </w:p>
    <w:p w14:paraId="6543EA0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976A5F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Technical specifications and configurations of fail-safe features.</w:t>
      </w:r>
    </w:p>
    <w:p w14:paraId="57C9421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Automated fail-safe trigger logs and response records.</w:t>
      </w:r>
    </w:p>
    <w:p w14:paraId="5EF8DB3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System monitoring logs indicating activation of fail-safe modes.</w:t>
      </w:r>
    </w:p>
    <w:p w14:paraId="0BFDF68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Design validation reports confirming fail-safe implementation.</w:t>
      </w:r>
    </w:p>
    <w:p w14:paraId="28E6E84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D69490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Controlled Failure Testing and Validation</w:t>
      </w:r>
    </w:p>
    <w:p w14:paraId="0B23609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Execute scenario-based tests to validate that fail-safe mechanisms activate as intended, with results documented and analyzed for safety effectiveness to confirm that the mechanisms function correctly under defined failure scenarios.</w:t>
      </w:r>
    </w:p>
    <w:p w14:paraId="673D72E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B6DA69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 reports demonstrating activation of fail-safe mechanisms under simulated knowledge excess conditions.</w:t>
      </w:r>
    </w:p>
    <w:p w14:paraId="789BC75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logs showing system behavior during controlled failures.</w:t>
      </w:r>
    </w:p>
    <w:p w14:paraId="0B3A429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Performance metrics assessing response times and harm mitigation.</w:t>
      </w:r>
    </w:p>
    <w:p w14:paraId="5518B44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Post-test analysis reports with lessons learned.</w:t>
      </w:r>
    </w:p>
    <w:p w14:paraId="2FC8EE72"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A705F6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Effectiveness and Impact Assessment of Fail-Safes</w:t>
      </w:r>
    </w:p>
    <w:p w14:paraId="54090A5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Evaluate the effectiveness of fail-safe mechanisms in minimizing harm, including impact analysis on stakeholders, and document findings to ensure accountability and inform future improvements in safety protocols.</w:t>
      </w:r>
    </w:p>
    <w:p w14:paraId="79DFC66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8CC8E0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impact assessments comparing system state with and without fail-safe activation.</w:t>
      </w:r>
    </w:p>
    <w:p w14:paraId="7A72812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feedback on safety outcomes.</w:t>
      </w:r>
    </w:p>
    <w:p w14:paraId="15D0CB3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review reports including failure response analysis.</w:t>
      </w:r>
    </w:p>
    <w:p w14:paraId="0611037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Improvements identified and documented based on assessment.</w:t>
      </w:r>
    </w:p>
    <w:p w14:paraId="55BF3AE2"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442C89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Monitoring, Review, and Improvement</w:t>
      </w:r>
    </w:p>
    <w:p w14:paraId="3116368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review fail-safe and scenario testing results, updating scenarios, mechanisms, and procedures based on lessons learned, system evolution, and emerging risks to enhance preparedness and adaptability in response to potential system failures.</w:t>
      </w:r>
    </w:p>
    <w:p w14:paraId="3C37961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B84D1A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with documented test updates.</w:t>
      </w:r>
    </w:p>
    <w:p w14:paraId="716BFEC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from testing and operational incidents.</w:t>
      </w:r>
    </w:p>
    <w:p w14:paraId="571B30C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Revised fail-safe configurations and protocols.</w:t>
      </w:r>
    </w:p>
    <w:p w14:paraId="492C0E0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and awareness records on updated fail-safe procedures.</w:t>
      </w:r>
    </w:p>
    <w:p w14:paraId="3A21F48F"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55" w:name="_Toc214874800"/>
      <w:r w:rsidRPr="00963E47">
        <w:rPr>
          <w:rFonts w:ascii="Aptos" w:eastAsia="Aptos" w:hAnsi="Aptos" w:cs="Times New Roman"/>
          <w:b/>
          <w:bCs/>
          <w:noProof/>
          <w:color w:val="35256B"/>
          <w:kern w:val="2"/>
          <w:sz w:val="24"/>
          <w14:ligatures w14:val="standardContextual"/>
        </w:rPr>
        <w:t>MEASURE / Evaluating AI Systems / Measuring Security and Resiliency</w:t>
      </w:r>
      <w:bookmarkEnd w:id="55"/>
      <w:r w:rsidRPr="00963E47">
        <w:rPr>
          <w:rFonts w:ascii="Aptos" w:eastAsia="Aptos" w:hAnsi="Aptos" w:cs="Times New Roman"/>
          <w:b/>
          <w:bCs/>
          <w:noProof/>
          <w:color w:val="35256B"/>
          <w:kern w:val="2"/>
          <w:sz w:val="24"/>
          <w14:ligatures w14:val="standardContextual"/>
        </w:rPr>
        <w:t xml:space="preserve"> </w:t>
      </w:r>
    </w:p>
    <w:p w14:paraId="43AFF4A1"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5048A6C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0E339F9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6B1AA111" w14:textId="77777777" w:rsidTr="005C00A5">
        <w:tc>
          <w:tcPr>
            <w:tcW w:w="1170" w:type="dxa"/>
          </w:tcPr>
          <w:p w14:paraId="6D7D9E7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07355A2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24D06E0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5506AAD6" w14:textId="77777777" w:rsidTr="005C00A5">
        <w:tc>
          <w:tcPr>
            <w:tcW w:w="1170" w:type="dxa"/>
          </w:tcPr>
          <w:p w14:paraId="77A1F9C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MS-2.7.1</w:t>
            </w:r>
          </w:p>
        </w:tc>
        <w:tc>
          <w:tcPr>
            <w:tcW w:w="2160" w:type="dxa"/>
          </w:tcPr>
          <w:p w14:paraId="1BF8BAE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Security and Resilience Improvement Process</w:t>
            </w:r>
          </w:p>
        </w:tc>
        <w:tc>
          <w:tcPr>
            <w:tcW w:w="6740" w:type="dxa"/>
          </w:tcPr>
          <w:p w14:paraId="30265DB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he organization maintains a structured approach to AI system security and resilience, integrating with existing security and resilience program processes, ensuring that defenses address AI-specific threats. Regular reviews of AI system security logs, adversarial testing outcomes, historical incident intelligence (including documented misuse such as fraud, extortion, and model reverse-engineering), and current threat intelligence guide refinements in AI system security configurations, access controls, and response protocols. Changes to AI-specific defense mechanisms, model resilience strategies, and failure response protocols are formally documented.</w:t>
            </w:r>
          </w:p>
          <w:p w14:paraId="4AE65215" w14:textId="77777777" w:rsidR="00963E47" w:rsidRPr="00963E47" w:rsidRDefault="00963E47" w:rsidP="004C3837">
            <w:pPr>
              <w:keepNext/>
              <w:rPr>
                <w:rFonts w:ascii="Aptos" w:hAnsi="Aptos" w:cs="Times New Roman"/>
                <w:b/>
                <w:bCs/>
                <w:color w:val="000000"/>
                <w:sz w:val="20"/>
                <w:szCs w:val="20"/>
              </w:rPr>
            </w:pPr>
          </w:p>
          <w:p w14:paraId="00E7BB3C" w14:textId="77777777" w:rsidR="00963E47" w:rsidRPr="00963E47" w:rsidRDefault="00963E47" w:rsidP="004C3837">
            <w:pPr>
              <w:keepNext/>
              <w:rPr>
                <w:rFonts w:ascii="Aptos" w:hAnsi="Aptos" w:cs="Times New Roman"/>
                <w:b/>
                <w:bCs/>
                <w:color w:val="000000"/>
                <w:sz w:val="20"/>
                <w:szCs w:val="20"/>
              </w:rPr>
            </w:pPr>
            <w:hyperlink r:id="rId165" w:anchor="measure-2-7" w:history="1">
              <w:r w:rsidRPr="00963E47">
                <w:rPr>
                  <w:rFonts w:ascii="Aptos" w:hAnsi="Aptos" w:cs="Times New Roman"/>
                  <w:color w:val="000000"/>
                  <w:sz w:val="20"/>
                  <w:szCs w:val="20"/>
                  <w:u w:val="single"/>
                </w:rPr>
                <w:t>Link to NIST AI RMF Playbook</w:t>
              </w:r>
            </w:hyperlink>
          </w:p>
        </w:tc>
      </w:tr>
    </w:tbl>
    <w:p w14:paraId="7BD4BCDD"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B5E6FE2"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60F705D8"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5B54DF4E" w14:textId="77777777" w:rsidTr="005C00A5">
        <w:trPr>
          <w:tblHeader/>
        </w:trPr>
        <w:tc>
          <w:tcPr>
            <w:tcW w:w="2160" w:type="dxa"/>
            <w:shd w:val="clear" w:color="auto" w:fill="CCDCDC"/>
            <w:vAlign w:val="center"/>
          </w:tcPr>
          <w:p w14:paraId="7FA81A03"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6EFAF087"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2BEA6C98"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2DC70E04" w14:textId="77777777" w:rsidTr="005C00A5">
        <w:tc>
          <w:tcPr>
            <w:tcW w:w="2160" w:type="dxa"/>
            <w:shd w:val="clear" w:color="auto" w:fill="CCDCDC"/>
          </w:tcPr>
          <w:p w14:paraId="6207963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581B995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5D7AAF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F0860CA" w14:textId="77777777" w:rsidTr="005C00A5">
        <w:tc>
          <w:tcPr>
            <w:tcW w:w="2160" w:type="dxa"/>
            <w:shd w:val="clear" w:color="auto" w:fill="CCDCDC"/>
          </w:tcPr>
          <w:p w14:paraId="4871771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43F2535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274345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begin to establish a structured approach to AI system security and resilience, ensuring that basic defenses are in place to address potential AI-specific threats. Regular but less frequent reviews of AI system security logs, and any available incident intelligence guide initial refinements in AI system security configurations, access controls, and response protocols. Changes to AI-specific defense mechanisms, model resilience strategies, and failure response protocols are documented at a basic level.</w:t>
            </w:r>
          </w:p>
        </w:tc>
      </w:tr>
      <w:tr w:rsidR="00963E47" w:rsidRPr="00963E47" w14:paraId="3D405131" w14:textId="77777777" w:rsidTr="005C00A5">
        <w:tc>
          <w:tcPr>
            <w:tcW w:w="2160" w:type="dxa"/>
            <w:shd w:val="clear" w:color="auto" w:fill="CCDCDC"/>
          </w:tcPr>
          <w:p w14:paraId="7F76234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7233A12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1BAFB1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maintain a structured approach to AI system security and resilience, ensuring that defenses evolve alongside emerging AI-specific threats. Regular reviews of AI system security logs, adversarial testing outcomes, and threat intelligence guide refinements in AI system security configurations, access controls, and response protocols. Changes to AI-specific defense mechanisms, model resilience strategies, and failure response protocols are formally documented.</w:t>
            </w:r>
          </w:p>
        </w:tc>
      </w:tr>
      <w:tr w:rsidR="00963E47" w:rsidRPr="00963E47" w14:paraId="4D5BB65F" w14:textId="77777777" w:rsidTr="005C00A5">
        <w:tc>
          <w:tcPr>
            <w:tcW w:w="2160" w:type="dxa"/>
            <w:shd w:val="clear" w:color="auto" w:fill="CCDCDC"/>
          </w:tcPr>
          <w:p w14:paraId="67778D7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707B88D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E3E76A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maintaining a structured approach to AI system security and resilience, ensuring that defenses evolve alongside emerging AI-</w:t>
            </w:r>
            <w:r w:rsidRPr="00963E47">
              <w:rPr>
                <w:rFonts w:ascii="Aptos" w:hAnsi="Aptos" w:cs="Times New Roman"/>
                <w:noProof/>
                <w:color w:val="auto"/>
                <w:sz w:val="20"/>
                <w:szCs w:val="20"/>
              </w:rPr>
              <w:lastRenderedPageBreak/>
              <w:t>specific threats, with real-time reviews of AI system security logs, adversarial testing outcomes, and threat intelligence guiding refinements in AI system security configurations, access controls, and response protocols based on data-driven insights. Changes to AI-specific defense mechanisms, model resilience strategies, and failure response protocols are dynamically documented, ensuring the highest level of proactive security and resilience management and continuous improvement.</w:t>
            </w:r>
          </w:p>
        </w:tc>
      </w:tr>
    </w:tbl>
    <w:p w14:paraId="52702716"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260A59F0" w14:textId="77777777" w:rsidTr="005C00A5">
        <w:tc>
          <w:tcPr>
            <w:tcW w:w="2250" w:type="dxa"/>
          </w:tcPr>
          <w:p w14:paraId="3398694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790AE2E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31AF1D7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3A7A760D" w14:textId="77777777" w:rsidTr="005C00A5">
        <w:tc>
          <w:tcPr>
            <w:tcW w:w="2250" w:type="dxa"/>
          </w:tcPr>
          <w:p w14:paraId="762921C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Secure &amp; Resilient</w:t>
            </w:r>
          </w:p>
        </w:tc>
        <w:tc>
          <w:tcPr>
            <w:tcW w:w="2520" w:type="dxa"/>
          </w:tcPr>
          <w:p w14:paraId="2300D39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Lack of Structured Security Approach</w:t>
            </w:r>
          </w:p>
        </w:tc>
        <w:tc>
          <w:tcPr>
            <w:tcW w:w="5300" w:type="dxa"/>
          </w:tcPr>
          <w:p w14:paraId="71C1FFA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system security and resilience lacks a structured approach for addressing AI-specific threats</w:t>
            </w:r>
          </w:p>
        </w:tc>
      </w:tr>
    </w:tbl>
    <w:p w14:paraId="070FA14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DAAB80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19627D7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275375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and maintain a structured approach to AI system security and resilience that addresses AI-specific threats. Establish a process for regularly reviewing AI system security logs, adversarial testing outcomes, historical incident intelligence (e.g., documented misuse such as fraud, extortion, and model reverse</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engineering), and current threat intelligence to identify areas for improvement.</w:t>
      </w:r>
    </w:p>
    <w:p w14:paraId="15D90C61"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42BC9DC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Use insights from these reviews to refine AI system security configurations, access controls, detection capabilities (including anomaly and evasion detection), and response protocols. Include adversarial</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resilience measures such as input sanitization, monitoring for model extraction or inversion, rate</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limiting, and provenance controls where appropriate. Ensure organizational AI resources are not misused for generation of disinformation or other malicious purposes (e.g., fraud, extortion).</w:t>
      </w:r>
    </w:p>
    <w:p w14:paraId="58FEED5B"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46E4B01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Formally document any changes to AI</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specific defense mechanisms, model resilience strategies, and failure response protocols. Ensure changes are communicated to relevant stakeholders, integrated into training and operational playbooks, and incorporated into the organization's broader security, incident response, and risk</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management frameworks. Regularly review and test implemented defenses (including red</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team or purple</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team exercises) and update threat models and mitigations based on lessons learned.</w:t>
      </w:r>
    </w:p>
    <w:p w14:paraId="4E457CF6"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AD7D23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24A7801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8E8AC9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an AI Security and Resilience Framework</w:t>
      </w:r>
    </w:p>
    <w:p w14:paraId="21331C3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formal policies and procedures addressing AI-specific threats, including security controls, threat detection, and response strategies.</w:t>
      </w:r>
    </w:p>
    <w:p w14:paraId="40CD41C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D60DE5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Security strategy documents focused on AI threats such as adversarial attacks and model reverse-engineering.</w:t>
      </w:r>
    </w:p>
    <w:p w14:paraId="283F475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Security architecture diagrams highlighting AI-specific defenses.</w:t>
      </w:r>
    </w:p>
    <w:p w14:paraId="1E9FA46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Threat model and risk assessment reports.</w:t>
      </w:r>
    </w:p>
    <w:p w14:paraId="6D71C85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framework policies.</w:t>
      </w:r>
    </w:p>
    <w:p w14:paraId="411EDCA3"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80333F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 Review of Security Logs and Adversarial Test Results</w:t>
      </w:r>
    </w:p>
    <w:p w14:paraId="0DECF03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Systematically analyze security logs, adversarial testing outcomes, and incident data to identify vulnerabilities and emerging threats to ensure that security measures remain proactive and effective against potential risks.</w:t>
      </w:r>
    </w:p>
    <w:p w14:paraId="55C7EF8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23DED4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Log analysis reports showing detection of anomalies or attacks.</w:t>
      </w:r>
    </w:p>
    <w:p w14:paraId="4CC5B78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Adversarial testing reports and action logs.</w:t>
      </w:r>
    </w:p>
    <w:p w14:paraId="581FA3E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Incident logs documenting misuse attempts like fraud, extortion, or model theft.</w:t>
      </w:r>
    </w:p>
    <w:p w14:paraId="50E0465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Dashboards summarizing threat detection metrics.</w:t>
      </w:r>
    </w:p>
    <w:p w14:paraId="46F7348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4A6C60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of Incident and Threat Intelligence into Security Refinements</w:t>
      </w:r>
    </w:p>
    <w:p w14:paraId="5D06FF9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historical incident data and current threat intelligence to update security configurations, access controls, and response protocols proactively to address known vulnerabilities and anticipate future risks.</w:t>
      </w:r>
    </w:p>
    <w:p w14:paraId="7087F48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ABDEE5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reviews with root cause analysis and lessons learned.</w:t>
      </w:r>
    </w:p>
    <w:p w14:paraId="536D31B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Threat intelligence reports informing configuration adjustments.</w:t>
      </w:r>
    </w:p>
    <w:p w14:paraId="1F19C0A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management records for security or protocol updates.</w:t>
      </w:r>
    </w:p>
    <w:p w14:paraId="39FFB75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 logs capturing modification rationale and approval.</w:t>
      </w:r>
    </w:p>
    <w:p w14:paraId="2228FF5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9D9513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Formal Documentation of Defense and Response Changes</w:t>
      </w:r>
    </w:p>
    <w:p w14:paraId="410CF72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 all modifications to AI-specific defenses, resilience strategies, and failure response procedures, ensuring traceability and review to facilitate transparency and accountability in security management practices.</w:t>
      </w:r>
    </w:p>
    <w:p w14:paraId="2971928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50EB08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configuration files and protocols.</w:t>
      </w:r>
    </w:p>
    <w:p w14:paraId="1F96744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request and approval records.</w:t>
      </w:r>
    </w:p>
    <w:p w14:paraId="69F75D5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Security policy revision logs.</w:t>
      </w:r>
    </w:p>
    <w:p w14:paraId="51C5EB5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staff training on updated protocols.</w:t>
      </w:r>
    </w:p>
    <w:p w14:paraId="30E23CA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23E8B0B"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Periodic Testing, Inspection, and Continuous Improvement</w:t>
      </w:r>
    </w:p>
    <w:p w14:paraId="646908C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Schedule consistent testing and review intervals to evaluate defense effectiveness, incorporate lessons learned, and adapt to evolving threats to maintain a robust security posture and resilience strategy for AI systems.</w:t>
      </w:r>
    </w:p>
    <w:p w14:paraId="2C83783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AA7A45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 reports from penetration testing, adversarial simulations, or audits.</w:t>
      </w:r>
    </w:p>
    <w:p w14:paraId="1C5910C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meeting minutes emphasizing security improvements.</w:t>
      </w:r>
    </w:p>
    <w:p w14:paraId="1FE4597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documents from security incidents.</w:t>
      </w:r>
    </w:p>
    <w:p w14:paraId="1649CBA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threat models and defense strategies.</w:t>
      </w:r>
    </w:p>
    <w:p w14:paraId="28179FB0"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2D55F5BC"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55C0FC1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67950E6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2C5ED929" w14:textId="77777777" w:rsidTr="005C00A5">
        <w:tc>
          <w:tcPr>
            <w:tcW w:w="1170" w:type="dxa"/>
          </w:tcPr>
          <w:p w14:paraId="5C56306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718CA97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3C4E8C0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3C94B2A4" w14:textId="77777777" w:rsidTr="005C00A5">
        <w:tc>
          <w:tcPr>
            <w:tcW w:w="1170" w:type="dxa"/>
          </w:tcPr>
          <w:p w14:paraId="4DBDD3F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MS-2.7.2</w:t>
            </w:r>
          </w:p>
        </w:tc>
        <w:tc>
          <w:tcPr>
            <w:tcW w:w="2160" w:type="dxa"/>
          </w:tcPr>
          <w:p w14:paraId="0679449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Security and Resilience Testing</w:t>
            </w:r>
          </w:p>
        </w:tc>
        <w:tc>
          <w:tcPr>
            <w:tcW w:w="6740" w:type="dxa"/>
          </w:tcPr>
          <w:p w14:paraId="7548D52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conducts regular security and resilience evaluations for its AI systems, aligning these efforts with risks and vulnerabilities identified during the MAP function. These assessments include red teaming exercises, penetration testing, and stress testing. Findings from these evaluations are documented and used to refine AI-specific and enterprise-wide security strategies.</w:t>
            </w:r>
          </w:p>
          <w:p w14:paraId="06262EE2" w14:textId="77777777" w:rsidR="00963E47" w:rsidRPr="00963E47" w:rsidRDefault="00963E47" w:rsidP="004C3837">
            <w:pPr>
              <w:keepNext/>
              <w:rPr>
                <w:rFonts w:ascii="Aptos" w:hAnsi="Aptos" w:cs="Times New Roman"/>
                <w:b/>
                <w:bCs/>
                <w:color w:val="000000"/>
                <w:sz w:val="20"/>
                <w:szCs w:val="20"/>
              </w:rPr>
            </w:pPr>
          </w:p>
          <w:p w14:paraId="01E1555E" w14:textId="77777777" w:rsidR="00963E47" w:rsidRPr="00963E47" w:rsidRDefault="00963E47" w:rsidP="004C3837">
            <w:pPr>
              <w:keepNext/>
              <w:rPr>
                <w:rFonts w:ascii="Aptos" w:hAnsi="Aptos" w:cs="Times New Roman"/>
                <w:b/>
                <w:bCs/>
                <w:color w:val="000000"/>
                <w:sz w:val="20"/>
                <w:szCs w:val="20"/>
              </w:rPr>
            </w:pPr>
            <w:hyperlink r:id="rId166" w:anchor="measure-2-7" w:history="1">
              <w:r w:rsidRPr="00963E47">
                <w:rPr>
                  <w:rFonts w:ascii="Aptos" w:hAnsi="Aptos" w:cs="Times New Roman"/>
                  <w:color w:val="000000"/>
                  <w:sz w:val="20"/>
                  <w:szCs w:val="20"/>
                  <w:u w:val="single"/>
                </w:rPr>
                <w:t>Link to NIST AI RMF Playbook</w:t>
              </w:r>
            </w:hyperlink>
          </w:p>
        </w:tc>
      </w:tr>
    </w:tbl>
    <w:p w14:paraId="2F961FF6"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D54FDCE"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30998EB8"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54F90FA7" w14:textId="77777777" w:rsidTr="005C00A5">
        <w:trPr>
          <w:tblHeader/>
        </w:trPr>
        <w:tc>
          <w:tcPr>
            <w:tcW w:w="2160" w:type="dxa"/>
            <w:shd w:val="clear" w:color="auto" w:fill="CCDCDC"/>
            <w:vAlign w:val="center"/>
          </w:tcPr>
          <w:p w14:paraId="0E04FC3E"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704D905E"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6AA848AD"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3A0D069D" w14:textId="77777777" w:rsidTr="005C00A5">
        <w:tc>
          <w:tcPr>
            <w:tcW w:w="2160" w:type="dxa"/>
            <w:shd w:val="clear" w:color="auto" w:fill="CCDCDC"/>
          </w:tcPr>
          <w:p w14:paraId="71DA6EB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63D5E4F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FBD3E5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B3E9B10" w14:textId="77777777" w:rsidTr="005C00A5">
        <w:tc>
          <w:tcPr>
            <w:tcW w:w="2160" w:type="dxa"/>
            <w:shd w:val="clear" w:color="auto" w:fill="CCDCDC"/>
          </w:tcPr>
          <w:p w14:paraId="20C396A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0A77EB9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5961F6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Organizations at the minimal stage start conducting basic security and resilience evaluations for their AI systems, aligning these initial efforts </w:t>
            </w:r>
            <w:r w:rsidRPr="00963E47">
              <w:rPr>
                <w:rFonts w:ascii="Aptos" w:hAnsi="Aptos" w:cs="Times New Roman"/>
                <w:noProof/>
                <w:color w:val="auto"/>
                <w:sz w:val="20"/>
                <w:szCs w:val="20"/>
              </w:rPr>
              <w:lastRenderedPageBreak/>
              <w:t>with the most apparent risks and vulnerabilities. These assessments may include limited penetration testing and basic stress testing. Findings from these evaluations are documented and used to inform initial AI-specific security strategies, representing an early commitment to security best practices.</w:t>
            </w:r>
          </w:p>
        </w:tc>
      </w:tr>
      <w:tr w:rsidR="00963E47" w:rsidRPr="00963E47" w14:paraId="317045C9" w14:textId="77777777" w:rsidTr="005C00A5">
        <w:tc>
          <w:tcPr>
            <w:tcW w:w="2160" w:type="dxa"/>
            <w:shd w:val="clear" w:color="auto" w:fill="CCDCDC"/>
          </w:tcPr>
          <w:p w14:paraId="0BCF91F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3: Evolving</w:t>
            </w:r>
          </w:p>
        </w:tc>
        <w:tc>
          <w:tcPr>
            <w:tcW w:w="1350" w:type="dxa"/>
          </w:tcPr>
          <w:p w14:paraId="351EE8A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DD00C2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consistently conduct regular security and resilience evaluations for their AI systems, aligning these efforts with risks and vulnerabilities identified during the MAP function. These assessments include red teaming exercises, penetration testing, and stress testing. Findings from these evaluations are comprehensively documented and used to refine AI-specific and enterprise-wide security strategies.</w:t>
            </w:r>
          </w:p>
        </w:tc>
      </w:tr>
      <w:tr w:rsidR="00963E47" w:rsidRPr="00963E47" w14:paraId="582E22B8" w14:textId="77777777" w:rsidTr="005C00A5">
        <w:tc>
          <w:tcPr>
            <w:tcW w:w="2160" w:type="dxa"/>
            <w:shd w:val="clear" w:color="auto" w:fill="CCDCDC"/>
          </w:tcPr>
          <w:p w14:paraId="3B31FA4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075B297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F53AD5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continuously conducting security and resilience evaluations for their AI systems, aligning these efforts with risks and vulnerabilities identified during the MAP function, with real-time red teaming exercises, penetration testing, and stress testing based on data-driven insights. Findings from these evaluations are dynamically documented and used to refine AI-specific and enterprise-wide security strategies, ensuring the highest level of proactive security and resilience management.</w:t>
            </w:r>
          </w:p>
        </w:tc>
      </w:tr>
    </w:tbl>
    <w:p w14:paraId="7CF6E28D"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0362B59F" w14:textId="77777777" w:rsidTr="005C00A5">
        <w:tc>
          <w:tcPr>
            <w:tcW w:w="2250" w:type="dxa"/>
          </w:tcPr>
          <w:p w14:paraId="265E492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0A289EC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535F203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5DE2AD87" w14:textId="77777777" w:rsidTr="005C00A5">
        <w:tc>
          <w:tcPr>
            <w:tcW w:w="2250" w:type="dxa"/>
          </w:tcPr>
          <w:p w14:paraId="7CDE429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75AE878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Irregular Security Evaluations</w:t>
            </w:r>
          </w:p>
        </w:tc>
        <w:tc>
          <w:tcPr>
            <w:tcW w:w="5300" w:type="dxa"/>
          </w:tcPr>
          <w:p w14:paraId="4392480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Regular security and resilience evaluations for AI systems are not conducted</w:t>
            </w:r>
          </w:p>
        </w:tc>
      </w:tr>
    </w:tbl>
    <w:p w14:paraId="5C28049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644C19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16C3823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5665E7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a process for conducting regular security and resilience evaluations for AI systems, aligning these efforts with risks and vulnerabilities identified during the MAP function. Develop a standardized methodology for these assessments, including red teaming exercises, penetration testing, and stress testing.</w:t>
      </w:r>
    </w:p>
    <w:p w14:paraId="23425B03"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43AA57E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Document the findings from these evaluations, including identified vulnerabilities, potential attack vectors, and recommended mitigation strategies. Use these findings to refine both AI-specific and enterprise-wide security strategies, ensuring that AI systems are adequately protected against evolving threats. Assign clear roles and responsibilities for conducting security and resilience evaluations and implementing mitigation measures.</w:t>
      </w:r>
    </w:p>
    <w:p w14:paraId="78FA521D"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62D1AA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7B640C5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83B8FF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Establishment of a Security and Resilience Evaluation Framework</w:t>
      </w:r>
    </w:p>
    <w:p w14:paraId="300E256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and formalize a process for planning and executing AI security assessments, including testing scope, methodologies, and responsibilities aligned with MAP risk findings.</w:t>
      </w:r>
    </w:p>
    <w:p w14:paraId="29BEEA1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C275B3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Approved evaluation protocols detailing testing types and parameters.</w:t>
      </w:r>
    </w:p>
    <w:p w14:paraId="2CE3CF5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Testing plans with defined scenarios for red teaming, penetration, and stress tests.</w:t>
      </w:r>
    </w:p>
    <w:p w14:paraId="3A95D51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Roles and responsibilities matrices for security teams.</w:t>
      </w:r>
    </w:p>
    <w:p w14:paraId="211D55D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assessment frameworks.</w:t>
      </w:r>
    </w:p>
    <w:p w14:paraId="7D73A5B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8A98B0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Execution of Regular Security Evaluations and Tests</w:t>
      </w:r>
    </w:p>
    <w:p w14:paraId="7B46E60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Perform scheduled assessments, including red teaming, penetration testing, and stress testing, to uncover vulnerabilities and performance under stress to ensure the AI systems can withstand various attack scenarios and operational challenges.</w:t>
      </w:r>
    </w:p>
    <w:p w14:paraId="69F28E2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94352D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 plans and schedules for security evaluations.</w:t>
      </w:r>
    </w:p>
    <w:p w14:paraId="46CDED8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from red teaming exercises and penetration tests, including vulnerabilities found.</w:t>
      </w:r>
    </w:p>
    <w:p w14:paraId="651F263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Stress test logs and outcomes demonstrating system robustness.</w:t>
      </w:r>
    </w:p>
    <w:p w14:paraId="77091C2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response and mitigation actions from tests.</w:t>
      </w:r>
    </w:p>
    <w:p w14:paraId="338B36F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EC8F10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and Analysis of Evaluation Outcomes</w:t>
      </w:r>
    </w:p>
    <w:p w14:paraId="7DD496E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 findings comprehensively, including identified vulnerabilities, attack vectors, and impact scenarios, with analysis of root cause to ensure a clear understanding of security weaknesses and inform future preventive actions.</w:t>
      </w:r>
    </w:p>
    <w:p w14:paraId="5FAEF13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568B33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Evaluation reports with detailed vulnerability and threat analyses.</w:t>
      </w:r>
    </w:p>
    <w:p w14:paraId="2CAFC52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Root cause analysis documents linking vulnerabilities to systemic issues.</w:t>
      </w:r>
    </w:p>
    <w:p w14:paraId="6E2A6AC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Impact assessments showing potential harm.</w:t>
      </w:r>
    </w:p>
    <w:p w14:paraId="6C4EAAA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Evidence of review by security and risk teams.</w:t>
      </w:r>
    </w:p>
    <w:p w14:paraId="20F4E2F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DB4F18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of Evaluation Findings into Security Strategies</w:t>
      </w:r>
    </w:p>
    <w:p w14:paraId="51A2BE4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evaluation outcomes to adapt and improve AI-specific and enterprise-wide security controls, policies, and response plans to enhance the overall security posture and resilience of the organization's systems.</w:t>
      </w:r>
    </w:p>
    <w:p w14:paraId="6B6A9BE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3EC059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plans for remediating identified vulnerabilities.</w:t>
      </w:r>
    </w:p>
    <w:p w14:paraId="40A085C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security policies and control configurations.</w:t>
      </w:r>
    </w:p>
    <w:p w14:paraId="69399F4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for security infrastructure improvements.</w:t>
      </w:r>
    </w:p>
    <w:p w14:paraId="62A03B2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Mapping of vulnerabilities to mitigation strategies.</w:t>
      </w:r>
    </w:p>
    <w:p w14:paraId="380A81F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628B40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Monitoring and Improvement</w:t>
      </w:r>
    </w:p>
    <w:p w14:paraId="62902FF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Incorporate lessons learned into ongoing security activities, schedule re-evaluations, and update strategies based on new threats and findings from assessments to promote continuous improvement and responsiveness in security practices.</w:t>
      </w:r>
    </w:p>
    <w:p w14:paraId="508CD70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621AED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and post-assessment reports.</w:t>
      </w:r>
    </w:p>
    <w:p w14:paraId="153C2CC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documents from evaluations.</w:t>
      </w:r>
    </w:p>
    <w:p w14:paraId="408F294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logs tracking improvements and re-tests.</w:t>
      </w:r>
    </w:p>
    <w:p w14:paraId="4F30931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threat models and strategic plans.</w:t>
      </w:r>
    </w:p>
    <w:p w14:paraId="1586C513"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6E4331D5"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22DBA09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5EAD274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4F667841" w14:textId="77777777" w:rsidTr="005C00A5">
        <w:tc>
          <w:tcPr>
            <w:tcW w:w="1170" w:type="dxa"/>
          </w:tcPr>
          <w:p w14:paraId="33C7FDB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1A5D678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0C590D7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643DF384" w14:textId="77777777" w:rsidTr="005C00A5">
        <w:tc>
          <w:tcPr>
            <w:tcW w:w="1170" w:type="dxa"/>
          </w:tcPr>
          <w:p w14:paraId="2920304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MS-2.7.3</w:t>
            </w:r>
          </w:p>
        </w:tc>
        <w:tc>
          <w:tcPr>
            <w:tcW w:w="2160" w:type="dxa"/>
          </w:tcPr>
          <w:p w14:paraId="52E8E56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Ongoing AI Risk and Threat Assessments</w:t>
            </w:r>
          </w:p>
        </w:tc>
        <w:tc>
          <w:tcPr>
            <w:tcW w:w="6740" w:type="dxa"/>
          </w:tcPr>
          <w:p w14:paraId="4BB4FFC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conducts ongoing reviews of AI system-specific risks and, as warranted by the risk level of the AI system, performs structured assessments tailored for AI systems, such as adversarial role-playing, impact assessments, red-teaming, and chaos testing. These assessments are designed to identify potential failure modes, emergent risks, and content-related challenges (e.g., misinformation, disinformation, deepfakes, tampered content) relevant to the AI context, supporting proactive risk identification and mitigation.</w:t>
            </w:r>
          </w:p>
          <w:p w14:paraId="79C43B18" w14:textId="77777777" w:rsidR="00963E47" w:rsidRPr="00963E47" w:rsidRDefault="00963E47" w:rsidP="004C3837">
            <w:pPr>
              <w:keepNext/>
              <w:rPr>
                <w:rFonts w:ascii="Aptos" w:hAnsi="Aptos" w:cs="Times New Roman"/>
                <w:b/>
                <w:bCs/>
                <w:color w:val="000000"/>
                <w:sz w:val="20"/>
                <w:szCs w:val="20"/>
              </w:rPr>
            </w:pPr>
          </w:p>
          <w:p w14:paraId="781BF975" w14:textId="77777777" w:rsidR="00963E47" w:rsidRPr="00963E47" w:rsidRDefault="00963E47" w:rsidP="004C3837">
            <w:pPr>
              <w:keepNext/>
              <w:rPr>
                <w:rFonts w:ascii="Aptos" w:hAnsi="Aptos" w:cs="Times New Roman"/>
                <w:b/>
                <w:bCs/>
                <w:color w:val="000000"/>
                <w:sz w:val="20"/>
                <w:szCs w:val="20"/>
              </w:rPr>
            </w:pPr>
            <w:hyperlink r:id="rId167" w:anchor="measure-2-7" w:history="1">
              <w:r w:rsidRPr="00963E47">
                <w:rPr>
                  <w:rFonts w:ascii="Aptos" w:hAnsi="Aptos" w:cs="Times New Roman"/>
                  <w:color w:val="000000"/>
                  <w:sz w:val="20"/>
                  <w:szCs w:val="20"/>
                  <w:u w:val="single"/>
                </w:rPr>
                <w:t>Link to NIST AI RMF Playbook</w:t>
              </w:r>
            </w:hyperlink>
          </w:p>
        </w:tc>
      </w:tr>
    </w:tbl>
    <w:p w14:paraId="37B3EC17"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C74FFBB"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7F836672"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26949ABD" w14:textId="77777777" w:rsidTr="005C00A5">
        <w:trPr>
          <w:tblHeader/>
        </w:trPr>
        <w:tc>
          <w:tcPr>
            <w:tcW w:w="2160" w:type="dxa"/>
            <w:shd w:val="clear" w:color="auto" w:fill="CCDCDC"/>
            <w:vAlign w:val="center"/>
          </w:tcPr>
          <w:p w14:paraId="6EFE287C"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27640DAA"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446D0CE6"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56280659" w14:textId="77777777" w:rsidTr="005C00A5">
        <w:tc>
          <w:tcPr>
            <w:tcW w:w="2160" w:type="dxa"/>
            <w:shd w:val="clear" w:color="auto" w:fill="CCDCDC"/>
          </w:tcPr>
          <w:p w14:paraId="2E010D9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7972436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F90841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B3B5CA6" w14:textId="77777777" w:rsidTr="005C00A5">
        <w:tc>
          <w:tcPr>
            <w:tcW w:w="2160" w:type="dxa"/>
            <w:shd w:val="clear" w:color="auto" w:fill="CCDCDC"/>
          </w:tcPr>
          <w:p w14:paraId="588873A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05CA8A8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631B00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74F2BBA" w14:textId="77777777" w:rsidTr="005C00A5">
        <w:tc>
          <w:tcPr>
            <w:tcW w:w="2160" w:type="dxa"/>
            <w:shd w:val="clear" w:color="auto" w:fill="CCDCDC"/>
          </w:tcPr>
          <w:p w14:paraId="2F5E578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5150760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6CD269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9725E12" w14:textId="77777777" w:rsidTr="005C00A5">
        <w:tc>
          <w:tcPr>
            <w:tcW w:w="2160" w:type="dxa"/>
            <w:shd w:val="clear" w:color="auto" w:fill="CCDCDC"/>
          </w:tcPr>
          <w:p w14:paraId="134D5E7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1A2E5B5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F72FD7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conduct ongoing and comprehensive reviews of AI system-specific risks and, based on the risk level of the AI system, perform structured assessments tailored for AI systems (e.g., adversarial role-playing, impact assessments, red-teaming, chaos testing). These assessments are designed to identify potential failure modes, emergent risks, and content-related challenges relevant to the AI context, supporting proactive risk identification and mitigation for AI systems fully integrated into critical business functions.</w:t>
            </w:r>
          </w:p>
        </w:tc>
      </w:tr>
    </w:tbl>
    <w:p w14:paraId="338FE063"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071AD3A9" w14:textId="77777777" w:rsidTr="005C00A5">
        <w:tc>
          <w:tcPr>
            <w:tcW w:w="2250" w:type="dxa"/>
          </w:tcPr>
          <w:p w14:paraId="319FF59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609D10C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049945E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1683A039" w14:textId="77777777" w:rsidTr="005C00A5">
        <w:tc>
          <w:tcPr>
            <w:tcW w:w="2250" w:type="dxa"/>
          </w:tcPr>
          <w:p w14:paraId="2B36A4B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6A5A657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Unperformed Tailored Assessments</w:t>
            </w:r>
          </w:p>
        </w:tc>
        <w:tc>
          <w:tcPr>
            <w:tcW w:w="5300" w:type="dxa"/>
          </w:tcPr>
          <w:p w14:paraId="28F33D4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Structured assessments tailored for AI systems are not performed</w:t>
            </w:r>
          </w:p>
        </w:tc>
      </w:tr>
    </w:tbl>
    <w:p w14:paraId="52A657B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280CDD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3266A02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61BD91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Conduct structured reviews tailored for AI systems, such as adversarial role-playing, impact assessments, red-teaming, and chaos testing, to enhance understanding of anomalous failure modes, emergent risks, and content provenance harms that may occur in the AI context. Define the objectives and scope of each assessment based on the specific characteristics and use cases of the AI system. </w:t>
      </w:r>
    </w:p>
    <w:p w14:paraId="1563C257"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2F23309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 set of scenarios or test cases that simulate a range of realistic conditions and inputs, including edge cases and unexpected events. In adversarial role-playing, assign team members to act as potential attackers or adversaries, attempting to exploit vulnerabilities or manipulate the AI system in ways that could potentially result in harmful outcomes. For impact assessments, evaluate the possible consequences of the AI system's outputs or decisions on different stakeholders.</w:t>
      </w:r>
    </w:p>
    <w:p w14:paraId="740ADD8D"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FE250D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For red-teaming exercises, engage independent experts to conduct independent assessments of the AI system's security, privacy, and other related risks, and foster a better understanding of potential weaknesses or blind spots. For chaos testing, experiment with intentionally introduce random or unexpected inputs or conditions to the AI system to observe how it responds or adapts for learning purposes.</w:t>
      </w:r>
    </w:p>
    <w:p w14:paraId="08457586"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6BBA487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Document the results of each assessment, noting any observations or insights regarding vulnerabilities, failure modes, or emergent risks, and develop a plan for considering whether and how to address these risks. Ensure that the assessment process is transparent and that relevant stakeholders are involved in the review and decision-making process. Regularly review and update the assessment plan to maintain its effectiveness and ensure alignment with the evolving risks and requirements of the AI system and the organization.</w:t>
      </w:r>
    </w:p>
    <w:p w14:paraId="647B765D"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F78CC5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0843F76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277F7E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Establishment of a Tailored AI Risk Assessment Program</w:t>
      </w:r>
    </w:p>
    <w:p w14:paraId="3F6F051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 structured process for conducting risk assessments specific to AI system contexts, incorporating tailored evaluation methods aligned with risk severity and system characteristics.</w:t>
      </w:r>
    </w:p>
    <w:p w14:paraId="2122C32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DA4B44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Assessment protocols specifying methods, scope, and triggers for assessments.</w:t>
      </w:r>
    </w:p>
    <w:p w14:paraId="42A5328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Criteria for selecting assessment types based on risk levels.</w:t>
      </w:r>
    </w:p>
    <w:p w14:paraId="569149D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assessment frameworks.</w:t>
      </w:r>
    </w:p>
    <w:p w14:paraId="1ECB08F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Roles and responsibilities documentation.</w:t>
      </w:r>
    </w:p>
    <w:p w14:paraId="6E248EC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B85487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Implementation of Scenario-Based and Adversarial Assessments</w:t>
      </w:r>
    </w:p>
    <w:p w14:paraId="133A130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Execute assessments such as adversarial role-playing, impact analysis, and chaos testing under scenarios that replicate operational, external, or emergent risks to ensure comprehensive evaluation of AI system vulnerabilities in real-world contexts.</w:t>
      </w:r>
    </w:p>
    <w:p w14:paraId="35F837C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E7F9C8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 plans detailing scenarios for adversarial, impact, or chaos testing.</w:t>
      </w:r>
    </w:p>
    <w:p w14:paraId="50A5212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Execution logs and simulation results demonstrating evaluation of failure modes.</w:t>
      </w:r>
    </w:p>
    <w:p w14:paraId="69F6299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records identifying emergent risks or content-related issues.</w:t>
      </w:r>
    </w:p>
    <w:p w14:paraId="23A65DD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on the detection of manipulation or misinformation attempts.</w:t>
      </w:r>
    </w:p>
    <w:p w14:paraId="406A2492"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309C25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and Analysis of Assessment Findings</w:t>
      </w:r>
    </w:p>
    <w:p w14:paraId="6872550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Record identified failure modes, emergent risks, and content challenges, with root cause analysis and potential mitigation strategies to create a detailed repository of insights that can guide future improvements.</w:t>
      </w:r>
    </w:p>
    <w:p w14:paraId="053404C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7A8BC2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Assessment reports with detailed findings on vulnerabilities and risks.</w:t>
      </w:r>
    </w:p>
    <w:p w14:paraId="5F463CC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Root cause analysis documents for emergent or failure scenarios.</w:t>
      </w:r>
    </w:p>
    <w:p w14:paraId="249611E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Content analysis results for misinformation or tampering.</w:t>
      </w:r>
    </w:p>
    <w:p w14:paraId="2C3AB26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Impact analysis highlighting operational or external implications.</w:t>
      </w:r>
    </w:p>
    <w:p w14:paraId="62DBC6B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462CFB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of Findings into Proactive Risk Mitigation Strategies</w:t>
      </w:r>
    </w:p>
    <w:p w14:paraId="7DC68D2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assessment outcomes to update risk controls, content moderation policies, system design, and mitigation plans proactively to strengthen the AI system’s defenses against identified threats and vulnerabilities.</w:t>
      </w:r>
    </w:p>
    <w:p w14:paraId="4521A81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73A910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mitigation action plans addressing identified risks.</w:t>
      </w:r>
    </w:p>
    <w:p w14:paraId="5CDAEAD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system design or content moderation protocols.</w:t>
      </w:r>
    </w:p>
    <w:p w14:paraId="556F715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Revision logs for system or policy improvements.</w:t>
      </w:r>
    </w:p>
    <w:p w14:paraId="2F5C553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Mapping of risks to mitigation activities.</w:t>
      </w:r>
    </w:p>
    <w:p w14:paraId="043E492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488D75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 Review and Adaptation of Assessment Methods</w:t>
      </w:r>
    </w:p>
    <w:p w14:paraId="70B95E8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Schedule ongoing reviews of assessment approaches to incorporate lessons learned, new threat intelligence, and evolving AI-related risks, ensuring continuous preparedness to adapt to shifting landscapes and maintain effective risk management strategies.</w:t>
      </w:r>
    </w:p>
    <w:p w14:paraId="126D011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ACECBB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with documented adjustments.</w:t>
      </w:r>
    </w:p>
    <w:p w14:paraId="6A69B31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reports from assessments and incident responses.</w:t>
      </w:r>
    </w:p>
    <w:p w14:paraId="74099A7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assessment scenarios and scripts.</w:t>
      </w:r>
    </w:p>
    <w:p w14:paraId="2F7841F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assessment participants and stakeholders.</w:t>
      </w:r>
    </w:p>
    <w:p w14:paraId="33868BB3"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4BAA2100"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58C0E81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7B93EA0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3CF4244A" w14:textId="77777777" w:rsidTr="005C00A5">
        <w:tc>
          <w:tcPr>
            <w:tcW w:w="1170" w:type="dxa"/>
          </w:tcPr>
          <w:p w14:paraId="7486198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578E748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0F18940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621FF102" w14:textId="77777777" w:rsidTr="005C00A5">
        <w:tc>
          <w:tcPr>
            <w:tcW w:w="1170" w:type="dxa"/>
          </w:tcPr>
          <w:p w14:paraId="7D2110D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MS-2.7.4</w:t>
            </w:r>
          </w:p>
        </w:tc>
        <w:tc>
          <w:tcPr>
            <w:tcW w:w="2160" w:type="dxa"/>
          </w:tcPr>
          <w:p w14:paraId="7890A9E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Security Metrics and Log Monitoring</w:t>
            </w:r>
          </w:p>
        </w:tc>
        <w:tc>
          <w:tcPr>
            <w:tcW w:w="6740" w:type="dxa"/>
          </w:tcPr>
          <w:p w14:paraId="60D3D96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defines and tracks AI security and resilience metrics, ensuring alignment with existing enterprise-wide cybersecurity and IT resilience frameworks. AI-specific security logs and monitoring outputs are integrated into centralized security information and event management (SIEM) systems. Regular audits ensure that AI systems are held to the same security and resilience standards as other critical IT assets.</w:t>
            </w:r>
          </w:p>
          <w:p w14:paraId="3A489C23" w14:textId="77777777" w:rsidR="00963E47" w:rsidRPr="00963E47" w:rsidRDefault="00963E47" w:rsidP="004C3837">
            <w:pPr>
              <w:keepNext/>
              <w:rPr>
                <w:rFonts w:ascii="Aptos" w:hAnsi="Aptos" w:cs="Times New Roman"/>
                <w:b/>
                <w:bCs/>
                <w:color w:val="000000"/>
                <w:sz w:val="20"/>
                <w:szCs w:val="20"/>
              </w:rPr>
            </w:pPr>
          </w:p>
          <w:p w14:paraId="0E9AC262" w14:textId="77777777" w:rsidR="00963E47" w:rsidRPr="00963E47" w:rsidRDefault="00963E47" w:rsidP="004C3837">
            <w:pPr>
              <w:keepNext/>
              <w:rPr>
                <w:rFonts w:ascii="Aptos" w:hAnsi="Aptos" w:cs="Times New Roman"/>
                <w:b/>
                <w:bCs/>
                <w:color w:val="000000"/>
                <w:sz w:val="20"/>
                <w:szCs w:val="20"/>
              </w:rPr>
            </w:pPr>
            <w:hyperlink r:id="rId168" w:anchor="measure-2-7" w:history="1">
              <w:r w:rsidRPr="00963E47">
                <w:rPr>
                  <w:rFonts w:ascii="Aptos" w:hAnsi="Aptos" w:cs="Times New Roman"/>
                  <w:color w:val="000000"/>
                  <w:sz w:val="20"/>
                  <w:szCs w:val="20"/>
                  <w:u w:val="single"/>
                </w:rPr>
                <w:t>Link to NIST AI RMF Playbook</w:t>
              </w:r>
            </w:hyperlink>
          </w:p>
        </w:tc>
      </w:tr>
    </w:tbl>
    <w:p w14:paraId="7E6DB789"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226EC7E"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3A4B8301"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7EB3E0D4" w14:textId="77777777" w:rsidTr="005C00A5">
        <w:trPr>
          <w:tblHeader/>
        </w:trPr>
        <w:tc>
          <w:tcPr>
            <w:tcW w:w="2160" w:type="dxa"/>
            <w:shd w:val="clear" w:color="auto" w:fill="CCDCDC"/>
            <w:vAlign w:val="center"/>
          </w:tcPr>
          <w:p w14:paraId="7DED800C"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1B563F87"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56CFD890"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0AD7943C" w14:textId="77777777" w:rsidTr="005C00A5">
        <w:tc>
          <w:tcPr>
            <w:tcW w:w="2160" w:type="dxa"/>
            <w:shd w:val="clear" w:color="auto" w:fill="CCDCDC"/>
          </w:tcPr>
          <w:p w14:paraId="55C52105"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0690AE5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77CD3D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608BBFA9" w14:textId="77777777" w:rsidTr="005C00A5">
        <w:tc>
          <w:tcPr>
            <w:tcW w:w="2160" w:type="dxa"/>
            <w:shd w:val="clear" w:color="auto" w:fill="CCDCDC"/>
          </w:tcPr>
          <w:p w14:paraId="0B5E6D0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40899E5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A8BCED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0DC278C2" w14:textId="77777777" w:rsidTr="005C00A5">
        <w:tc>
          <w:tcPr>
            <w:tcW w:w="2160" w:type="dxa"/>
            <w:shd w:val="clear" w:color="auto" w:fill="CCDCDC"/>
          </w:tcPr>
          <w:p w14:paraId="6C44AC6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2196EED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6559F0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6DE5073A" w14:textId="77777777" w:rsidTr="005C00A5">
        <w:tc>
          <w:tcPr>
            <w:tcW w:w="2160" w:type="dxa"/>
            <w:shd w:val="clear" w:color="auto" w:fill="CCDCDC"/>
          </w:tcPr>
          <w:p w14:paraId="789F5A3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145471C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69DC6E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continuously defining and tracking AI security and resilience metrics, ensuring alignment with existing enterprise-wide cybersecurity and IT resilience frameworks, with real-time integration of AI-specific security logs and monitoring outputs into centralized security information and event management (SIEM) systems based on data-driven insights. Regular audits are conducted to ensure that AI systems are held to the same security and resilience standards as other critical IT assets, with seamless integration into the organization's cybersecurity and IT resilience frameworks, ensuring the highest level of proactive security and resilience management.</w:t>
            </w:r>
          </w:p>
        </w:tc>
      </w:tr>
    </w:tbl>
    <w:p w14:paraId="06531E74"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38862931" w14:textId="77777777" w:rsidTr="005C00A5">
        <w:tc>
          <w:tcPr>
            <w:tcW w:w="2250" w:type="dxa"/>
          </w:tcPr>
          <w:p w14:paraId="3DC40EA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2572CD3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4037D22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7C3725E8" w14:textId="77777777" w:rsidTr="005C00A5">
        <w:tc>
          <w:tcPr>
            <w:tcW w:w="2250" w:type="dxa"/>
          </w:tcPr>
          <w:p w14:paraId="0DE6FC6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Secure &amp; Resilient</w:t>
            </w:r>
          </w:p>
        </w:tc>
        <w:tc>
          <w:tcPr>
            <w:tcW w:w="2520" w:type="dxa"/>
          </w:tcPr>
          <w:p w14:paraId="716E508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Undefined Security Metrics</w:t>
            </w:r>
          </w:p>
        </w:tc>
        <w:tc>
          <w:tcPr>
            <w:tcW w:w="5300" w:type="dxa"/>
          </w:tcPr>
          <w:p w14:paraId="3013A1E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Security and resilience metrics are undefined and not integrated with cybersecurity frameworks</w:t>
            </w:r>
          </w:p>
        </w:tc>
      </w:tr>
    </w:tbl>
    <w:p w14:paraId="6AB6334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ADB4B9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79F0D82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7A0E51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Define a set of AI security and resilience metrics that align with existing enterprise-wide cybersecurity and IT resilience frameworks. Establish a process for regularly tracking and reporting on these metrics, ensuring that AI systems are held to the same security and resilience standards as other critical IT assets.</w:t>
      </w:r>
    </w:p>
    <w:p w14:paraId="6280D774"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3D656E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Integrate AI-specific security logs and monitoring outputs into centralized security information and event management (SIEM) systems, enabling a holistic view of the organization's security posture. Conduct regular audits to ensure that AI systems are properly configured, monitored, and maintained in accordance with established security and resilience standards.</w:t>
      </w:r>
    </w:p>
    <w:p w14:paraId="50D0CCFC"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554BD0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4EE5B64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D8F775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Define and Document AI Security and Resilience Metrics</w:t>
      </w:r>
    </w:p>
    <w:p w14:paraId="63E16C5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set of AI-specific metrics that align with enterprise cybersecurity and resilience standards, and document how they are calculated and used.</w:t>
      </w:r>
    </w:p>
    <w:p w14:paraId="5A06207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819684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Metrics definition documents linked to security and resilience requirements.</w:t>
      </w:r>
    </w:p>
    <w:p w14:paraId="41C231D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Dashboards or scorecards showing key AI security performance indicators.</w:t>
      </w:r>
    </w:p>
    <w:p w14:paraId="51FF4BA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Protocols for metric collection, interpretation, and reporting.</w:t>
      </w:r>
    </w:p>
    <w:p w14:paraId="4A069FE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metric definitions.</w:t>
      </w:r>
    </w:p>
    <w:p w14:paraId="7B32723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9553C8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of AI Metrics into SIEM and Security Frameworks</w:t>
      </w:r>
    </w:p>
    <w:p w14:paraId="360064C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Configure AI-specific logs, alerts, and monitoring outputs to feed into existing SIEM systems to enable centralized threat detection and response across all critical IT assets, enhancing situational awareness and incident management.</w:t>
      </w:r>
    </w:p>
    <w:p w14:paraId="48262C2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B78F7E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Integration configurations and log forwarding setup documentation.</w:t>
      </w:r>
    </w:p>
    <w:p w14:paraId="6ACA94E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SIEM dashboards displaying AI-specific security events in context with general cybersecurity data.</w:t>
      </w:r>
    </w:p>
    <w:p w14:paraId="78BE7EA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Alert rules and thresholds for AI systems aligned with enterprise policies.</w:t>
      </w:r>
    </w:p>
    <w:p w14:paraId="3F0D19A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logs of SIEM system activity.</w:t>
      </w:r>
    </w:p>
    <w:p w14:paraId="749D8E1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B61805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 Monitoring and Review of AI Security Metrics</w:t>
      </w:r>
    </w:p>
    <w:p w14:paraId="468678F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routine reviews of AI security metrics to identify trends, anomalies, and potential vulnerabilities, with results integrated into security management processes to inform decision-making and prioritize risk mitigation efforts.</w:t>
      </w:r>
    </w:p>
    <w:p w14:paraId="2FDBFF1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5D4E66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reports highlighting deviations or emerging threats.</w:t>
      </w:r>
    </w:p>
    <w:p w14:paraId="7397ABD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Analytic review meeting minutes demonstrating pattern detection.</w:t>
      </w:r>
    </w:p>
    <w:p w14:paraId="1CA97B8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for metric thresholds or monitoring configurations.</w:t>
      </w:r>
    </w:p>
    <w:p w14:paraId="2CF4CB1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reports triggered by AI-specific alerts.</w:t>
      </w:r>
    </w:p>
    <w:p w14:paraId="461F7A5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0A5E8D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Auditing and Compliance Verification</w:t>
      </w:r>
    </w:p>
    <w:p w14:paraId="37E1B27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Periodically audit AI systems and their security controls to verify adherence to enterprise standards, including quality of logs, proper monitoring, and incident response readiness to ensure that AI systems meet the required security and resilience benchmarks.</w:t>
      </w:r>
    </w:p>
    <w:p w14:paraId="6888EBA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7C45C3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reports assessing AI security and resilience controls.</w:t>
      </w:r>
    </w:p>
    <w:p w14:paraId="7313D82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Verification checklists clearly mapping controls to standards.</w:t>
      </w:r>
    </w:p>
    <w:p w14:paraId="5B57D59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Evidence of corrective actions following audit findings.</w:t>
      </w:r>
    </w:p>
    <w:p w14:paraId="53A8D22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Certification or compliance attestations.</w:t>
      </w:r>
    </w:p>
    <w:p w14:paraId="0E92D7A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268891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Improvement of Metrics and Monitoring Practices</w:t>
      </w:r>
    </w:p>
    <w:p w14:paraId="6F61477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Update security and resilience metrics, monitoring tools, and procedures based on lessons learned, emerging threats, and evolving standards, with documentation of changes to maintain the relevance and effectiveness of the organization's security posture.</w:t>
      </w:r>
    </w:p>
    <w:p w14:paraId="01FFC54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C40D47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and update schedules with documented findings.</w:t>
      </w:r>
    </w:p>
    <w:p w14:paraId="6E22D91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from incidents and audits influencing metric refinement.</w:t>
      </w:r>
    </w:p>
    <w:p w14:paraId="49EFBA6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Configuration change records for monitoring tools.</w:t>
      </w:r>
    </w:p>
    <w:p w14:paraId="0CCFA45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procedures reflecting new detection capabilities or standards.</w:t>
      </w:r>
    </w:p>
    <w:p w14:paraId="14E1698A"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56" w:name="_Toc214874801"/>
      <w:r w:rsidRPr="00963E47">
        <w:rPr>
          <w:rFonts w:ascii="Aptos" w:eastAsia="Aptos" w:hAnsi="Aptos" w:cs="Times New Roman"/>
          <w:b/>
          <w:bCs/>
          <w:noProof/>
          <w:color w:val="35256B"/>
          <w:kern w:val="2"/>
          <w:sz w:val="24"/>
          <w14:ligatures w14:val="standardContextual"/>
        </w:rPr>
        <w:t>MEASURE / Evaluating AI Systems / Measuring Accountability and Transparency</w:t>
      </w:r>
      <w:bookmarkEnd w:id="56"/>
      <w:r w:rsidRPr="00963E47">
        <w:rPr>
          <w:rFonts w:ascii="Aptos" w:eastAsia="Aptos" w:hAnsi="Aptos" w:cs="Times New Roman"/>
          <w:b/>
          <w:bCs/>
          <w:noProof/>
          <w:color w:val="35256B"/>
          <w:kern w:val="2"/>
          <w:sz w:val="24"/>
          <w14:ligatures w14:val="standardContextual"/>
        </w:rPr>
        <w:t xml:space="preserve"> </w:t>
      </w:r>
    </w:p>
    <w:p w14:paraId="269AA03C"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1501F41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06FEDFF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2B108240" w14:textId="77777777" w:rsidTr="005C00A5">
        <w:tc>
          <w:tcPr>
            <w:tcW w:w="1170" w:type="dxa"/>
          </w:tcPr>
          <w:p w14:paraId="7AE2E1F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6D04B04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67EA858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69774613" w14:textId="77777777" w:rsidTr="005C00A5">
        <w:tc>
          <w:tcPr>
            <w:tcW w:w="1170" w:type="dxa"/>
          </w:tcPr>
          <w:p w14:paraId="3361A9A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MS-2.8.1</w:t>
            </w:r>
          </w:p>
        </w:tc>
        <w:tc>
          <w:tcPr>
            <w:tcW w:w="2160" w:type="dxa"/>
          </w:tcPr>
          <w:p w14:paraId="44B6C57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Transparency and Accountability Evaluation</w:t>
            </w:r>
          </w:p>
        </w:tc>
        <w:tc>
          <w:tcPr>
            <w:tcW w:w="6740" w:type="dxa"/>
          </w:tcPr>
          <w:p w14:paraId="32C3010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assesses AI system transparency and accountability by evaluating the effectiveness of mechanisms that provide clear, accessible information to users, stakeholders, and non-technical actors. This includes reviewing explanations, disclosures, and communication channels, as well as interpretability methods that contextualize technical explainability for human understanding. Findings inform updates to governance policies, training, and user guidance to enhance transparency and facilitate effective oversight and human intervention.</w:t>
            </w:r>
          </w:p>
          <w:p w14:paraId="7E0A9731" w14:textId="77777777" w:rsidR="00963E47" w:rsidRPr="00963E47" w:rsidRDefault="00963E47" w:rsidP="004C3837">
            <w:pPr>
              <w:keepNext/>
              <w:rPr>
                <w:rFonts w:ascii="Aptos" w:hAnsi="Aptos" w:cs="Times New Roman"/>
                <w:b/>
                <w:bCs/>
                <w:color w:val="000000"/>
                <w:sz w:val="20"/>
                <w:szCs w:val="20"/>
              </w:rPr>
            </w:pPr>
          </w:p>
          <w:p w14:paraId="77574176" w14:textId="77777777" w:rsidR="00963E47" w:rsidRPr="00963E47" w:rsidRDefault="00963E47" w:rsidP="004C3837">
            <w:pPr>
              <w:keepNext/>
              <w:rPr>
                <w:rFonts w:ascii="Aptos" w:hAnsi="Aptos" w:cs="Times New Roman"/>
                <w:b/>
                <w:bCs/>
                <w:color w:val="000000"/>
                <w:sz w:val="20"/>
                <w:szCs w:val="20"/>
              </w:rPr>
            </w:pPr>
            <w:hyperlink r:id="rId169" w:anchor="measure-2-8" w:history="1">
              <w:r w:rsidRPr="00963E47">
                <w:rPr>
                  <w:rFonts w:ascii="Aptos" w:hAnsi="Aptos" w:cs="Times New Roman"/>
                  <w:color w:val="000000"/>
                  <w:sz w:val="20"/>
                  <w:szCs w:val="20"/>
                  <w:u w:val="single"/>
                </w:rPr>
                <w:t>Link to NIST AI RMF Playbook</w:t>
              </w:r>
            </w:hyperlink>
          </w:p>
        </w:tc>
      </w:tr>
    </w:tbl>
    <w:p w14:paraId="1FC82AA2"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D18599F"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0A3321A0"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4261AF30" w14:textId="77777777" w:rsidTr="005C00A5">
        <w:trPr>
          <w:tblHeader/>
        </w:trPr>
        <w:tc>
          <w:tcPr>
            <w:tcW w:w="2160" w:type="dxa"/>
            <w:shd w:val="clear" w:color="auto" w:fill="CCDCDC"/>
            <w:vAlign w:val="center"/>
          </w:tcPr>
          <w:p w14:paraId="669DAA13"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49928886"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158C4C8E"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5616F793" w14:textId="77777777" w:rsidTr="005C00A5">
        <w:tc>
          <w:tcPr>
            <w:tcW w:w="2160" w:type="dxa"/>
            <w:shd w:val="clear" w:color="auto" w:fill="CCDCDC"/>
          </w:tcPr>
          <w:p w14:paraId="388AA8D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3A7C293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846903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1E49508A" w14:textId="77777777" w:rsidTr="005C00A5">
        <w:tc>
          <w:tcPr>
            <w:tcW w:w="2160" w:type="dxa"/>
            <w:shd w:val="clear" w:color="auto" w:fill="CCDCDC"/>
          </w:tcPr>
          <w:p w14:paraId="4A24B6B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7D817A8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B4702F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'minimal' stage benefit from assessing AI system transparency and accountability by evaluating basic mechanisms for providing information to users and stakeholders. They begin to identify opportunities to improve understanding and trust in initial deployments. Findings inform simple updates to user guidance, promoting responsible AI practices from the outset.</w:t>
            </w:r>
          </w:p>
        </w:tc>
      </w:tr>
      <w:tr w:rsidR="00963E47" w:rsidRPr="00963E47" w14:paraId="59595107" w14:textId="77777777" w:rsidTr="005C00A5">
        <w:tc>
          <w:tcPr>
            <w:tcW w:w="2160" w:type="dxa"/>
            <w:shd w:val="clear" w:color="auto" w:fill="CCDCDC"/>
          </w:tcPr>
          <w:p w14:paraId="7DA3886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05B4180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90AAB4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consistently assess AI system transparency and accountability risks by evaluating the effectiveness of accountability structures, such as documented roles and responsibilities, audit logs, and oversight mechanisms. Escalation pathways for AI-related concerns are analyzed, and cases requiring human intervention are documented. Findings are used to inform updates to governance policies, training materials, and user guidance.</w:t>
            </w:r>
          </w:p>
        </w:tc>
      </w:tr>
      <w:tr w:rsidR="00963E47" w:rsidRPr="00963E47" w14:paraId="15D181A4" w14:textId="77777777" w:rsidTr="005C00A5">
        <w:tc>
          <w:tcPr>
            <w:tcW w:w="2160" w:type="dxa"/>
            <w:shd w:val="clear" w:color="auto" w:fill="CCDCDC"/>
          </w:tcPr>
          <w:p w14:paraId="5286670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092AC66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909BE2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Organizations at the embedded stage have advanced, automated processes for continuously assessing AI system transparency and accountability risks by evaluating the effectiveness of accountability structures, such as documented roles and responsibilities, audit logs, and oversight mechanisms, with real-time analysis of escalation pathways for AI-related concerns and dynamic documentation of cases requiring human intervention based on data-driven insights. Findings are used to inform updates to governance policies, training </w:t>
            </w:r>
            <w:r w:rsidRPr="00963E47">
              <w:rPr>
                <w:rFonts w:ascii="Aptos" w:hAnsi="Aptos" w:cs="Times New Roman"/>
                <w:noProof/>
                <w:color w:val="auto"/>
                <w:sz w:val="20"/>
                <w:szCs w:val="20"/>
              </w:rPr>
              <w:lastRenderedPageBreak/>
              <w:t>materials, and user guidance, ensuring the highest level of proactive transparency and accountability management and continuous improvement.</w:t>
            </w:r>
          </w:p>
        </w:tc>
      </w:tr>
    </w:tbl>
    <w:p w14:paraId="21673A62"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75051416" w14:textId="77777777" w:rsidTr="005C00A5">
        <w:tc>
          <w:tcPr>
            <w:tcW w:w="2250" w:type="dxa"/>
          </w:tcPr>
          <w:p w14:paraId="1037983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3FD7754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47BB3C4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0D55C0FC" w14:textId="77777777" w:rsidTr="005C00A5">
        <w:tc>
          <w:tcPr>
            <w:tcW w:w="2250" w:type="dxa"/>
          </w:tcPr>
          <w:p w14:paraId="5EE0801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659E9BA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Opaque AI System Accountability</w:t>
            </w:r>
          </w:p>
        </w:tc>
        <w:tc>
          <w:tcPr>
            <w:tcW w:w="5300" w:type="dxa"/>
          </w:tcPr>
          <w:p w14:paraId="10C5BFA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system transparency and accountability is inaccessible or unevaluated</w:t>
            </w:r>
          </w:p>
        </w:tc>
      </w:tr>
    </w:tbl>
    <w:p w14:paraId="2DD9452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33FFA6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48765BE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FB1350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a process for assessing AI system transparency and accountability risks by evaluating the effectiveness of high-level transparency mechanisms that communicate meaningful, accessible information to users, executives, impacted communities, and other non-technical AI stakeholders. This includes assessing whether explanations, disclosures, and communication channels—such as adverse action notifications, appeal procedures, and process descriptions—are clear, understandable, and appropriate for affected stakeholders.</w:t>
      </w:r>
    </w:p>
    <w:p w14:paraId="4C4CBC57"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6E22B4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In addition, evaluate the adequacy of interpretability methods that contextualize low-level explainability data into human-understandable insights, supporting human decision-making and oversight. Similarly, review technical explainability tools, such as model interpretability and post-hoc explanation techniques, ensuring their accessibility and usefulness for technical actors.</w:t>
      </w:r>
    </w:p>
    <w:p w14:paraId="1DA20155"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6B19CD8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 standardized methodology for conducting these assessments, including criteria for evaluating the clarity, accessibility, and sufficiency of transparency and interpretability measures. Analyze escalation pathways for AI-related concerns, identifying gaps or weaknesses in the current process, particularly in facilitating understanding, appeals, or overrides by non-technical stakeholders.</w:t>
      </w:r>
    </w:p>
    <w:p w14:paraId="57EDAD78"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424CC1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Document cases requiring human intervention or further explanation, and use these findings to update governance policies, training materials, and user guidance. Assign clear roles and responsibilities for conducting transparency and accountability assessments and for implementing improvements, ensuring ongoing enhancements to maintain meaningful transparency to all relevant stakeholders.</w:t>
      </w:r>
    </w:p>
    <w:p w14:paraId="22B6F6C9"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02641B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36B46C1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2A2867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Establishment of Evaluation Framework for Transparency and Accountability</w:t>
      </w:r>
    </w:p>
    <w:p w14:paraId="700C74B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and document a structured framework for assessing the effectiveness of transparency mechanisms, including interpretability methods, disclosure clarity, and communication channels.</w:t>
      </w:r>
    </w:p>
    <w:p w14:paraId="28E67E4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D863B2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Evaluation protocols outlining metrics and criteria for transparency effectiveness.</w:t>
      </w:r>
    </w:p>
    <w:p w14:paraId="1197780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Checklists for reviewing explanation quality, clarity, and accessibility.</w:t>
      </w:r>
    </w:p>
    <w:p w14:paraId="7AE51F0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Performance dashboards tracking transparency indicators over time.</w:t>
      </w:r>
    </w:p>
    <w:p w14:paraId="42E4320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evaluation frameworks.</w:t>
      </w:r>
    </w:p>
    <w:p w14:paraId="475EF78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14BB5F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Review of Explanation Quality and User Understanding</w:t>
      </w:r>
    </w:p>
    <w:p w14:paraId="7091759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evaluate the clarity, comprehensibility, and contextualization of explanations and disclosures provided to multidisciplinary user groups, including non-technical stakeholders to ensure that all users can understand the AI system's functionality and implications.</w:t>
      </w:r>
    </w:p>
    <w:p w14:paraId="1759E58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EC7F9B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User feedback surveys and comprehension testing results.</w:t>
      </w:r>
    </w:p>
    <w:p w14:paraId="08C38A6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Usability testing reports focused on explanation understandability.</w:t>
      </w:r>
    </w:p>
    <w:p w14:paraId="50A0FF0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review meetings with documented insights.</w:t>
      </w:r>
    </w:p>
    <w:p w14:paraId="4B65CF6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Content analysis of explanation text and disclosures.</w:t>
      </w:r>
    </w:p>
    <w:p w14:paraId="1BD2339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A117F1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Assessment of Communication Channels and Disclosures</w:t>
      </w:r>
    </w:p>
    <w:p w14:paraId="3C459CC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Review the accessibility, reach, and effectiveness of communication channels used for disclosures, ensuring that relevant information is available to all stakeholders in an understandable manner to foster trust and facilitate informed engagement with the AI system.</w:t>
      </w:r>
    </w:p>
    <w:p w14:paraId="559B543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2FA42A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Channel usage metrics and analytics (e.g., website analytics, portal access logs).</w:t>
      </w:r>
    </w:p>
    <w:p w14:paraId="15DBF2D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Communication content review reports for clarity and comprehensiveness.</w:t>
      </w:r>
    </w:p>
    <w:p w14:paraId="3200B4D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feedback on information accessibility and usefulness.</w:t>
      </w:r>
    </w:p>
    <w:p w14:paraId="6027856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communication protocols.</w:t>
      </w:r>
    </w:p>
    <w:p w14:paraId="6735E20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92D6BC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Incorporation of Findings into Governance, Policies, and Training</w:t>
      </w:r>
    </w:p>
    <w:p w14:paraId="7E8BA7F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assessment results to improve governance policies, training programs, and user guidance aimed at enhancing transparency and facilitating effective oversight and intervention to ensure that stakeholders can effectively navigate and influence AI system operations.</w:t>
      </w:r>
    </w:p>
    <w:p w14:paraId="4EB6F12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B4DC03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Policy updates reflecting insights from transparency assessments.</w:t>
      </w:r>
    </w:p>
    <w:p w14:paraId="50D45C3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modules on interpretability and communication best practices.</w:t>
      </w:r>
    </w:p>
    <w:p w14:paraId="7DE2A07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User guidance documents revised based on evaluation outcomes.</w:t>
      </w:r>
    </w:p>
    <w:p w14:paraId="7A31EF8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Management review summaries approving updates.</w:t>
      </w:r>
    </w:p>
    <w:p w14:paraId="68C018F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C8B8C3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Monitoring and Iteration</w:t>
      </w:r>
    </w:p>
    <w:p w14:paraId="008FA9F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Schedule ongoing assessments of transparency and explainability methods, iterating improvements based on user feedback, evolving standards, and emerging best practices to continually enhance the clarity and effectiveness of AI disclosures and accountability mechanisms.</w:t>
      </w:r>
    </w:p>
    <w:p w14:paraId="2278769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26992F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Regular review schedules with documented improvements.</w:t>
      </w:r>
    </w:p>
    <w:p w14:paraId="2737B72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logs from users and stakeholders.</w:t>
      </w:r>
    </w:p>
    <w:p w14:paraId="1F79415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from transparency-related incidents or audits.</w:t>
      </w:r>
    </w:p>
    <w:p w14:paraId="09CBD53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interpretability and communication strategies.</w:t>
      </w:r>
    </w:p>
    <w:p w14:paraId="6BBEBEA8"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0FA53346"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4FACC67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3245B7D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3C7F4AA3" w14:textId="77777777" w:rsidTr="005C00A5">
        <w:tc>
          <w:tcPr>
            <w:tcW w:w="1170" w:type="dxa"/>
          </w:tcPr>
          <w:p w14:paraId="37AB78D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4846DA7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613800B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3F69DFD7" w14:textId="77777777" w:rsidTr="005C00A5">
        <w:tc>
          <w:tcPr>
            <w:tcW w:w="1170" w:type="dxa"/>
          </w:tcPr>
          <w:p w14:paraId="7A5F1BD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MS-2.8.2</w:t>
            </w:r>
          </w:p>
        </w:tc>
        <w:tc>
          <w:tcPr>
            <w:tcW w:w="2160" w:type="dxa"/>
          </w:tcPr>
          <w:p w14:paraId="2DBCE68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Metrics for Transparency and Accountability</w:t>
            </w:r>
          </w:p>
        </w:tc>
        <w:tc>
          <w:tcPr>
            <w:tcW w:w="6740" w:type="dxa"/>
          </w:tcPr>
          <w:p w14:paraId="42E4524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establishes and monitors metrics to measure the transparency and accountability of its AI systems, including the effectiveness of explainability features, the clarity of disclosures, and the resolution times for escalated decisions. It also assesses the quality of communication to non-technical stakeholders (e.g., clear explanations, adverse action notices, appeal processes) to ensure information is accessible and meaningful. Regular review of AI system logs and stakeholder feedback helps identify trends and refine accountability mechanisms, supporting effective oversight and human intervention.</w:t>
            </w:r>
          </w:p>
          <w:p w14:paraId="4C3494ED" w14:textId="77777777" w:rsidR="00963E47" w:rsidRPr="00963E47" w:rsidRDefault="00963E47" w:rsidP="004C3837">
            <w:pPr>
              <w:keepNext/>
              <w:rPr>
                <w:rFonts w:ascii="Aptos" w:hAnsi="Aptos" w:cs="Times New Roman"/>
                <w:b/>
                <w:bCs/>
                <w:color w:val="000000"/>
                <w:sz w:val="20"/>
                <w:szCs w:val="20"/>
              </w:rPr>
            </w:pPr>
          </w:p>
          <w:p w14:paraId="184237F8" w14:textId="77777777" w:rsidR="00963E47" w:rsidRPr="00963E47" w:rsidRDefault="00963E47" w:rsidP="004C3837">
            <w:pPr>
              <w:keepNext/>
              <w:rPr>
                <w:rFonts w:ascii="Aptos" w:hAnsi="Aptos" w:cs="Times New Roman"/>
                <w:b/>
                <w:bCs/>
                <w:color w:val="000000"/>
                <w:sz w:val="20"/>
                <w:szCs w:val="20"/>
              </w:rPr>
            </w:pPr>
            <w:hyperlink r:id="rId170" w:anchor="measure-2-8" w:history="1">
              <w:r w:rsidRPr="00963E47">
                <w:rPr>
                  <w:rFonts w:ascii="Aptos" w:hAnsi="Aptos" w:cs="Times New Roman"/>
                  <w:color w:val="000000"/>
                  <w:sz w:val="20"/>
                  <w:szCs w:val="20"/>
                  <w:u w:val="single"/>
                </w:rPr>
                <w:t>Link to NIST AI RMF Playbook</w:t>
              </w:r>
            </w:hyperlink>
          </w:p>
        </w:tc>
      </w:tr>
    </w:tbl>
    <w:p w14:paraId="5BBCFE2A"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C6F80E6"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lastRenderedPageBreak/>
        <w:t>Adoption Stage Applicability:</w:t>
      </w:r>
      <w:r w:rsidRPr="00963E47">
        <w:rPr>
          <w:rFonts w:ascii="Aptos" w:eastAsia="Aptos" w:hAnsi="Aptos" w:cs="Times New Roman"/>
          <w:color w:val="C00000"/>
          <w:kern w:val="2"/>
          <w:sz w:val="20"/>
          <w:szCs w:val="20"/>
          <w14:ligatures w14:val="standardContextual"/>
        </w:rPr>
        <w:t xml:space="preserve"> </w:t>
      </w:r>
    </w:p>
    <w:p w14:paraId="5CB0EA1E"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56B0D520" w14:textId="77777777" w:rsidTr="005C00A5">
        <w:trPr>
          <w:tblHeader/>
        </w:trPr>
        <w:tc>
          <w:tcPr>
            <w:tcW w:w="2160" w:type="dxa"/>
            <w:shd w:val="clear" w:color="auto" w:fill="CCDCDC"/>
            <w:vAlign w:val="center"/>
          </w:tcPr>
          <w:p w14:paraId="0A1276C4"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0162E5F8"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4A1D0760"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1C74822D" w14:textId="77777777" w:rsidTr="005C00A5">
        <w:tc>
          <w:tcPr>
            <w:tcW w:w="2160" w:type="dxa"/>
            <w:shd w:val="clear" w:color="auto" w:fill="CCDCDC"/>
          </w:tcPr>
          <w:p w14:paraId="58ED1D7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1B904D3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09EE77B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18ACCD90" w14:textId="77777777" w:rsidTr="005C00A5">
        <w:tc>
          <w:tcPr>
            <w:tcW w:w="2160" w:type="dxa"/>
            <w:shd w:val="clear" w:color="auto" w:fill="CCDCDC"/>
          </w:tcPr>
          <w:p w14:paraId="3CB2BD2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300E917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9EEC94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67436BF3" w14:textId="77777777" w:rsidTr="005C00A5">
        <w:tc>
          <w:tcPr>
            <w:tcW w:w="2160" w:type="dxa"/>
            <w:shd w:val="clear" w:color="auto" w:fill="CCDCDC"/>
          </w:tcPr>
          <w:p w14:paraId="3856D13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75A45AB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D39A38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establish and monitor metrics to measure the transparency and accountability of their AI systems, such as the frequency and resolution time of escalated AI decisions, the effectiveness of explainability features, and the number of reported issues related to AI-driven decisions. AI system logs and stakeholder feedback are regularly reviewed to identify trends and refine accountability mechanisms.</w:t>
            </w:r>
          </w:p>
        </w:tc>
      </w:tr>
      <w:tr w:rsidR="00963E47" w:rsidRPr="00963E47" w14:paraId="33F54223" w14:textId="77777777" w:rsidTr="005C00A5">
        <w:tc>
          <w:tcPr>
            <w:tcW w:w="2160" w:type="dxa"/>
            <w:shd w:val="clear" w:color="auto" w:fill="CCDCDC"/>
          </w:tcPr>
          <w:p w14:paraId="2091376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7E08048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4A25DC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continuously establishing and monitoring metrics to measure the transparency and accountability of their AI systems, such as the frequency and resolution time of escalated AI decisions, the effectiveness of explainability features, and the number of reported issues related to AI-driven decisions, with real-time review of AI system logs and stakeholder feedback to identify trends and refine accountability mechanisms based on data-driven insights. These processes are seamlessly integrated into the organization's governance and risk management frameworks, ensuring the highest level of proactive transparency and accountability management and continuous improvement.</w:t>
            </w:r>
          </w:p>
        </w:tc>
      </w:tr>
    </w:tbl>
    <w:p w14:paraId="62F70930"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00B86D82" w14:textId="77777777" w:rsidTr="005C00A5">
        <w:tc>
          <w:tcPr>
            <w:tcW w:w="2250" w:type="dxa"/>
          </w:tcPr>
          <w:p w14:paraId="3A28536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3815400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22465F0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64CED736" w14:textId="77777777" w:rsidTr="005C00A5">
        <w:tc>
          <w:tcPr>
            <w:tcW w:w="2250" w:type="dxa"/>
          </w:tcPr>
          <w:p w14:paraId="3E4DBF2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47AB64C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Unmonitored Transparency Metrics</w:t>
            </w:r>
          </w:p>
        </w:tc>
        <w:tc>
          <w:tcPr>
            <w:tcW w:w="5300" w:type="dxa"/>
          </w:tcPr>
          <w:p w14:paraId="1547212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Transparency and accountability metrics are unmonitored and communication quality is unassessed</w:t>
            </w:r>
          </w:p>
        </w:tc>
      </w:tr>
    </w:tbl>
    <w:p w14:paraId="6E2325D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5702A5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4B14EEB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D17F67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Define a set of metrics to measure the transparency and accountability of AI systems, including the frequency and resolution time of escalated AI decisions, the effectiveness of explainability features, and the number of reported issues related to AI-driven decisions. Additionally, assess the clarity and accessibility of communication to non-technical stakeholders (e.g. explanations, disclosures, appeal processes) to ensure that information is understandable and meaningful.</w:t>
      </w:r>
    </w:p>
    <w:p w14:paraId="1B582933"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203152E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a process for regularly monitoring and reporting on these metrics, ensuring they align with the organization’s overall AI governance framework. Review AI system logs and gather stakeholder feedback to identify trends, gaps, and areas for improvement in transparency and accountability mechanisms, including communication effectiveness. Use this information to refine escalation procedures, explainability features, and user communication channels.</w:t>
      </w:r>
    </w:p>
    <w:p w14:paraId="1F457B46"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4796F7B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Document all changes to transparency and accountability mechanisms, and communicate updates to relevant stakeholders to enhance ongoing transparency and human oversight.</w:t>
      </w:r>
    </w:p>
    <w:p w14:paraId="05AAAFD5"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0282B4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20107B9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362FA7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a Metrics Framework for Transparency and Accountability</w:t>
      </w:r>
    </w:p>
    <w:p w14:paraId="772EC96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Create a formal framework defining key metrics and targets related to explainability, disclosures, decision escalation, and stakeholder communication.</w:t>
      </w:r>
    </w:p>
    <w:p w14:paraId="58F1FE3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56B15C1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Metrics definitions with measurement methods, formulas, and thresholds.</w:t>
      </w:r>
    </w:p>
    <w:p w14:paraId="6D25CFD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Scorecards tracking explainability feature performance, disclosure clarity, and resolution times.</w:t>
      </w:r>
    </w:p>
    <w:p w14:paraId="5EA358E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measurement protocols aligned with organizational standards.</w:t>
      </w:r>
    </w:p>
    <w:p w14:paraId="3B95674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metric frameworks.</w:t>
      </w:r>
    </w:p>
    <w:p w14:paraId="6DA73FA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442642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Implementation of Monitoring Systems and Data Collection</w:t>
      </w:r>
    </w:p>
    <w:p w14:paraId="42090EB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Deploy tools and processes for ongoing collection and analysis of metrics from AI logs, decision workflows, and stakeholder communication channels to ensure a continuous understanding of the performance and effectiveness of transparency measures.</w:t>
      </w:r>
    </w:p>
    <w:p w14:paraId="7085BD6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5BFB9C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Dashboards displaying explainability performance, disclosure clarity, and decision resolution KPIs.</w:t>
      </w:r>
    </w:p>
    <w:p w14:paraId="3746413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Automated logs of escalated decision timelines.</w:t>
      </w:r>
    </w:p>
    <w:p w14:paraId="1D417B0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communication metrics, such as explanation comprehensibility and appeal response times.</w:t>
      </w:r>
    </w:p>
    <w:p w14:paraId="7418B7E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collection procedures.</w:t>
      </w:r>
    </w:p>
    <w:p w14:paraId="7353A08F"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A437C2B"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Evaluation of Communication Quality and Stakeholder Feedback</w:t>
      </w:r>
    </w:p>
    <w:p w14:paraId="39FF5EF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assess the clarity, accessibility, and effectiveness of communications with non-technical stakeholders through surveys, feedback forms, and content reviews to gather insights that inform improvements in user engagement and understanding.</w:t>
      </w:r>
    </w:p>
    <w:p w14:paraId="14EA8E9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56DB39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feedback reports on explanation clarity and appeal processes.</w:t>
      </w:r>
    </w:p>
    <w:p w14:paraId="5C8F752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Surveys measuring stakeholder understanding and satisfaction.</w:t>
      </w:r>
    </w:p>
    <w:p w14:paraId="068F50F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Content review checklists for notices and explanations.</w:t>
      </w:r>
    </w:p>
    <w:p w14:paraId="4320B7E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Periodic stakeholder engagement summaries.</w:t>
      </w:r>
    </w:p>
    <w:p w14:paraId="593B823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AFF506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Trend Analysis and Identification of Improvement Opportunities</w:t>
      </w:r>
    </w:p>
    <w:p w14:paraId="0FBC196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Analyze collected metrics and feedback to identify patterns, gaps, and areas for improvement in transparency and accountability practices to strengthen the organization's commitment to clear communication and responsible AI use.</w:t>
      </w:r>
    </w:p>
    <w:p w14:paraId="3E27F8D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E81F0D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Trend analysis reports and dashboards highlighting recurring issues or delays.</w:t>
      </w:r>
    </w:p>
    <w:p w14:paraId="7A019D2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logs linked to inadequate explanations or delayed resolutions.</w:t>
      </w:r>
    </w:p>
    <w:p w14:paraId="2AF5F53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documents with recommended process improvements.</w:t>
      </w:r>
    </w:p>
    <w:p w14:paraId="38CC62E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Regular review meeting minutes.</w:t>
      </w:r>
    </w:p>
    <w:p w14:paraId="13FABBF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509C53B"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Refinement of Accountability Mechanisms</w:t>
      </w:r>
    </w:p>
    <w:p w14:paraId="32E01B6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Based on insights, update metrics, workflows, communication practices, and escalation procedures to enhance oversight, explainability, and human intervention effectiveness to ensure that stakeholders can effectively engage with and influence AI system operations.</w:t>
      </w:r>
    </w:p>
    <w:p w14:paraId="5A876C3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84F969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metrics definitions and targets.</w:t>
      </w:r>
    </w:p>
    <w:p w14:paraId="40509DB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Revised workflows and escalation protocols.</w:t>
      </w:r>
    </w:p>
    <w:p w14:paraId="6FBFF35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Feedback-driven content updates for disclosures and explanations.</w:t>
      </w:r>
    </w:p>
    <w:p w14:paraId="31E7135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reports verifying improvements.</w:t>
      </w:r>
    </w:p>
    <w:p w14:paraId="08DED0FF"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57" w:name="_Toc214874802"/>
      <w:r w:rsidRPr="00963E47">
        <w:rPr>
          <w:rFonts w:ascii="Aptos" w:eastAsia="Aptos" w:hAnsi="Aptos" w:cs="Times New Roman"/>
          <w:b/>
          <w:bCs/>
          <w:noProof/>
          <w:color w:val="35256B"/>
          <w:kern w:val="2"/>
          <w:sz w:val="24"/>
          <w14:ligatures w14:val="standardContextual"/>
        </w:rPr>
        <w:lastRenderedPageBreak/>
        <w:t>MEASURE / Evaluating AI Systems / Measuring Interpretability and Explainability</w:t>
      </w:r>
      <w:bookmarkEnd w:id="57"/>
      <w:r w:rsidRPr="00963E47">
        <w:rPr>
          <w:rFonts w:ascii="Aptos" w:eastAsia="Aptos" w:hAnsi="Aptos" w:cs="Times New Roman"/>
          <w:b/>
          <w:bCs/>
          <w:noProof/>
          <w:color w:val="35256B"/>
          <w:kern w:val="2"/>
          <w:sz w:val="24"/>
          <w14:ligatures w14:val="standardContextual"/>
        </w:rPr>
        <w:t xml:space="preserve"> </w:t>
      </w:r>
    </w:p>
    <w:p w14:paraId="670483ED"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33460B4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212B065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6729D962" w14:textId="77777777" w:rsidTr="005C00A5">
        <w:tc>
          <w:tcPr>
            <w:tcW w:w="1170" w:type="dxa"/>
          </w:tcPr>
          <w:p w14:paraId="0A9E50B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768BE0B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6F388A9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06BC35A6" w14:textId="77777777" w:rsidTr="005C00A5">
        <w:tc>
          <w:tcPr>
            <w:tcW w:w="1170" w:type="dxa"/>
          </w:tcPr>
          <w:p w14:paraId="4B8581A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MS-2.9.1</w:t>
            </w:r>
          </w:p>
        </w:tc>
        <w:tc>
          <w:tcPr>
            <w:tcW w:w="2160" w:type="dxa"/>
          </w:tcPr>
          <w:p w14:paraId="5BCBE9F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Model Explainability and Validation</w:t>
            </w:r>
          </w:p>
        </w:tc>
        <w:tc>
          <w:tcPr>
            <w:tcW w:w="6740" w:type="dxa"/>
          </w:tcPr>
          <w:p w14:paraId="38DA893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provides clear and structured explanations of its AI models (e.g., design choices, training data sources, feature importance, decision pathways) that serve as the underlying reasons behind outcomes. The model validation process includes testing for stability, fairness, and performance across various conditions, with specific attention to potential biases and limitations. The organization employs interpretable models or post-hoc explainability techniques where possible and ensures that AI outputs align with intended policies and AI Trustworthy Principles.</w:t>
            </w:r>
          </w:p>
          <w:p w14:paraId="32CE9B1C" w14:textId="77777777" w:rsidR="00963E47" w:rsidRPr="00963E47" w:rsidRDefault="00963E47" w:rsidP="004C3837">
            <w:pPr>
              <w:keepNext/>
              <w:rPr>
                <w:rFonts w:ascii="Aptos" w:hAnsi="Aptos" w:cs="Times New Roman"/>
                <w:b/>
                <w:bCs/>
                <w:color w:val="000000"/>
                <w:sz w:val="20"/>
                <w:szCs w:val="20"/>
              </w:rPr>
            </w:pPr>
          </w:p>
          <w:p w14:paraId="3B214761" w14:textId="77777777" w:rsidR="00963E47" w:rsidRPr="00963E47" w:rsidRDefault="00963E47" w:rsidP="004C3837">
            <w:pPr>
              <w:keepNext/>
              <w:rPr>
                <w:rFonts w:ascii="Aptos" w:hAnsi="Aptos" w:cs="Times New Roman"/>
                <w:b/>
                <w:bCs/>
                <w:color w:val="000000"/>
                <w:sz w:val="20"/>
                <w:szCs w:val="20"/>
              </w:rPr>
            </w:pPr>
            <w:hyperlink r:id="rId171" w:anchor="measure-2-9" w:history="1">
              <w:r w:rsidRPr="00963E47">
                <w:rPr>
                  <w:rFonts w:ascii="Aptos" w:hAnsi="Aptos" w:cs="Times New Roman"/>
                  <w:color w:val="000000"/>
                  <w:sz w:val="20"/>
                  <w:szCs w:val="20"/>
                  <w:u w:val="single"/>
                </w:rPr>
                <w:t>Link to NIST AI RMF Playbook</w:t>
              </w:r>
            </w:hyperlink>
          </w:p>
        </w:tc>
      </w:tr>
    </w:tbl>
    <w:p w14:paraId="7D62D9DF"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44D4588"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3371669F"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62090904" w14:textId="77777777" w:rsidTr="005C00A5">
        <w:trPr>
          <w:tblHeader/>
        </w:trPr>
        <w:tc>
          <w:tcPr>
            <w:tcW w:w="2160" w:type="dxa"/>
            <w:shd w:val="clear" w:color="auto" w:fill="CCDCDC"/>
            <w:vAlign w:val="center"/>
          </w:tcPr>
          <w:p w14:paraId="207AB10A"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1DE686DB"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2FD03835"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0343D8E3" w14:textId="77777777" w:rsidTr="005C00A5">
        <w:tc>
          <w:tcPr>
            <w:tcW w:w="2160" w:type="dxa"/>
            <w:shd w:val="clear" w:color="auto" w:fill="CCDCDC"/>
          </w:tcPr>
          <w:p w14:paraId="0FABCE6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4D19E0C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4D0A48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4F347D5F" w14:textId="77777777" w:rsidTr="005C00A5">
        <w:tc>
          <w:tcPr>
            <w:tcW w:w="2160" w:type="dxa"/>
            <w:shd w:val="clear" w:color="auto" w:fill="CCDCDC"/>
          </w:tcPr>
          <w:p w14:paraId="5CE41ED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36809FB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F7BE60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provide basic explanations of its AI models, even if they are limited in scope. Understanding design choices and training data sources improves the understanding of AI, while basic validation processes test for stability, fairness, and performance. Even in initial stages, ensuring that AI outputs align with intended policies and AI Trustworthy Principles is a beneficial first step.</w:t>
            </w:r>
          </w:p>
        </w:tc>
      </w:tr>
      <w:tr w:rsidR="00963E47" w:rsidRPr="00963E47" w14:paraId="70EC052F" w14:textId="77777777" w:rsidTr="005C00A5">
        <w:tc>
          <w:tcPr>
            <w:tcW w:w="2160" w:type="dxa"/>
            <w:shd w:val="clear" w:color="auto" w:fill="CCDCDC"/>
          </w:tcPr>
          <w:p w14:paraId="2BBA95D5"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3012CA9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BF213B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consistently provide clear and structured explanations of their AI models, detailing their design choices, training data sources, feature importance, and decision pathways. The model validation process includes testing for stability, fairness, and performance across various conditions, with specific attention to potential biases and limitations. The organization employs interpretable models or post-hoc explainability techniques where possible and ensures that AI outputs align with intended policies and AI Trustworthy Principles.</w:t>
            </w:r>
          </w:p>
        </w:tc>
      </w:tr>
      <w:tr w:rsidR="00963E47" w:rsidRPr="00963E47" w14:paraId="792E749B" w14:textId="77777777" w:rsidTr="005C00A5">
        <w:tc>
          <w:tcPr>
            <w:tcW w:w="2160" w:type="dxa"/>
            <w:shd w:val="clear" w:color="auto" w:fill="CCDCDC"/>
          </w:tcPr>
          <w:p w14:paraId="298FDFE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0F8C5B5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698A63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continuously providing clear and structured explanations of their AI models, detailing their design choices, training data sources, feature importance, and decision pathways, with real-time updates based on data-driven insights. The model validation process includes dynamic testing for stability, fairness, and performance across various conditions, with specific attention to potential biases and limitations. The organization employs interpretable models or post-hoc explainability techniques where possible and ensures that AI outputs align with intended policies and AI Trustworthy Principles, ensuring the highest level of proactive model transparency, interpretability, and alignment with organizational values.</w:t>
            </w:r>
          </w:p>
        </w:tc>
      </w:tr>
    </w:tbl>
    <w:p w14:paraId="063C6795"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7D89F85E" w14:textId="77777777" w:rsidTr="005C00A5">
        <w:tc>
          <w:tcPr>
            <w:tcW w:w="2250" w:type="dxa"/>
          </w:tcPr>
          <w:p w14:paraId="565E699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lastRenderedPageBreak/>
              <w:t>AI Principle</w:t>
            </w:r>
          </w:p>
        </w:tc>
        <w:tc>
          <w:tcPr>
            <w:tcW w:w="2520" w:type="dxa"/>
          </w:tcPr>
          <w:p w14:paraId="7F06857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383C54B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0CD531DF" w14:textId="77777777" w:rsidTr="005C00A5">
        <w:tc>
          <w:tcPr>
            <w:tcW w:w="2250" w:type="dxa"/>
          </w:tcPr>
          <w:p w14:paraId="310A27D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Explainable &amp; Interpretable</w:t>
            </w:r>
          </w:p>
        </w:tc>
        <w:tc>
          <w:tcPr>
            <w:tcW w:w="2520" w:type="dxa"/>
          </w:tcPr>
          <w:p w14:paraId="6DA6EF9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Insufficient Model Explanations</w:t>
            </w:r>
          </w:p>
        </w:tc>
        <w:tc>
          <w:tcPr>
            <w:tcW w:w="5300" w:type="dxa"/>
          </w:tcPr>
          <w:p w14:paraId="3843670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Clear explanations of AI models are not provided and validation is insufficient</w:t>
            </w:r>
          </w:p>
        </w:tc>
      </w:tr>
    </w:tbl>
    <w:p w14:paraId="69E6EAD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ACB0D3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3AC8020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601AB3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a process for providing clear and structured explanations of AI models, emphasizing the underlying reasons (that is, the "how" and "why" behind specific outcomes), such as design choices, training data, feature importance, and decision pathways. These explanations enable meaningful appeals or overrides by providing the justifications needed to understand and respond to wrong or harmful decisions. Develop standardized documentation templates that detail this information in an accessible manner, ensuring explanations are understandable to both technical and non-technical stakeholders and support critical appeal and override processes.</w:t>
      </w:r>
    </w:p>
    <w:p w14:paraId="2912486E"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D71699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Implement a comprehensive model validation process that tests for stability, fairness, and performance across various conditions, with a focus on identifying biases and limitations. Employ interpretable models or post-hoc explainability techniques where feasible to facilitate understanding of the decision-making process. Ensure that AI outputs are aligned with organizational policies and AI Trustworthy Principles, and explicitly document any deviations or exceptions that could impact interpretability, explainability, or related appeal processes (e.g., adverse action notices).</w:t>
      </w:r>
    </w:p>
    <w:p w14:paraId="42EBD610"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C7FFD5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052741D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E16589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Model Explanation Framework and Documentation</w:t>
      </w:r>
    </w:p>
    <w:p w14:paraId="4A5126C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Create a formal framework and templates for documenting model design decisions, data sources, feature importance, and decision pathways to ensure clarity and transparency.</w:t>
      </w:r>
    </w:p>
    <w:p w14:paraId="264A0B5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1A2016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Model documentation templates detailing design rationale, data lineage, and feature roles.</w:t>
      </w:r>
    </w:p>
    <w:p w14:paraId="3F1C2BA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explanation documents linked to model versions.</w:t>
      </w:r>
    </w:p>
    <w:p w14:paraId="36C4573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Policy references guiding explanation practices.</w:t>
      </w:r>
    </w:p>
    <w:p w14:paraId="2553270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Checklists ensuring all components are documented.</w:t>
      </w:r>
    </w:p>
    <w:p w14:paraId="020D4B6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3118A2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Model Validation Including Explainability, Fairness, and Stability Tests</w:t>
      </w:r>
    </w:p>
    <w:p w14:paraId="62EEB43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validation using methods such as stress testing, fairness assessments, and stability analysis across different data subsets and scenarios to evaluate model robustness and ensure reliable performance in different situations.</w:t>
      </w:r>
    </w:p>
    <w:p w14:paraId="7A83B67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9FB8D9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Validation reports including stability metrics, fairness metrics, and performance benchmarks.</w:t>
      </w:r>
    </w:p>
    <w:p w14:paraId="32744AC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Testing under different conditions and reporting on bias or limitations.</w:t>
      </w:r>
    </w:p>
    <w:p w14:paraId="3264809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Sensitivity analyses and robustness testing results.</w:t>
      </w:r>
    </w:p>
    <w:p w14:paraId="54A6F13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Adherence checklists for validation procedures.</w:t>
      </w:r>
    </w:p>
    <w:p w14:paraId="238066D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FF6A8EB"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of Interpretable or Post-Hoc Explainability Techniques</w:t>
      </w:r>
    </w:p>
    <w:p w14:paraId="04BAEC2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Employ models inherently designed for interpretability or apply post-hoc explainability tools (e.g., SHAP, LIME), documenting methods, parameters, and interpretability rationale to provide transparency in how models generate their outputs and facilitate user understanding.</w:t>
      </w:r>
    </w:p>
    <w:p w14:paraId="12036C0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8539DF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Explanation reports generated with interpretable models or post-hoc tools.</w:t>
      </w:r>
    </w:p>
    <w:p w14:paraId="2AE09FC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methods, assumptions, and limitations of explanations.</w:t>
      </w:r>
    </w:p>
    <w:p w14:paraId="065F010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User guides or training on interpreting model outputs.</w:t>
      </w:r>
    </w:p>
    <w:p w14:paraId="05B6E13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Validation logs demonstrating explanation consistency.</w:t>
      </w:r>
    </w:p>
    <w:p w14:paraId="53EB41B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343F20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Alignment of Outputs with Policies and AI Trustworthy Principles</w:t>
      </w:r>
    </w:p>
    <w:p w14:paraId="60A9B2E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Review model outputs to ensure they align with organizational policies and AI Trustworthy Principles, verifying fairness and transparency considerations to build confidence in the AI system's decision-making processes.</w:t>
      </w:r>
    </w:p>
    <w:p w14:paraId="6940AA5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0D3064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Output reviews with checklists aligned to policies/principles.</w:t>
      </w:r>
    </w:p>
    <w:p w14:paraId="6AA56AC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feedback on explanation adequacy and transparency.</w:t>
      </w:r>
    </w:p>
    <w:p w14:paraId="66FE0DC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Models shown to meet fairness and bias thresholds.</w:t>
      </w:r>
    </w:p>
    <w:p w14:paraId="3B62D7E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Traceability matrices linking outputs to policy requirements.</w:t>
      </w:r>
    </w:p>
    <w:p w14:paraId="5A012EC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A6D5AA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Monitoring and Improvement of Explanation Quality</w:t>
      </w:r>
    </w:p>
    <w:p w14:paraId="503C370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assess the quality, relevance, and comprehensibility of explanations, updating methods and documentation based on feedback, evolving standards, and system changes to enhance the effectiveness of model explainability initiatives and ensure they meet stakeholder needs.</w:t>
      </w:r>
    </w:p>
    <w:p w14:paraId="3118BAF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CC9C6B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surveys on explanation clarity and usefulness.</w:t>
      </w:r>
    </w:p>
    <w:p w14:paraId="03D90F4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logs from deployment or incident reviews.</w:t>
      </w:r>
    </w:p>
    <w:p w14:paraId="392CFF5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explanation approach documentation.</w:t>
      </w:r>
    </w:p>
    <w:p w14:paraId="0E4CD54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Periodic review schedules and implementation records.</w:t>
      </w:r>
    </w:p>
    <w:p w14:paraId="349E8D09"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41956B5C"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1C44812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0B1AF7F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26FDD570" w14:textId="77777777" w:rsidTr="005C00A5">
        <w:tc>
          <w:tcPr>
            <w:tcW w:w="1170" w:type="dxa"/>
          </w:tcPr>
          <w:p w14:paraId="24A7161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39086BD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131EFDD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39CF3C7B" w14:textId="77777777" w:rsidTr="005C00A5">
        <w:tc>
          <w:tcPr>
            <w:tcW w:w="1170" w:type="dxa"/>
          </w:tcPr>
          <w:p w14:paraId="72F1EE7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MS-2.9.2</w:t>
            </w:r>
          </w:p>
        </w:tc>
        <w:tc>
          <w:tcPr>
            <w:tcW w:w="2160" w:type="dxa"/>
          </w:tcPr>
          <w:p w14:paraId="4656680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Interpretability and Decision Context</w:t>
            </w:r>
          </w:p>
        </w:tc>
        <w:tc>
          <w:tcPr>
            <w:tcW w:w="6740" w:type="dxa"/>
          </w:tcPr>
          <w:p w14:paraId="7BE2C1A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ensures that AI-generated outputs are interpreted in context, helping users understand how decisions were reached and their potential limitations. Decision rationales are structured to be accessible to technical teams, end-users, and external stakeholders, ensuring they align with the expected use case, audience expertise, and impact considerations. The organization integrates human oversight mechanisms where necessary and leverages explainability testing methods to validate the clarity and effectiveness of AI-generated explanations.</w:t>
            </w:r>
          </w:p>
          <w:p w14:paraId="452C9C21" w14:textId="77777777" w:rsidR="00963E47" w:rsidRPr="00963E47" w:rsidRDefault="00963E47" w:rsidP="004C3837">
            <w:pPr>
              <w:keepNext/>
              <w:rPr>
                <w:rFonts w:ascii="Aptos" w:hAnsi="Aptos" w:cs="Times New Roman"/>
                <w:b/>
                <w:bCs/>
                <w:color w:val="000000"/>
                <w:sz w:val="20"/>
                <w:szCs w:val="20"/>
              </w:rPr>
            </w:pPr>
          </w:p>
          <w:p w14:paraId="5B6E841D" w14:textId="77777777" w:rsidR="00963E47" w:rsidRPr="00963E47" w:rsidRDefault="00963E47" w:rsidP="004C3837">
            <w:pPr>
              <w:keepNext/>
              <w:rPr>
                <w:rFonts w:ascii="Aptos" w:hAnsi="Aptos" w:cs="Times New Roman"/>
                <w:b/>
                <w:bCs/>
                <w:color w:val="000000"/>
                <w:sz w:val="20"/>
                <w:szCs w:val="20"/>
              </w:rPr>
            </w:pPr>
            <w:hyperlink r:id="rId172" w:anchor="measure-2-9" w:history="1">
              <w:r w:rsidRPr="00963E47">
                <w:rPr>
                  <w:rFonts w:ascii="Aptos" w:hAnsi="Aptos" w:cs="Times New Roman"/>
                  <w:color w:val="000000"/>
                  <w:sz w:val="20"/>
                  <w:szCs w:val="20"/>
                  <w:u w:val="single"/>
                </w:rPr>
                <w:t>Link to NIST AI RMF Playbook</w:t>
              </w:r>
            </w:hyperlink>
          </w:p>
        </w:tc>
      </w:tr>
    </w:tbl>
    <w:p w14:paraId="5E4FFC65"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D9293FF"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3B44674B"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13D63799" w14:textId="77777777" w:rsidTr="005C00A5">
        <w:trPr>
          <w:tblHeader/>
        </w:trPr>
        <w:tc>
          <w:tcPr>
            <w:tcW w:w="2160" w:type="dxa"/>
            <w:shd w:val="clear" w:color="auto" w:fill="CCDCDC"/>
            <w:vAlign w:val="center"/>
          </w:tcPr>
          <w:p w14:paraId="4A3B70ED"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65681547"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6505352F"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39F0F3D2" w14:textId="77777777" w:rsidTr="005C00A5">
        <w:tc>
          <w:tcPr>
            <w:tcW w:w="2160" w:type="dxa"/>
            <w:shd w:val="clear" w:color="auto" w:fill="CCDCDC"/>
          </w:tcPr>
          <w:p w14:paraId="1C1FB52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0775B1C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932B90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11B6C4C0" w14:textId="77777777" w:rsidTr="005C00A5">
        <w:tc>
          <w:tcPr>
            <w:tcW w:w="2160" w:type="dxa"/>
            <w:shd w:val="clear" w:color="auto" w:fill="CCDCDC"/>
          </w:tcPr>
          <w:p w14:paraId="6BC6948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3C3E008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1A7E98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minimal stage begin to ensure that AI-generated outputs are interpreted in context, helping users understand how decisions were reached and their potential limitations, even for simple AI applications. Decision rationales are structured to be accessible to technical teams and end-users with basic AI knowledge, ensuring they generally align with the expected use case. Organizations start to integrate basic human oversight mechanisms where necessary and explore simple explainability testing methods to validate the clarity of AI-generated explanations.</w:t>
            </w:r>
          </w:p>
        </w:tc>
      </w:tr>
      <w:tr w:rsidR="00963E47" w:rsidRPr="00963E47" w14:paraId="39A5FAB6" w14:textId="77777777" w:rsidTr="005C00A5">
        <w:tc>
          <w:tcPr>
            <w:tcW w:w="2160" w:type="dxa"/>
            <w:shd w:val="clear" w:color="auto" w:fill="CCDCDC"/>
          </w:tcPr>
          <w:p w14:paraId="2BA6B20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3508537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B76DA6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evolving stage, organizations consistently ensure that AI-generated outputs are interpreted in context, helping users understand how decisions were reached and their potential </w:t>
            </w:r>
            <w:r w:rsidRPr="00963E47">
              <w:rPr>
                <w:rFonts w:ascii="Aptos" w:hAnsi="Aptos" w:cs="Times New Roman"/>
                <w:noProof/>
                <w:color w:val="auto"/>
                <w:sz w:val="20"/>
                <w:szCs w:val="20"/>
              </w:rPr>
              <w:lastRenderedPageBreak/>
              <w:t>limitations. Decision rationales are structured to be accessible to technical teams, end-users, and external stakeholders, ensuring they align with the expected use case, audience expertise, and impact considerations. The organization integrates human oversight mechanisms where necessary and leverages explainability testing methods to validate the clarity and effectiveness of AI-generated explanations.</w:t>
            </w:r>
          </w:p>
        </w:tc>
      </w:tr>
      <w:tr w:rsidR="00963E47" w:rsidRPr="00963E47" w14:paraId="08FC843F" w14:textId="77777777" w:rsidTr="005C00A5">
        <w:tc>
          <w:tcPr>
            <w:tcW w:w="2160" w:type="dxa"/>
            <w:shd w:val="clear" w:color="auto" w:fill="CCDCDC"/>
          </w:tcPr>
          <w:p w14:paraId="2F8FE8A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4: Embedded</w:t>
            </w:r>
          </w:p>
        </w:tc>
        <w:tc>
          <w:tcPr>
            <w:tcW w:w="1350" w:type="dxa"/>
          </w:tcPr>
          <w:p w14:paraId="3EDDA5B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82B1CC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continuously ensuring that AI-generated outputs are interpreted in context, helping users understand how decisions were reached and their potential limitations, with real-time structuring of decision rationales to be accessible to technical teams, end-users, and external stakeholders based on data-driven insights. The organization dynamically integrates human oversight mechanisms where necessary and leverages explainability testing methods to validate the clarity and effectiveness of AI-generated explanations, ensuring the highest level of proactive context-specific interpretation and stakeholder accessibility.</w:t>
            </w:r>
          </w:p>
        </w:tc>
      </w:tr>
    </w:tbl>
    <w:p w14:paraId="5A6A18F6"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47E65893" w14:textId="77777777" w:rsidTr="005C00A5">
        <w:tc>
          <w:tcPr>
            <w:tcW w:w="2250" w:type="dxa"/>
          </w:tcPr>
          <w:p w14:paraId="334C786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17B4A60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0851DF0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4D919D2A" w14:textId="77777777" w:rsidTr="005C00A5">
        <w:tc>
          <w:tcPr>
            <w:tcW w:w="2250" w:type="dxa"/>
          </w:tcPr>
          <w:p w14:paraId="6AE0E65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Explainable &amp; Interpretable</w:t>
            </w:r>
          </w:p>
        </w:tc>
        <w:tc>
          <w:tcPr>
            <w:tcW w:w="2520" w:type="dxa"/>
          </w:tcPr>
          <w:p w14:paraId="50F1FA9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Unexplained Decision Rationales</w:t>
            </w:r>
          </w:p>
        </w:tc>
        <w:tc>
          <w:tcPr>
            <w:tcW w:w="5300" w:type="dxa"/>
          </w:tcPr>
          <w:p w14:paraId="6E26477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AI-generated outputs are not interpreted and decision rationales are inaccessible</w:t>
            </w:r>
          </w:p>
        </w:tc>
      </w:tr>
    </w:tbl>
    <w:p w14:paraId="66473FC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666A83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3B50D1B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68999F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guidelines and processes for interpreting AI-generated outputs in context, helping users understand how decisions were reached and their potential limitations. Tailor decision rationales to be accessible to technical teams, end-users, and external stakeholders, considering factors such as the expected use case, audience expertise, and impact considerations.</w:t>
      </w:r>
    </w:p>
    <w:p w14:paraId="07E38B32"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F5FAC1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Integrate human oversight mechanisms where necessary to ensure that AI-generated outputs are properly interpreted and applied. Leverage explainability testing methods to validate the clarity and effectiveness of AI-generated explanations, and document the results of these tests. Establish feedback channels for users to report any concerns or issues with AI-generated outputs, and use this feedback to inform ongoing improvements to the system.</w:t>
      </w:r>
    </w:p>
    <w:p w14:paraId="5458FD23"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4F4164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5308B26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FB22F2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Contextual Interpretation and Explanation Framework</w:t>
      </w:r>
    </w:p>
    <w:p w14:paraId="41C7DB6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Create structured approaches and templates for presenting AI decision rationales, tailored to the use case, stakeholder audience, and potential impacts.</w:t>
      </w:r>
    </w:p>
    <w:p w14:paraId="2B3928B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ADC62C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Explanation templates customized for different audiences (technical, end-user, external).</w:t>
      </w:r>
    </w:p>
    <w:p w14:paraId="03C5514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guiding how to contextualize outputs, including limitations and uncertainty.</w:t>
      </w:r>
    </w:p>
    <w:p w14:paraId="43CB7EA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explanation frameworks.</w:t>
      </w:r>
    </w:p>
    <w:p w14:paraId="70C6F4E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Communication protocols for delivering rationales.</w:t>
      </w:r>
    </w:p>
    <w:p w14:paraId="1BAD53A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36DEC9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Decision Rationales and Accessibility</w:t>
      </w:r>
    </w:p>
    <w:p w14:paraId="0B19C03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Record detailed, structured explanations of AI decisions, including logic, data inputs, limitations, and relevant contextual information, ensuring they are understandable to the target audience to promote transparency and facilitate informed decision-making.</w:t>
      </w:r>
    </w:p>
    <w:p w14:paraId="75F088C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27BCF37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Explanation reports with clear narratives, visuals, and annotations.</w:t>
      </w:r>
    </w:p>
    <w:p w14:paraId="16D60C8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Models or post-hoc tools generating interpretable rationales.</w:t>
      </w:r>
    </w:p>
    <w:p w14:paraId="2CAA81A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Accessibility summaries or glossaries tailored to different user groups.</w:t>
      </w:r>
    </w:p>
    <w:p w14:paraId="243C1CB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Traceability matrices linking explanations to underlying model features and data.</w:t>
      </w:r>
    </w:p>
    <w:p w14:paraId="31264B6F"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528A89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of Human Oversight and Validation</w:t>
      </w:r>
    </w:p>
    <w:p w14:paraId="23D82C0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oversight mechanisms such as review gates, validation steps, and validation testing (e.g., explainability testing) to confirm explanations’ clarity and appropriateness to enhance user confidence in the AI system's decisions and outputs.</w:t>
      </w:r>
    </w:p>
    <w:p w14:paraId="371CEDF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BE2012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Human review records of explanation accuracy and comprehensibility.</w:t>
      </w:r>
    </w:p>
    <w:p w14:paraId="58525E7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Explainability testing results, including user feedback and cognitive load assessments.</w:t>
      </w:r>
    </w:p>
    <w:p w14:paraId="6AFF422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Validation reports documenting explanation effectiveness.</w:t>
      </w:r>
    </w:p>
    <w:p w14:paraId="5D9A28E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Protocols for escalating or refining explanations when issues are identified.</w:t>
      </w:r>
    </w:p>
    <w:p w14:paraId="7E2062F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B815BE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Monitoring and Feedback Incorporation</w:t>
      </w:r>
    </w:p>
    <w:p w14:paraId="6CB03D9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gather user and stakeholder feedback on explanation clarity and usefulness, updating explanation techniques and documentation accordingly to ensure that the provided information remains relevant and effective for the intended audience.</w:t>
      </w:r>
    </w:p>
    <w:p w14:paraId="4037569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601DA9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surveys and analysis reports.</w:t>
      </w:r>
    </w:p>
    <w:p w14:paraId="302A9BE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logs from deployment or incident reviews.</w:t>
      </w:r>
    </w:p>
    <w:p w14:paraId="6DAAF13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explanation documentation and training materials.</w:t>
      </w:r>
    </w:p>
    <w:p w14:paraId="51F482B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for ongoing explanation validation.</w:t>
      </w:r>
    </w:p>
    <w:p w14:paraId="2C47F8C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020CB8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Alignment with Use Case and Audience Expectations</w:t>
      </w:r>
    </w:p>
    <w:p w14:paraId="652BF77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Ensure explanations are tailored to the specific use case, audience expertise, and potential impacts, with documentation demonstrating this alignment to maximize the effectiveness of communication and foster trust among users and stakeholders.</w:t>
      </w:r>
    </w:p>
    <w:p w14:paraId="62C0934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0DDD8F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Audience-specific explanation templates and communication plans.</w:t>
      </w:r>
    </w:p>
    <w:p w14:paraId="29DA3A7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review and validation records confirming appropriateness.</w:t>
      </w:r>
    </w:p>
    <w:p w14:paraId="3402289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Use case and impact assessments informing explanation design.</w:t>
      </w:r>
    </w:p>
    <w:p w14:paraId="51DD2E7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demonstrating adaptation of explanations over time.</w:t>
      </w:r>
    </w:p>
    <w:p w14:paraId="2D4D12E8"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58" w:name="_Toc214874803"/>
      <w:r w:rsidRPr="00963E47">
        <w:rPr>
          <w:rFonts w:ascii="Aptos" w:eastAsia="Aptos" w:hAnsi="Aptos" w:cs="Times New Roman"/>
          <w:b/>
          <w:bCs/>
          <w:noProof/>
          <w:color w:val="35256B"/>
          <w:kern w:val="2"/>
          <w:sz w:val="24"/>
          <w14:ligatures w14:val="standardContextual"/>
        </w:rPr>
        <w:t>MEASURE / Evaluating AI Systems / Measuring Privacy</w:t>
      </w:r>
      <w:bookmarkEnd w:id="58"/>
      <w:r w:rsidRPr="00963E47">
        <w:rPr>
          <w:rFonts w:ascii="Aptos" w:eastAsia="Aptos" w:hAnsi="Aptos" w:cs="Times New Roman"/>
          <w:b/>
          <w:bCs/>
          <w:noProof/>
          <w:color w:val="35256B"/>
          <w:kern w:val="2"/>
          <w:sz w:val="24"/>
          <w14:ligatures w14:val="standardContextual"/>
        </w:rPr>
        <w:t xml:space="preserve"> </w:t>
      </w:r>
    </w:p>
    <w:p w14:paraId="00DB092E"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6DFBD45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710E1B5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37A2CC9A" w14:textId="77777777" w:rsidTr="005C00A5">
        <w:tc>
          <w:tcPr>
            <w:tcW w:w="1170" w:type="dxa"/>
          </w:tcPr>
          <w:p w14:paraId="453CE40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4C03C1C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472D806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239A9711" w14:textId="77777777" w:rsidTr="005C00A5">
        <w:tc>
          <w:tcPr>
            <w:tcW w:w="1170" w:type="dxa"/>
          </w:tcPr>
          <w:p w14:paraId="7B8FEEB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MS-2.10.1</w:t>
            </w:r>
          </w:p>
        </w:tc>
        <w:tc>
          <w:tcPr>
            <w:tcW w:w="2160" w:type="dxa"/>
          </w:tcPr>
          <w:p w14:paraId="5BC6846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Initial Privacy Risk Assessment</w:t>
            </w:r>
          </w:p>
        </w:tc>
        <w:tc>
          <w:tcPr>
            <w:tcW w:w="6740" w:type="dxa"/>
          </w:tcPr>
          <w:p w14:paraId="69D14E3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conducts an initial examination of the privacy risks associated with its AI systems, as identified during the MAP function, and documents the results of this examination, including any identified privacy issues, concerns, or potential violations specific to AI systems. It establishes accountability mechanisms for managing AI-related privacy risks and incidents, such as data breaches or unauthorized access, and assigns clear roles and responsibilities for privacy risk management.</w:t>
            </w:r>
          </w:p>
          <w:p w14:paraId="1DB33B33" w14:textId="77777777" w:rsidR="00963E47" w:rsidRPr="00963E47" w:rsidRDefault="00963E47" w:rsidP="004C3837">
            <w:pPr>
              <w:keepNext/>
              <w:rPr>
                <w:rFonts w:ascii="Aptos" w:hAnsi="Aptos" w:cs="Times New Roman"/>
                <w:b/>
                <w:bCs/>
                <w:color w:val="000000"/>
                <w:sz w:val="20"/>
                <w:szCs w:val="20"/>
              </w:rPr>
            </w:pPr>
          </w:p>
          <w:p w14:paraId="7FF2E07A" w14:textId="77777777" w:rsidR="00963E47" w:rsidRPr="00963E47" w:rsidRDefault="00963E47" w:rsidP="004C3837">
            <w:pPr>
              <w:keepNext/>
              <w:rPr>
                <w:rFonts w:ascii="Aptos" w:hAnsi="Aptos" w:cs="Times New Roman"/>
                <w:b/>
                <w:bCs/>
                <w:color w:val="000000"/>
                <w:sz w:val="20"/>
                <w:szCs w:val="20"/>
              </w:rPr>
            </w:pPr>
            <w:hyperlink r:id="rId173" w:anchor="measure-2-10" w:history="1">
              <w:r w:rsidRPr="00963E47">
                <w:rPr>
                  <w:rFonts w:ascii="Aptos" w:hAnsi="Aptos" w:cs="Times New Roman"/>
                  <w:color w:val="000000"/>
                  <w:sz w:val="20"/>
                  <w:szCs w:val="20"/>
                  <w:u w:val="single"/>
                </w:rPr>
                <w:t>Link to NIST AI RMF Playbook</w:t>
              </w:r>
            </w:hyperlink>
          </w:p>
        </w:tc>
      </w:tr>
    </w:tbl>
    <w:p w14:paraId="7CA22CA2"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4972B4C"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lastRenderedPageBreak/>
        <w:t>Adoption Stage Applicability:</w:t>
      </w:r>
      <w:r w:rsidRPr="00963E47">
        <w:rPr>
          <w:rFonts w:ascii="Aptos" w:eastAsia="Aptos" w:hAnsi="Aptos" w:cs="Times New Roman"/>
          <w:color w:val="C00000"/>
          <w:kern w:val="2"/>
          <w:sz w:val="20"/>
          <w:szCs w:val="20"/>
          <w14:ligatures w14:val="standardContextual"/>
        </w:rPr>
        <w:t xml:space="preserve"> </w:t>
      </w:r>
    </w:p>
    <w:p w14:paraId="66650AE7"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6E1476A3" w14:textId="77777777" w:rsidTr="005C00A5">
        <w:trPr>
          <w:tblHeader/>
        </w:trPr>
        <w:tc>
          <w:tcPr>
            <w:tcW w:w="2160" w:type="dxa"/>
            <w:shd w:val="clear" w:color="auto" w:fill="CCDCDC"/>
            <w:vAlign w:val="center"/>
          </w:tcPr>
          <w:p w14:paraId="4D602957"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7D1EDE3F"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24410974"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51227FB2" w14:textId="77777777" w:rsidTr="005C00A5">
        <w:tc>
          <w:tcPr>
            <w:tcW w:w="2160" w:type="dxa"/>
            <w:shd w:val="clear" w:color="auto" w:fill="CCDCDC"/>
          </w:tcPr>
          <w:p w14:paraId="221840B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17770C0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D159C8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initial stage conduct an initial examination of the privacy risks associated with their AI systems. They document the results of this examination, including any identified privacy issues, concerns, or potential violations specific to AI systems and establish basic accountability mechanisms for managing AI-related privacy risks.</w:t>
            </w:r>
          </w:p>
        </w:tc>
      </w:tr>
      <w:tr w:rsidR="00963E47" w:rsidRPr="00963E47" w14:paraId="0FF2CA2F" w14:textId="77777777" w:rsidTr="005C00A5">
        <w:tc>
          <w:tcPr>
            <w:tcW w:w="2160" w:type="dxa"/>
            <w:shd w:val="clear" w:color="auto" w:fill="CCDCDC"/>
          </w:tcPr>
          <w:p w14:paraId="3389A04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41D6FB7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F78FF9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minimal stage conduct a more detailed examination of the privacy risks associated with their AI systems. They document any identified privacy issues, concerns, or potential violations specific to AI systems and establish accountability mechanisms for managing AI-related privacy risks and incidents.</w:t>
            </w:r>
          </w:p>
        </w:tc>
      </w:tr>
      <w:tr w:rsidR="00963E47" w:rsidRPr="00963E47" w14:paraId="6BCE1EA6" w14:textId="77777777" w:rsidTr="005C00A5">
        <w:tc>
          <w:tcPr>
            <w:tcW w:w="2160" w:type="dxa"/>
            <w:shd w:val="clear" w:color="auto" w:fill="CCDCDC"/>
          </w:tcPr>
          <w:p w14:paraId="70431DB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59D757C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5507CB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conduct an initial examination of the privacy risks associated with their AI systems, as identified during the MAP function, and comprehensively document the results of this examination, including any identified privacy issues, concerns, or potential violations specific to AI systems. The organization establishes accountability mechanisms for managing AI-related privacy risks and incidents, such as data breaches or unauthorized access, and assigns clear roles and responsibilities for privacy risk management.</w:t>
            </w:r>
          </w:p>
        </w:tc>
      </w:tr>
      <w:tr w:rsidR="00963E47" w:rsidRPr="00963E47" w14:paraId="6BF01AC8" w14:textId="77777777" w:rsidTr="005C00A5">
        <w:tc>
          <w:tcPr>
            <w:tcW w:w="2160" w:type="dxa"/>
            <w:shd w:val="clear" w:color="auto" w:fill="CCDCDC"/>
          </w:tcPr>
          <w:p w14:paraId="5D7AA4C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4510B52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D03200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continuously conducting an initial examination of the privacy risks associated with their AI systems, as identified during the MAP function, and dynamically documenting the results of this examination, including any identified privacy issues, concerns, or potential violations specific to AI systems, with real-time updates based on data-driven insights. The organization establishes accountability mechanisms for managing AI-related privacy risks and incidents, such as data breaches or unauthorized access, and assigns clear roles and responsibilities for privacy risk management, ensuring the highest level of proactive privacy risk identification and management.</w:t>
            </w:r>
          </w:p>
        </w:tc>
      </w:tr>
    </w:tbl>
    <w:p w14:paraId="754068FC"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7D941260" w14:textId="77777777" w:rsidTr="005C00A5">
        <w:tc>
          <w:tcPr>
            <w:tcW w:w="2250" w:type="dxa"/>
          </w:tcPr>
          <w:p w14:paraId="43086EF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3596482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615B107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005541D8" w14:textId="77777777" w:rsidTr="005C00A5">
        <w:tc>
          <w:tcPr>
            <w:tcW w:w="2250" w:type="dxa"/>
          </w:tcPr>
          <w:p w14:paraId="3491E8F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Privacy-Enhanced</w:t>
            </w:r>
          </w:p>
        </w:tc>
        <w:tc>
          <w:tcPr>
            <w:tcW w:w="2520" w:type="dxa"/>
          </w:tcPr>
          <w:p w14:paraId="5CA2D10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Unexamined Privacy Risks</w:t>
            </w:r>
          </w:p>
        </w:tc>
        <w:tc>
          <w:tcPr>
            <w:tcW w:w="5300" w:type="dxa"/>
          </w:tcPr>
          <w:p w14:paraId="6D3AB59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Privacy risks are not examined, documented, or managed for AI systems</w:t>
            </w:r>
          </w:p>
        </w:tc>
      </w:tr>
    </w:tbl>
    <w:p w14:paraId="61CBA2C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C31A08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76E89EF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527DCA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a process for conducting an initial examination of the privacy risks associated with AI systems, as identified during the MAP function. Develop a standardized methodology for this examination, including criteria for evaluating the severity and likelihood of identified privacy issues, concerns, or potential violations specific to AI systems.</w:t>
      </w:r>
    </w:p>
    <w:p w14:paraId="7548A1A5"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7E6E32D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Document the results of the initial privacy risk examination, including a clear description of each identified risk, its potential impact on individuals and the organization, and any recommended mitigation strategies. Establish accountability mechanisms for managing AI-related privacy risks and incidents, such as data breaches or unauthorized access, and assign clear roles and responsibilities for privacy risk management to ensure that identified risks are properly addressed.</w:t>
      </w:r>
    </w:p>
    <w:p w14:paraId="64A27FA2"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90755F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397A0F6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AAE4D2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of a Formal Privacy Risk Examination</w:t>
      </w:r>
    </w:p>
    <w:p w14:paraId="2BD3478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and execute a structured process to evaluate privacy risks associated with AI systems, focusing on data handling, consent, access controls, and potential privacy violations.</w:t>
      </w:r>
    </w:p>
    <w:p w14:paraId="636C0F3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391610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Privacy risk assessment protocols aligned with privacy standards and legal requirements.</w:t>
      </w:r>
    </w:p>
    <w:p w14:paraId="3B449A3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identified privacy issues, concerns, or violations specific to AI.</w:t>
      </w:r>
    </w:p>
    <w:p w14:paraId="51DD2B2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registers highlighting privacy vulnerabilities.</w:t>
      </w:r>
    </w:p>
    <w:p w14:paraId="2CCDB56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examination reports.</w:t>
      </w:r>
    </w:p>
    <w:p w14:paraId="6AB55E1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AE7E6E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Privacy Risks and Concerns</w:t>
      </w:r>
    </w:p>
    <w:p w14:paraId="3D93305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Record findings related to privacy issues, potential violations, and concerns, with detailed descriptions, risk levels, and contextual information to create a comprehensive understanding of the privacy landscape surrounding AI systems.</w:t>
      </w:r>
    </w:p>
    <w:p w14:paraId="52B291C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78FA27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Privacy risk logs with descriptions, severity, and affected data or individuals.</w:t>
      </w:r>
    </w:p>
    <w:p w14:paraId="4C59606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Impact analysis reports on privacy violations or potential breaches.</w:t>
      </w:r>
    </w:p>
    <w:p w14:paraId="1BD4958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flow diagrams illustrating privacy-sensitive data.</w:t>
      </w:r>
    </w:p>
    <w:p w14:paraId="45793FC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7905FB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Establishment of Accountability Mechanisms</w:t>
      </w:r>
    </w:p>
    <w:p w14:paraId="58B44EE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Define and formalize accountability structures and procedures for managing AI-related privacy risks, including incident response, breach management, and data security protocols to ensure preparedness and effective handling of privacy incidents.</w:t>
      </w:r>
    </w:p>
    <w:p w14:paraId="184333C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52646E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Privacy governance policies detailing roles and responsibilities.</w:t>
      </w:r>
    </w:p>
    <w:p w14:paraId="087B4EE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response plans specific to privacy breaches.</w:t>
      </w:r>
    </w:p>
    <w:p w14:paraId="7D8DFFB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Appointment letters or role descriptions for privacy officers or data protection officers.</w:t>
      </w:r>
    </w:p>
    <w:p w14:paraId="4B9780C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Escalation and communication protocols for privacy incidents.</w:t>
      </w:r>
    </w:p>
    <w:p w14:paraId="0E34D4E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BD742C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Clear Assignment of Roles and Responsibilities</w:t>
      </w:r>
    </w:p>
    <w:p w14:paraId="2C29CF5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Assign specific roles for privacy risk management, including monitoring, enforcement, incident investigation, and reporting, with documented responsibilities to clarify expectations and promote accountability across the organization.</w:t>
      </w:r>
    </w:p>
    <w:p w14:paraId="5B0430E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AD4976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Responsibility matrices or RACI charts.</w:t>
      </w:r>
    </w:p>
    <w:p w14:paraId="58C259C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records emphasizing privacy responsibilities.</w:t>
      </w:r>
    </w:p>
    <w:p w14:paraId="32FB536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Standard operating procedures (SOPs) for privacy incident handling.</w:t>
      </w:r>
    </w:p>
    <w:p w14:paraId="6EBB790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Role-specific KPIs linked to privacy management.</w:t>
      </w:r>
    </w:p>
    <w:p w14:paraId="291EB68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A4CCFFB"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Ongoing Monitoring, Review, and Improvement</w:t>
      </w:r>
    </w:p>
    <w:p w14:paraId="0FD3847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revisit privacy risk assessments, incident management procedures, and roles to incorporate lessons learned, policy updates, and evolving threats, ensuring dynamic risk management that adapts to changing circumstances and improves overall privacy protection.</w:t>
      </w:r>
    </w:p>
    <w:p w14:paraId="408E5AA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0383E5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and meeting minutes with updates.</w:t>
      </w:r>
    </w:p>
    <w:p w14:paraId="78BD482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logs and post-incident reports to inform improvements.</w:t>
      </w:r>
    </w:p>
    <w:p w14:paraId="10850BB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policies and procedures reflecting new risks or standards.</w:t>
      </w:r>
    </w:p>
    <w:p w14:paraId="5B1FD49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stakeholders on privacy risk handling effectiveness.</w:t>
      </w:r>
    </w:p>
    <w:p w14:paraId="6F2B3530"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67A46334"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287EA9F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1E4B4E0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64EF1D59" w14:textId="77777777" w:rsidTr="005C00A5">
        <w:tc>
          <w:tcPr>
            <w:tcW w:w="1170" w:type="dxa"/>
          </w:tcPr>
          <w:p w14:paraId="49FD78E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1C14E4C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6899877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0C1260AA" w14:textId="77777777" w:rsidTr="005C00A5">
        <w:tc>
          <w:tcPr>
            <w:tcW w:w="1170" w:type="dxa"/>
          </w:tcPr>
          <w:p w14:paraId="4445CAD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MS-2.10.2</w:t>
            </w:r>
          </w:p>
        </w:tc>
        <w:tc>
          <w:tcPr>
            <w:tcW w:w="2160" w:type="dxa"/>
          </w:tcPr>
          <w:p w14:paraId="4484002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Ongoing AI Privacy Risk Assessment, Monitoring, and Verification</w:t>
            </w:r>
          </w:p>
        </w:tc>
        <w:tc>
          <w:tcPr>
            <w:tcW w:w="6740" w:type="dxa"/>
          </w:tcPr>
          <w:p w14:paraId="17060A9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conducts ongoing privacy risk assessments, and actively monitors and verifies privacy risks throughout the AI lifecycle. This includes techniques such as PIAs, data flow mapping, adversarial testing, and re-identification risk analysis, focusing on risks like re-identification, inadvertent data leaks, or malicious data exfiltration through AI system outputs. These activities evaluate and verify the effectiveness of privacy controls, including anonymization methods, with findings documented and used to continuously improve privacy safeguards and risk management practices.</w:t>
            </w:r>
          </w:p>
          <w:p w14:paraId="5DD22950" w14:textId="77777777" w:rsidR="00963E47" w:rsidRPr="00963E47" w:rsidRDefault="00963E47" w:rsidP="004C3837">
            <w:pPr>
              <w:keepNext/>
              <w:rPr>
                <w:rFonts w:ascii="Aptos" w:hAnsi="Aptos" w:cs="Times New Roman"/>
                <w:b/>
                <w:bCs/>
                <w:color w:val="000000"/>
                <w:sz w:val="20"/>
                <w:szCs w:val="20"/>
              </w:rPr>
            </w:pPr>
          </w:p>
          <w:p w14:paraId="6287BAB3" w14:textId="77777777" w:rsidR="00963E47" w:rsidRPr="00963E47" w:rsidRDefault="00963E47" w:rsidP="004C3837">
            <w:pPr>
              <w:keepNext/>
              <w:rPr>
                <w:rFonts w:ascii="Aptos" w:hAnsi="Aptos" w:cs="Times New Roman"/>
                <w:b/>
                <w:bCs/>
                <w:color w:val="000000"/>
                <w:sz w:val="20"/>
                <w:szCs w:val="20"/>
              </w:rPr>
            </w:pPr>
            <w:hyperlink r:id="rId174" w:anchor="measure-2-10" w:history="1">
              <w:r w:rsidRPr="00963E47">
                <w:rPr>
                  <w:rFonts w:ascii="Aptos" w:hAnsi="Aptos" w:cs="Times New Roman"/>
                  <w:color w:val="000000"/>
                  <w:sz w:val="20"/>
                  <w:szCs w:val="20"/>
                  <w:u w:val="single"/>
                </w:rPr>
                <w:t>Link to NIST AI RMF Playbook</w:t>
              </w:r>
            </w:hyperlink>
          </w:p>
        </w:tc>
      </w:tr>
    </w:tbl>
    <w:p w14:paraId="381301FF"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C405BDE"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5C113162"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32737BF0" w14:textId="77777777" w:rsidTr="005C00A5">
        <w:trPr>
          <w:tblHeader/>
        </w:trPr>
        <w:tc>
          <w:tcPr>
            <w:tcW w:w="2160" w:type="dxa"/>
            <w:shd w:val="clear" w:color="auto" w:fill="CCDCDC"/>
            <w:vAlign w:val="center"/>
          </w:tcPr>
          <w:p w14:paraId="1AA05F5C"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15770F56"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13941197"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398D8586" w14:textId="77777777" w:rsidTr="005C00A5">
        <w:tc>
          <w:tcPr>
            <w:tcW w:w="2160" w:type="dxa"/>
            <w:shd w:val="clear" w:color="auto" w:fill="CCDCDC"/>
          </w:tcPr>
          <w:p w14:paraId="136674D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5C9E117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7119BA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053B3171" w14:textId="77777777" w:rsidTr="005C00A5">
        <w:tc>
          <w:tcPr>
            <w:tcW w:w="2160" w:type="dxa"/>
            <w:shd w:val="clear" w:color="auto" w:fill="CCDCDC"/>
          </w:tcPr>
          <w:p w14:paraId="05484B7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4182AE6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D6A61E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minimal stage start to conduct initial privacy risk assessments for their AI systems throughout the AI lifecycle. This includes examining risks, such as re-identification and inadvertent data leaks through AI system outputs. privacy impact assessments and data flow mapping are leveraged to evaluate and verify the effectiveness of privacy controls.</w:t>
            </w:r>
          </w:p>
        </w:tc>
      </w:tr>
      <w:tr w:rsidR="00963E47" w:rsidRPr="00963E47" w14:paraId="42B3D517" w14:textId="77777777" w:rsidTr="005C00A5">
        <w:tc>
          <w:tcPr>
            <w:tcW w:w="2160" w:type="dxa"/>
            <w:shd w:val="clear" w:color="auto" w:fill="CCDCDC"/>
          </w:tcPr>
          <w:p w14:paraId="4AE470F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38CDFD4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179A4C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conduct ongoing privacy risk assessments and actively monitor, verify, and manage privacy risks throughout the AI system lifecycle. This focuses on unique AI privacy challenges (e.g., re-identification, inferential capabilities, opacity) and employs techniques like data flow mapping, PIAs, sensitivity analysis, privacy audits, and technical assessments to detect breaches and ensure the effectiveness of anonymization methods. Findings are comprehensively documented and used to continuously improve privacy safeguards and risk management practices, reflecting an active commitment to privacy as AI systems are used in more contexts.</w:t>
            </w:r>
          </w:p>
        </w:tc>
      </w:tr>
      <w:tr w:rsidR="00963E47" w:rsidRPr="00963E47" w14:paraId="71C1D204" w14:textId="77777777" w:rsidTr="005C00A5">
        <w:tc>
          <w:tcPr>
            <w:tcW w:w="2160" w:type="dxa"/>
            <w:shd w:val="clear" w:color="auto" w:fill="CCDCDC"/>
          </w:tcPr>
          <w:p w14:paraId="0802A8E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6917503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E6CDF5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utilize advanced, automated processes for continuously conducting ongoing privacy risk assessments and dynamically managing privacy risks throughout the AI system lifecycle. This includes real-time employment of techniques like data flow mapping, PIAs, sensitivity analysis, comprehensive privacy audits, advanced adversarial testing, and continuous technical assessments to identify evolving threats, detect breaches, and ensure stringent privacy guarantees across all AI systems. Findings are dynamically documented, controls are continuously refined based on the latest threat intelligence, and the organization proactively ensures the highest level of ongoing protection against evolving privacy threats.</w:t>
            </w:r>
          </w:p>
        </w:tc>
      </w:tr>
    </w:tbl>
    <w:p w14:paraId="33A2DE7D"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182756CD" w14:textId="77777777" w:rsidTr="005C00A5">
        <w:tc>
          <w:tcPr>
            <w:tcW w:w="2250" w:type="dxa"/>
          </w:tcPr>
          <w:p w14:paraId="0A3E1EC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lastRenderedPageBreak/>
              <w:t>AI Principle</w:t>
            </w:r>
          </w:p>
        </w:tc>
        <w:tc>
          <w:tcPr>
            <w:tcW w:w="2520" w:type="dxa"/>
          </w:tcPr>
          <w:p w14:paraId="0C2F891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16AA23A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5A0F1AE0" w14:textId="77777777" w:rsidTr="005C00A5">
        <w:tc>
          <w:tcPr>
            <w:tcW w:w="2250" w:type="dxa"/>
          </w:tcPr>
          <w:p w14:paraId="3839BDB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Privacy-Enhanced</w:t>
            </w:r>
          </w:p>
        </w:tc>
        <w:tc>
          <w:tcPr>
            <w:tcW w:w="2520" w:type="dxa"/>
          </w:tcPr>
          <w:p w14:paraId="1A307EC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Unassessed or Unmonitored AI Privacy Risks</w:t>
            </w:r>
          </w:p>
        </w:tc>
        <w:tc>
          <w:tcPr>
            <w:tcW w:w="5300" w:type="dxa"/>
          </w:tcPr>
          <w:p w14:paraId="517D96C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privacy risks are not regularly assessed, actively monitored, verified, or managed throughout the lifecycle</w:t>
            </w:r>
          </w:p>
        </w:tc>
      </w:tr>
    </w:tbl>
    <w:p w14:paraId="1086EC8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32BBE4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602F39C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EC76F0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 process for conducting ongoing privacy risk assessments, monitoring, and verification activities throughout the AI system lifecycle, specifically addressing AI's unique privacy challenges. Utilize a range of techniques including data flow mapping, Privacy Impact Assessments (PIAs), sensitivity analysis, re-identification risk analysis, privacy audits, adversarial testing, and technical assessments to identify, evaluate, and continuously monitor evolving privacy risks.</w:t>
      </w:r>
    </w:p>
    <w:p w14:paraId="13FBA8E1"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88A75D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a clear schedule for these activities, considering factors such as system complexity, data sensitivity, the pace of change in the privacy risk landscape, and the effectiveness of existing privacy controls. Document all findings, including identified vulnerabilities, control effectiveness, and any changes in the privacy risk landscape.</w:t>
      </w:r>
    </w:p>
    <w:p w14:paraId="32D77221"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E42183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Use these documented findings to continuously improve AI privacy safeguards, refine controls, adjust technical measures, and prevent data leaks, breaches, or re-identification risks. Establish clear protocols for timely escalation and remediation of identified privacy issues. Integrate privacy metrics into ongoing risk management frameworks and ensure that all privacy verification results inform system updates and governance reviews.</w:t>
      </w:r>
    </w:p>
    <w:p w14:paraId="18A86AC6"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014F18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0E8228A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25E3E0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a Continuous Privacy Risk Assessment Framework</w:t>
      </w:r>
    </w:p>
    <w:p w14:paraId="647E3E3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formal processes, tools, and methodologies for ongoing risk assessments covering the entire AI lifecycle, incorporating methods like PIAs, data flow analysis, adversarial testing, and re-identification evaluation.</w:t>
      </w:r>
    </w:p>
    <w:p w14:paraId="5A260CF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0CB332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Standardized assessment protocols aligned with privacy standards.</w:t>
      </w:r>
    </w:p>
    <w:p w14:paraId="0E76EC9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flow diagrams and mappings tracking personal data throughout the system.</w:t>
      </w:r>
    </w:p>
    <w:p w14:paraId="035FFD6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assessment templates and schedules.</w:t>
      </w:r>
    </w:p>
    <w:p w14:paraId="148950D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mitigation checklists linked to assessment outcomes.</w:t>
      </w:r>
    </w:p>
    <w:p w14:paraId="72F01AD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041B50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Application of Key Techniques in Ongoing Assessments</w:t>
      </w:r>
    </w:p>
    <w:p w14:paraId="73CAC1C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apply privacy evaluation techniques—such as PIAs, data flow analysis, adversarial testing, and re-identification risk analysis—to identify vulnerabilities and evaluate control effectiveness to ensure robust protection of personal data throughout the AI lifecycle.</w:t>
      </w:r>
    </w:p>
    <w:p w14:paraId="4477FEC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A74FAB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Completed PIAs with updates reflecting new system features or data sources.</w:t>
      </w:r>
    </w:p>
    <w:p w14:paraId="04C33F1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flow diagrams illustrating data handling, processing, and storage.</w:t>
      </w:r>
    </w:p>
    <w:p w14:paraId="5156F09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Results from adversarial testing aimed at de-anonymization or data leakage.</w:t>
      </w:r>
    </w:p>
    <w:p w14:paraId="0F5908B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Re-identification risk assessments showing residual exposure levels.</w:t>
      </w:r>
    </w:p>
    <w:p w14:paraId="65B0BE0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877196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and Tracking of Findings and Improvements</w:t>
      </w:r>
    </w:p>
    <w:p w14:paraId="1C16CF8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Record assessment results, identified risks, control weaknesses, and corresponding mitigation actions, ensuring traceability and transparency to create an accountable framework for managing privacy risks and enhancing stakeholder trust.</w:t>
      </w:r>
    </w:p>
    <w:p w14:paraId="3225181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41AB36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logs and assessment reports with documented findings.</w:t>
      </w:r>
    </w:p>
    <w:p w14:paraId="1F60557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tracking systems for implementing privacy controls or process changes.</w:t>
      </w:r>
    </w:p>
    <w:p w14:paraId="4DBBD68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privacy policies and technical controls based on findings.</w:t>
      </w:r>
    </w:p>
    <w:p w14:paraId="3A20DAA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Audit trails of assessments, reviews, and improvement efforts.</w:t>
      </w:r>
    </w:p>
    <w:p w14:paraId="1970C63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6719A8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Verification and Validation of Privacy Controls</w:t>
      </w:r>
    </w:p>
    <w:p w14:paraId="1F42FA4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Periodically verify the effectiveness of protections like anonymization techniques, data masking, and access controls through testing and validation activities to confirm that privacy safeguards are functioning as intended and mitigating potential risks effectively.</w:t>
      </w:r>
    </w:p>
    <w:p w14:paraId="678739B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9BE4B3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Validation test reports demonstrating anonymization effectiveness.</w:t>
      </w:r>
    </w:p>
    <w:p w14:paraId="2457809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Re-evaluation of re-identification risks over time.</w:t>
      </w:r>
    </w:p>
    <w:p w14:paraId="4BED59B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Security and privacy control audit results.</w:t>
      </w:r>
    </w:p>
    <w:p w14:paraId="6B972C5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reports revealing residual vulnerabilities.</w:t>
      </w:r>
    </w:p>
    <w:p w14:paraId="218D49FF"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45C724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Ongoing Review and Adaptation of Privacy Strategies</w:t>
      </w:r>
    </w:p>
    <w:p w14:paraId="299837C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review assessment outcomes to adapt privacy safeguards and practices to evolving threats, system changes, and lessons learned to maintain up-to-date defenses against privacy risks and ensure compliance with relevant regulations.</w:t>
      </w:r>
    </w:p>
    <w:p w14:paraId="4FA0930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E3637A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with documented updates.</w:t>
      </w:r>
    </w:p>
    <w:p w14:paraId="610305D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logs from privacy incidents or assessments.</w:t>
      </w:r>
    </w:p>
    <w:p w14:paraId="4C0518E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risk assessments reflecting new vulnerabilities or mitigations.</w:t>
      </w:r>
    </w:p>
    <w:p w14:paraId="7A99F89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Adjusted policies and controls informed by assessment insights.</w:t>
      </w:r>
    </w:p>
    <w:p w14:paraId="7FE19C8D"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0D3FD153"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644E199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2339B2A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2C34F2D4" w14:textId="77777777" w:rsidTr="005C00A5">
        <w:tc>
          <w:tcPr>
            <w:tcW w:w="1170" w:type="dxa"/>
          </w:tcPr>
          <w:p w14:paraId="77871B2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1529EF1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04C59D6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1509A596" w14:textId="77777777" w:rsidTr="005C00A5">
        <w:tc>
          <w:tcPr>
            <w:tcW w:w="1170" w:type="dxa"/>
          </w:tcPr>
          <w:p w14:paraId="06548A8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MS-2.10.3</w:t>
            </w:r>
          </w:p>
        </w:tc>
        <w:tc>
          <w:tcPr>
            <w:tcW w:w="2160" w:type="dxa"/>
          </w:tcPr>
          <w:p w14:paraId="7452486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Data Consent and Management</w:t>
            </w:r>
          </w:p>
        </w:tc>
        <w:tc>
          <w:tcPr>
            <w:tcW w:w="6740" w:type="dxa"/>
          </w:tcPr>
          <w:p w14:paraId="13AFC96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establishes procedures for tracking and managing data subject consent, including documenting consent statuses, handling data access requests, and ensuring compliance with legal and regulatory requirements. These procedures prevent use of withdrawn or erased data both during training and post-deployment.</w:t>
            </w:r>
          </w:p>
          <w:p w14:paraId="59CEE469" w14:textId="77777777" w:rsidR="00963E47" w:rsidRPr="00963E47" w:rsidRDefault="00963E47" w:rsidP="004C3837">
            <w:pPr>
              <w:keepNext/>
              <w:rPr>
                <w:rFonts w:ascii="Aptos" w:hAnsi="Aptos" w:cs="Times New Roman"/>
                <w:b/>
                <w:bCs/>
                <w:color w:val="000000"/>
                <w:sz w:val="20"/>
                <w:szCs w:val="20"/>
              </w:rPr>
            </w:pPr>
          </w:p>
          <w:p w14:paraId="711D887A" w14:textId="77777777" w:rsidR="00963E47" w:rsidRPr="00963E47" w:rsidRDefault="00963E47" w:rsidP="004C3837">
            <w:pPr>
              <w:keepNext/>
              <w:rPr>
                <w:rFonts w:ascii="Aptos" w:hAnsi="Aptos" w:cs="Times New Roman"/>
                <w:b/>
                <w:bCs/>
                <w:color w:val="000000"/>
                <w:sz w:val="20"/>
                <w:szCs w:val="20"/>
              </w:rPr>
            </w:pPr>
            <w:hyperlink r:id="rId175" w:anchor="measure-2-10" w:history="1">
              <w:r w:rsidRPr="00963E47">
                <w:rPr>
                  <w:rFonts w:ascii="Aptos" w:hAnsi="Aptos" w:cs="Times New Roman"/>
                  <w:color w:val="000000"/>
                  <w:sz w:val="20"/>
                  <w:szCs w:val="20"/>
                  <w:u w:val="single"/>
                </w:rPr>
                <w:t>Link to NIST AI RMF Playbook</w:t>
              </w:r>
            </w:hyperlink>
          </w:p>
        </w:tc>
      </w:tr>
    </w:tbl>
    <w:p w14:paraId="2E22294F"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F978FEB"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24790A82"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79A573FB" w14:textId="77777777" w:rsidTr="005C00A5">
        <w:trPr>
          <w:tblHeader/>
        </w:trPr>
        <w:tc>
          <w:tcPr>
            <w:tcW w:w="2160" w:type="dxa"/>
            <w:shd w:val="clear" w:color="auto" w:fill="CCDCDC"/>
            <w:vAlign w:val="center"/>
          </w:tcPr>
          <w:p w14:paraId="5294D280"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325C57F6"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1BA73B95"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324B785E" w14:textId="77777777" w:rsidTr="005C00A5">
        <w:tc>
          <w:tcPr>
            <w:tcW w:w="2160" w:type="dxa"/>
            <w:shd w:val="clear" w:color="auto" w:fill="CCDCDC"/>
          </w:tcPr>
          <w:p w14:paraId="5B5F4E8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7253A17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0D668D6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3FB327E0" w14:textId="77777777" w:rsidTr="005C00A5">
        <w:tc>
          <w:tcPr>
            <w:tcW w:w="2160" w:type="dxa"/>
            <w:shd w:val="clear" w:color="auto" w:fill="CCDCDC"/>
          </w:tcPr>
          <w:p w14:paraId="145580B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2F37F32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076FC2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C7AE29E" w14:textId="77777777" w:rsidTr="005C00A5">
        <w:tc>
          <w:tcPr>
            <w:tcW w:w="2160" w:type="dxa"/>
            <w:shd w:val="clear" w:color="auto" w:fill="CCDCDC"/>
          </w:tcPr>
          <w:p w14:paraId="570D847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3C9F4C4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63F10F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establish procedures for tracking and managing data subject consent, including documenting consent statuses and handling data access requests, reflecting the increasing importance of compliance as AI systems use sensitive data. These procedures prevent the use of withdrawn or erased data both during training and post-deployment.</w:t>
            </w:r>
          </w:p>
        </w:tc>
      </w:tr>
      <w:tr w:rsidR="00963E47" w:rsidRPr="00963E47" w14:paraId="78F23612" w14:textId="77777777" w:rsidTr="005C00A5">
        <w:tc>
          <w:tcPr>
            <w:tcW w:w="2160" w:type="dxa"/>
            <w:shd w:val="clear" w:color="auto" w:fill="CCDCDC"/>
          </w:tcPr>
          <w:p w14:paraId="1154B02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78F6793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2963EC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embedded stage, organizations maintain comprehensive and automated procedures for proactively tracking and managing data subject consent, including detailed documentation of consent statuses and seamless handling of data access requests, ensuring proactive compliance with legal and regulatory requirements. These </w:t>
            </w:r>
            <w:r w:rsidRPr="00963E47">
              <w:rPr>
                <w:rFonts w:ascii="Aptos" w:hAnsi="Aptos" w:cs="Times New Roman"/>
                <w:noProof/>
                <w:color w:val="auto"/>
                <w:sz w:val="20"/>
                <w:szCs w:val="20"/>
              </w:rPr>
              <w:lastRenderedPageBreak/>
              <w:t>procedures prevent the use of withdrawn or erased data both during training and post-deployment, demonstrating a commitment to respecting data subject rights and maintaining data integrity across all AI-driven processes.</w:t>
            </w:r>
          </w:p>
        </w:tc>
      </w:tr>
    </w:tbl>
    <w:p w14:paraId="7F114712"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39862F83" w14:textId="77777777" w:rsidTr="005C00A5">
        <w:tc>
          <w:tcPr>
            <w:tcW w:w="2250" w:type="dxa"/>
          </w:tcPr>
          <w:p w14:paraId="54E08B8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45559BF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004D88C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075374E1" w14:textId="77777777" w:rsidTr="005C00A5">
        <w:tc>
          <w:tcPr>
            <w:tcW w:w="2250" w:type="dxa"/>
          </w:tcPr>
          <w:p w14:paraId="6BD984E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12CCE27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Untracked Consent Requests</w:t>
            </w:r>
          </w:p>
        </w:tc>
        <w:tc>
          <w:tcPr>
            <w:tcW w:w="5300" w:type="dxa"/>
          </w:tcPr>
          <w:p w14:paraId="5917F65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Data subject consent and access requests are not properly tracked</w:t>
            </w:r>
          </w:p>
        </w:tc>
      </w:tr>
    </w:tbl>
    <w:p w14:paraId="27B7917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8543EC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62F902C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5EC65C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and implement comprehensive procedures for tracking, documenting, and managing data subject consent across all data use stages. This includes establishing systems to record consent statuses, handle data access requests, and process rectification or erasure requests promptly and accurately. Ensure that these procedures are transparent and aligned with legal and regulatory requirements, such as GDPR or CCPA, to uphold data rights and build stakeholder confidence.</w:t>
      </w:r>
    </w:p>
    <w:p w14:paraId="590898AB"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9D5C61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Regularly review and update consent management processes to adapt to changing regulations, organizational practices, and stakeholder expectations. Integrate mechanisms to prevent the use or processing of data from individuals who have withdrawn consent or requested data deletion, both during model training and after deployment.</w:t>
      </w:r>
    </w:p>
    <w:p w14:paraId="591E3940"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787299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17542BF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326E0D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Consent Management Procedures and Documentation</w:t>
      </w:r>
    </w:p>
    <w:p w14:paraId="558D8B7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Create formal procedures and templates for recording, updating, and verifying consent statuses, aligned with legal and regulatory standards.</w:t>
      </w:r>
    </w:p>
    <w:p w14:paraId="322B9CB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E27B51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Standardized consent forms and digital records with version control.</w:t>
      </w:r>
    </w:p>
    <w:p w14:paraId="645B8F1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Processes for documenting consent statuses, withdrawal requests, and data erasure actions.</w:t>
      </w:r>
    </w:p>
    <w:p w14:paraId="278E689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Policies defining data subject rights and compliance obligations.</w:t>
      </w:r>
    </w:p>
    <w:p w14:paraId="1D4F118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manuals outlining consent management protocols.</w:t>
      </w:r>
    </w:p>
    <w:p w14:paraId="7D60CD2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5ABFC5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Tracking and Updating Consent Statuses</w:t>
      </w:r>
    </w:p>
    <w:p w14:paraId="31FD142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systems to continually monitor, record, and update data subject consent statuses, ensuring accurate reflection in data handling to maintain compliance with legal and other standards regarding data usage.</w:t>
      </w:r>
    </w:p>
    <w:p w14:paraId="54FA5DD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3EE631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Centralized consent databases with audit trails.</w:t>
      </w:r>
    </w:p>
    <w:p w14:paraId="0B5B168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Automated workflows for handling withdrawal or erasure requests.</w:t>
      </w:r>
    </w:p>
    <w:p w14:paraId="407B4DD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Logs documenting update timestamps and responsible actions.</w:t>
      </w:r>
    </w:p>
    <w:p w14:paraId="55654DE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verifying status accuracy during data processing.</w:t>
      </w:r>
    </w:p>
    <w:p w14:paraId="2A6A5DE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DA034B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Handling Data Access and Erasure Requests</w:t>
      </w:r>
    </w:p>
    <w:p w14:paraId="161412C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processes for responding to data access, correction, and erasure requests promptly, documenting actions taken to ensure transparency and accountability in data subject rights management.</w:t>
      </w:r>
    </w:p>
    <w:p w14:paraId="1B200C4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7846A1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Request logs with timestamps and resolution details.</w:t>
      </w:r>
    </w:p>
    <w:p w14:paraId="6DE6F42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Response templates for data access and erasure communications.</w:t>
      </w:r>
    </w:p>
    <w:p w14:paraId="5032844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data deletion or correction actions aligned with requests.</w:t>
      </w:r>
    </w:p>
    <w:p w14:paraId="3D0912C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logs demonstrating compliance with timeframes.</w:t>
      </w:r>
    </w:p>
    <w:p w14:paraId="2022094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4C9B57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Ensuring Use of Compliant Data and Erased Data in Training and Deployment</w:t>
      </w:r>
    </w:p>
    <w:p w14:paraId="5944631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processes to prevent the use of withdrawn or erased data during training, validation, and deployment, verifying the effectiveness of data filtering controls to safeguard against unintended breaches of privacy and ensure compliance with consent agreements.</w:t>
      </w:r>
    </w:p>
    <w:p w14:paraId="2F9930C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2F2406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filtering and validation logs.</w:t>
      </w:r>
    </w:p>
    <w:p w14:paraId="429E7D8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pipeline checks ensuring only compliant data is used.</w:t>
      </w:r>
    </w:p>
    <w:p w14:paraId="5542550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Periodic audits of datasets for compliance with consent status.</w:t>
      </w:r>
    </w:p>
    <w:p w14:paraId="6CC57F4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retraining models with updated, consent-compliant data.</w:t>
      </w:r>
    </w:p>
    <w:p w14:paraId="6FAFCEE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6A1828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Periodic Review and Continuous Improvement of Consent Management</w:t>
      </w:r>
    </w:p>
    <w:p w14:paraId="3D18822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Schedule regular reviews of consent processes and systems, incorporating lessons learned, regulatory updates, and stakeholder feedback to improve data governance and enhance the effectiveness of consent management strategies.</w:t>
      </w:r>
    </w:p>
    <w:p w14:paraId="7046E71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B1C490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meeting minutes and update logs.</w:t>
      </w:r>
    </w:p>
    <w:p w14:paraId="372A6C2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reports assessing compliance and data handling accuracy.</w:t>
      </w:r>
    </w:p>
    <w:p w14:paraId="71831F0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data subjects or compliance officers.</w:t>
      </w:r>
    </w:p>
    <w:p w14:paraId="4E4B399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Revisions to procedures and system configurations based on review findings.</w:t>
      </w:r>
    </w:p>
    <w:p w14:paraId="36ED706F"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59" w:name="_Toc214874804"/>
      <w:r w:rsidRPr="00963E47">
        <w:rPr>
          <w:rFonts w:ascii="Aptos" w:eastAsia="Aptos" w:hAnsi="Aptos" w:cs="Times New Roman"/>
          <w:b/>
          <w:bCs/>
          <w:noProof/>
          <w:color w:val="35256B"/>
          <w:kern w:val="2"/>
          <w:sz w:val="24"/>
          <w14:ligatures w14:val="standardContextual"/>
        </w:rPr>
        <w:t>MEASURE / Evaluating AI Systems / Measuring Nondiscrimination</w:t>
      </w:r>
      <w:bookmarkEnd w:id="59"/>
      <w:r w:rsidRPr="00963E47">
        <w:rPr>
          <w:rFonts w:ascii="Aptos" w:eastAsia="Aptos" w:hAnsi="Aptos" w:cs="Times New Roman"/>
          <w:b/>
          <w:bCs/>
          <w:noProof/>
          <w:color w:val="35256B"/>
          <w:kern w:val="2"/>
          <w:sz w:val="24"/>
          <w14:ligatures w14:val="standardContextual"/>
        </w:rPr>
        <w:t xml:space="preserve"> </w:t>
      </w:r>
    </w:p>
    <w:p w14:paraId="4DFF2199"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4FB8CB2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7F56E94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2B4B0C76" w14:textId="77777777" w:rsidTr="005C00A5">
        <w:tc>
          <w:tcPr>
            <w:tcW w:w="1170" w:type="dxa"/>
          </w:tcPr>
          <w:p w14:paraId="443FBBD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5C15A40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4542B5F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0C22C785" w14:textId="77777777" w:rsidTr="005C00A5">
        <w:tc>
          <w:tcPr>
            <w:tcW w:w="1170" w:type="dxa"/>
          </w:tcPr>
          <w:p w14:paraId="7929D4E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MS-2.11.1</w:t>
            </w:r>
          </w:p>
        </w:tc>
        <w:tc>
          <w:tcPr>
            <w:tcW w:w="2160" w:type="dxa"/>
          </w:tcPr>
          <w:p w14:paraId="54D940B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Context-Specific Fairness and Bias Evaluation</w:t>
            </w:r>
          </w:p>
        </w:tc>
        <w:tc>
          <w:tcPr>
            <w:tcW w:w="6740" w:type="dxa"/>
          </w:tcPr>
          <w:p w14:paraId="2D94792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conducts evaluations of fairness and bias in its AI systems, focusing on any regulatory requirements and the risks and potential impacts identified during the MAP function. The organization employs techniques and tools to assess fairness and bias, examining potential sources of bias throughout the AI lifecycle, including systemic bias, statistical and computational bias, and human cognitive bias. Based on the evaluation results, the organization develops and implements strategies to mitigate or manage identified biases and fairness issues. The organization documents the results of its fairness and bias evaluations, including identified issues and mitigation strategies.</w:t>
            </w:r>
          </w:p>
          <w:p w14:paraId="33F7E039" w14:textId="77777777" w:rsidR="00963E47" w:rsidRPr="00963E47" w:rsidRDefault="00963E47" w:rsidP="004C3837">
            <w:pPr>
              <w:keepNext/>
              <w:rPr>
                <w:rFonts w:ascii="Aptos" w:hAnsi="Aptos" w:cs="Times New Roman"/>
                <w:b/>
                <w:bCs/>
                <w:color w:val="000000"/>
                <w:sz w:val="20"/>
                <w:szCs w:val="20"/>
              </w:rPr>
            </w:pPr>
          </w:p>
          <w:p w14:paraId="4761C080" w14:textId="77777777" w:rsidR="00963E47" w:rsidRPr="00963E47" w:rsidRDefault="00963E47" w:rsidP="004C3837">
            <w:pPr>
              <w:keepNext/>
              <w:rPr>
                <w:rFonts w:ascii="Aptos" w:hAnsi="Aptos" w:cs="Times New Roman"/>
                <w:b/>
                <w:bCs/>
                <w:color w:val="000000"/>
                <w:sz w:val="20"/>
                <w:szCs w:val="20"/>
              </w:rPr>
            </w:pPr>
            <w:hyperlink r:id="rId176" w:anchor="measure-2-11" w:history="1">
              <w:r w:rsidRPr="00963E47">
                <w:rPr>
                  <w:rFonts w:ascii="Aptos" w:hAnsi="Aptos" w:cs="Times New Roman"/>
                  <w:color w:val="000000"/>
                  <w:sz w:val="20"/>
                  <w:szCs w:val="20"/>
                  <w:u w:val="single"/>
                </w:rPr>
                <w:t>Link to NIST AI RMF Playbook</w:t>
              </w:r>
            </w:hyperlink>
          </w:p>
        </w:tc>
      </w:tr>
    </w:tbl>
    <w:p w14:paraId="2D4CE4B4"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9EE8762"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4ECCAB11"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78BD5797" w14:textId="77777777" w:rsidTr="005C00A5">
        <w:trPr>
          <w:tblHeader/>
        </w:trPr>
        <w:tc>
          <w:tcPr>
            <w:tcW w:w="2160" w:type="dxa"/>
            <w:shd w:val="clear" w:color="auto" w:fill="CCDCDC"/>
            <w:vAlign w:val="center"/>
          </w:tcPr>
          <w:p w14:paraId="1CCB9DBE"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4A6F5172"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2B9470EF"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5B29A53F" w14:textId="77777777" w:rsidTr="005C00A5">
        <w:tc>
          <w:tcPr>
            <w:tcW w:w="2160" w:type="dxa"/>
            <w:shd w:val="clear" w:color="auto" w:fill="CCDCDC"/>
          </w:tcPr>
          <w:p w14:paraId="12D622B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3BFF48E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B9CD87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initial stage, organizations begin to conduct a preliminary evaluation of fairness and bias in their AI systems, even if limited in scope. They employ basic techniques to identify potential sources of bias, and document the results. Establishing this awareness early is crucial, even if formal mitigation strategies aren't immediately implemented.</w:t>
            </w:r>
          </w:p>
        </w:tc>
      </w:tr>
      <w:tr w:rsidR="00963E47" w:rsidRPr="00963E47" w14:paraId="50EE2BC8" w14:textId="77777777" w:rsidTr="005C00A5">
        <w:tc>
          <w:tcPr>
            <w:tcW w:w="2160" w:type="dxa"/>
            <w:shd w:val="clear" w:color="auto" w:fill="CCDCDC"/>
          </w:tcPr>
          <w:p w14:paraId="67B5556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329B13E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256A46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Organizations at the minimal stage conduct initial evaluations of fairness and bias on its AI systems. They employ simple techniques and tools to assess fairness and bias and begin examining potential </w:t>
            </w:r>
            <w:r w:rsidRPr="00963E47">
              <w:rPr>
                <w:rFonts w:ascii="Aptos" w:hAnsi="Aptos" w:cs="Times New Roman"/>
                <w:noProof/>
                <w:color w:val="auto"/>
                <w:sz w:val="20"/>
                <w:szCs w:val="20"/>
              </w:rPr>
              <w:lastRenderedPageBreak/>
              <w:t>sources of bias throughout the AI lifecycle. Based on these preliminary evaluation results, organizations start to develop and implement basic strategies to mitigate or manage identified biases and fairness issues, and document the results of its fairness and bias evaluations.</w:t>
            </w:r>
          </w:p>
        </w:tc>
      </w:tr>
      <w:tr w:rsidR="00963E47" w:rsidRPr="00963E47" w14:paraId="40AE26B9" w14:textId="77777777" w:rsidTr="005C00A5">
        <w:tc>
          <w:tcPr>
            <w:tcW w:w="2160" w:type="dxa"/>
            <w:shd w:val="clear" w:color="auto" w:fill="CCDCDC"/>
          </w:tcPr>
          <w:p w14:paraId="5C12771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3: Evolving</w:t>
            </w:r>
          </w:p>
        </w:tc>
        <w:tc>
          <w:tcPr>
            <w:tcW w:w="1350" w:type="dxa"/>
          </w:tcPr>
          <w:p w14:paraId="4B70941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8EEEAB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consistently conduct evaluations of fairness and bias in their AI systems, focusing on the risks and potential impacts identified during the MAP function. The organization employs techniques and tools to assess fairness and bias, examining potential sources of bias throughout the AI lifecycle. Based on the evaluation results, the organization develops and implements strategies to mitigate or manage identified biases and fairness issues. The organization comprehensively documents the results of its fairness and bias evaluations, including identified issues and mitigation strategies.</w:t>
            </w:r>
          </w:p>
        </w:tc>
      </w:tr>
      <w:tr w:rsidR="00963E47" w:rsidRPr="00963E47" w14:paraId="4673C67A" w14:textId="77777777" w:rsidTr="005C00A5">
        <w:tc>
          <w:tcPr>
            <w:tcW w:w="2160" w:type="dxa"/>
            <w:shd w:val="clear" w:color="auto" w:fill="CCDCDC"/>
          </w:tcPr>
          <w:p w14:paraId="7410574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31F22BD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288D58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continuously conducting evaluations of fairness and bias in their AI systems, focusing on the risks and potential impacts identified during the MAP function, with real-time employment of techniques and tools to assess fairness and bias, examining potential sources of bias throughout the AI lifecycle based on data-driven insights. Based on the evaluation results, the organization dynamically develops and implements strategies to mitigate or manage identified biases and fairness issues. The organization dynamically documents the results of its fairness and bias evaluations, including identified issues and mitigation strategies, ensuring the highest level of proactive fairness and bias assessment and management.</w:t>
            </w:r>
          </w:p>
        </w:tc>
      </w:tr>
    </w:tbl>
    <w:p w14:paraId="6291FF86"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10393B42" w14:textId="77777777" w:rsidTr="005C00A5">
        <w:tc>
          <w:tcPr>
            <w:tcW w:w="2250" w:type="dxa"/>
          </w:tcPr>
          <w:p w14:paraId="1604A34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4AF8AE5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4145076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1E3E1EF7" w14:textId="77777777" w:rsidTr="005C00A5">
        <w:tc>
          <w:tcPr>
            <w:tcW w:w="2250" w:type="dxa"/>
          </w:tcPr>
          <w:p w14:paraId="7EA301B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Fair</w:t>
            </w:r>
          </w:p>
        </w:tc>
        <w:tc>
          <w:tcPr>
            <w:tcW w:w="2520" w:type="dxa"/>
          </w:tcPr>
          <w:p w14:paraId="4E8649F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Unconducted Fairness Evaluations</w:t>
            </w:r>
          </w:p>
        </w:tc>
        <w:tc>
          <w:tcPr>
            <w:tcW w:w="5300" w:type="dxa"/>
          </w:tcPr>
          <w:p w14:paraId="10D032E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Context-specific fairness and bias evaluations are not conducted or documented for AI systems</w:t>
            </w:r>
          </w:p>
        </w:tc>
      </w:tr>
    </w:tbl>
    <w:p w14:paraId="5036A90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BFFF77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05C6773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9D835A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Establish a process for conducting context-specific evaluations of fairness and bias in AI systems, focusing on the risks and potential impacts identified during the MAP function. It is also helpful to have clear definitions of systemic, computational, and human cognitive bias. Areas of increased risk tend to include lending and employment applications. Develop a standardized methodology for these evaluations, including the selection and use of appropriate techniques and tools to assess fairness and bias at various stages of the AI lifecycle. </w:t>
      </w:r>
    </w:p>
    <w:p w14:paraId="668FE644"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981B64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Document the results of fairness and bias evaluations, including identified issues, potential sources of bias, and recommended mitigation strategies while addressing any applicable regulatory reporting requirements. Use these findings to inform the development and implementation of targeted interventions to address identified biases and fairness concerns, such as data preprocessing techniques, model adjustments, or post-processing methods.</w:t>
      </w:r>
    </w:p>
    <w:p w14:paraId="403B0AD3"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41B279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10CB2ED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DCFC2A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Fairness and Bias Evaluation Framework</w:t>
      </w:r>
    </w:p>
    <w:p w14:paraId="066C038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Create formal procedures, criteria, and tools for assessing fairness and bias across the AI lifecycle, aligned with regulatory requirements and organizational risk thresholds.</w:t>
      </w:r>
    </w:p>
    <w:p w14:paraId="78D0DB2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7F73C04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Standardized assessment protocols covering data, model, and output biases.</w:t>
      </w:r>
    </w:p>
    <w:p w14:paraId="16A459A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Criteria checklists for bias detection tailored to use cases.</w:t>
      </w:r>
    </w:p>
    <w:p w14:paraId="3A10513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evaluation frameworks.</w:t>
      </w:r>
    </w:p>
    <w:p w14:paraId="1F091E0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Guidelines for identifying bias sources at each stage.</w:t>
      </w:r>
    </w:p>
    <w:p w14:paraId="3BD2957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8BDC22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Application of Bias and Fairness Testing Techniques</w:t>
      </w:r>
    </w:p>
    <w:p w14:paraId="42CE925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validated techniques such as statistical bias testing, fairness metrics, adversarial testing, and data audits to systematically evaluate biases and fairness throughout development and deployment</w:t>
      </w:r>
    </w:p>
    <w:p w14:paraId="09D1A9B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B699B1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 reports displaying fairness and bias metrics (e.g., demographic parity, equal opportunity).</w:t>
      </w:r>
    </w:p>
    <w:p w14:paraId="2D6F9C9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audit logs identifying biased data sources or features.</w:t>
      </w:r>
    </w:p>
    <w:p w14:paraId="2DD83C6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Results from adversarial or scenario-based bias tests.</w:t>
      </w:r>
    </w:p>
    <w:p w14:paraId="5B912D0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Model validation reports highlighting fairness issues.</w:t>
      </w:r>
    </w:p>
    <w:p w14:paraId="6B7A476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D131C8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Evaluation Results and Issues</w:t>
      </w:r>
    </w:p>
    <w:p w14:paraId="713A51A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Record findings from bias and fairness assessments, including mapped issues, sources, and severity, providing a basis for risk management and mitigation planning</w:t>
      </w:r>
    </w:p>
    <w:p w14:paraId="655BD2C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EB2FFF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Bias assessment reports with detailed issue descriptions.</w:t>
      </w:r>
    </w:p>
    <w:p w14:paraId="0412FD2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registers linking fairness issues with potential impacts.</w:t>
      </w:r>
    </w:p>
    <w:p w14:paraId="67877BA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Source analysis including data, model, or implementation-related biases.</w:t>
      </w:r>
    </w:p>
    <w:p w14:paraId="539F29A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Issue tracking dashboards.</w:t>
      </w:r>
    </w:p>
    <w:p w14:paraId="1C0ECFA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F41128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and Implementation of Bias Mitigation Strategies</w:t>
      </w:r>
    </w:p>
    <w:p w14:paraId="7E70D59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Based on evaluation outcomes, design and execute mitigation actions such as data balancing, model adjustments, or policy changes, documenting decisions and actions take</w:t>
      </w:r>
    </w:p>
    <w:p w14:paraId="49BE777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AF8FA7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Bias mitigation plans with assigned responsibilities.</w:t>
      </w:r>
    </w:p>
    <w:p w14:paraId="2CACE3C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Model retraining or data augmentation records.</w:t>
      </w:r>
    </w:p>
    <w:p w14:paraId="7FABD0A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Policy updates affecting fairness considerations.</w:t>
      </w:r>
    </w:p>
    <w:p w14:paraId="7D70F58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Follow-up testing to verify mitigation effectiveness.</w:t>
      </w:r>
    </w:p>
    <w:p w14:paraId="7187377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B68D0A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Ongoing Monitoring, Review, and Improvement</w:t>
      </w:r>
    </w:p>
    <w:p w14:paraId="2F1AC9C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Continuously monitor bias and fairness metrics post-deployment, review evaluation processes periodically, and refine mitigation strategies based on new insights, regulations, and lessons learned</w:t>
      </w:r>
    </w:p>
    <w:p w14:paraId="31BBA90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750C4F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dashboards tracking fairness metrics over time.</w:t>
      </w:r>
    </w:p>
    <w:p w14:paraId="40A20E6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Regular review reports assessing bias levels and mitigation success.</w:t>
      </w:r>
    </w:p>
    <w:p w14:paraId="240E6B5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documentation from bias-related incidents.</w:t>
      </w:r>
    </w:p>
    <w:p w14:paraId="5839BD9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Revisions to evaluation frameworks guided by evolving standards.</w:t>
      </w:r>
    </w:p>
    <w:p w14:paraId="3A2BAF96"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60" w:name="_Toc214874805"/>
      <w:r w:rsidRPr="00963E47">
        <w:rPr>
          <w:rFonts w:ascii="Aptos" w:eastAsia="Aptos" w:hAnsi="Aptos" w:cs="Times New Roman"/>
          <w:b/>
          <w:bCs/>
          <w:noProof/>
          <w:color w:val="35256B"/>
          <w:kern w:val="2"/>
          <w:sz w:val="24"/>
          <w14:ligatures w14:val="standardContextual"/>
        </w:rPr>
        <w:lastRenderedPageBreak/>
        <w:t>MEASURE / Evaluating AI Systems / Measuring Resource Efficiency</w:t>
      </w:r>
      <w:bookmarkEnd w:id="60"/>
      <w:r w:rsidRPr="00963E47">
        <w:rPr>
          <w:rFonts w:ascii="Aptos" w:eastAsia="Aptos" w:hAnsi="Aptos" w:cs="Times New Roman"/>
          <w:b/>
          <w:bCs/>
          <w:noProof/>
          <w:color w:val="35256B"/>
          <w:kern w:val="2"/>
          <w:sz w:val="24"/>
          <w14:ligatures w14:val="standardContextual"/>
        </w:rPr>
        <w:t xml:space="preserve"> </w:t>
      </w:r>
    </w:p>
    <w:p w14:paraId="38FBE3E3"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32623F8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7E2AE8A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125CFC3A" w14:textId="77777777" w:rsidTr="005C00A5">
        <w:tc>
          <w:tcPr>
            <w:tcW w:w="1170" w:type="dxa"/>
          </w:tcPr>
          <w:p w14:paraId="4F2BBEE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5C48AB4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6ADF44B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3C36B08B" w14:textId="77777777" w:rsidTr="005C00A5">
        <w:tc>
          <w:tcPr>
            <w:tcW w:w="1170" w:type="dxa"/>
          </w:tcPr>
          <w:p w14:paraId="1444F06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MS-2.12.1</w:t>
            </w:r>
          </w:p>
        </w:tc>
        <w:tc>
          <w:tcPr>
            <w:tcW w:w="2160" w:type="dxa"/>
          </w:tcPr>
          <w:p w14:paraId="33C73CC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Resource Efficiency Assessment</w:t>
            </w:r>
          </w:p>
        </w:tc>
        <w:tc>
          <w:tcPr>
            <w:tcW w:w="6740" w:type="dxa"/>
          </w:tcPr>
          <w:p w14:paraId="7D73F30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conducts an assessment of the resource efficiency of its AI systems across their entire lifecycle. This assessment evaluates energy consumption, resource utilization, and the efficiency of AI infrastructure. The results are documented, including identified opportunities for optimization.</w:t>
            </w:r>
          </w:p>
          <w:p w14:paraId="643EADED" w14:textId="77777777" w:rsidR="00963E47" w:rsidRPr="00963E47" w:rsidRDefault="00963E47" w:rsidP="004C3837">
            <w:pPr>
              <w:keepNext/>
              <w:rPr>
                <w:rFonts w:ascii="Aptos" w:hAnsi="Aptos" w:cs="Times New Roman"/>
                <w:b/>
                <w:bCs/>
                <w:color w:val="000000"/>
                <w:sz w:val="20"/>
                <w:szCs w:val="20"/>
              </w:rPr>
            </w:pPr>
          </w:p>
          <w:p w14:paraId="53A35668" w14:textId="77777777" w:rsidR="00963E47" w:rsidRPr="00963E47" w:rsidRDefault="00963E47" w:rsidP="004C3837">
            <w:pPr>
              <w:keepNext/>
              <w:rPr>
                <w:rFonts w:ascii="Aptos" w:hAnsi="Aptos" w:cs="Times New Roman"/>
                <w:b/>
                <w:bCs/>
                <w:color w:val="000000"/>
                <w:sz w:val="20"/>
                <w:szCs w:val="20"/>
              </w:rPr>
            </w:pPr>
            <w:hyperlink r:id="rId177" w:anchor="measure-2-12" w:history="1">
              <w:r w:rsidRPr="00963E47">
                <w:rPr>
                  <w:rFonts w:ascii="Aptos" w:hAnsi="Aptos" w:cs="Times New Roman"/>
                  <w:color w:val="000000"/>
                  <w:sz w:val="20"/>
                  <w:szCs w:val="20"/>
                  <w:u w:val="single"/>
                </w:rPr>
                <w:t>Link to NIST AI RMF Playbook</w:t>
              </w:r>
            </w:hyperlink>
          </w:p>
        </w:tc>
      </w:tr>
    </w:tbl>
    <w:p w14:paraId="191F9964"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C4C6372"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49900F9D"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633024A7" w14:textId="77777777" w:rsidTr="005C00A5">
        <w:trPr>
          <w:tblHeader/>
        </w:trPr>
        <w:tc>
          <w:tcPr>
            <w:tcW w:w="2160" w:type="dxa"/>
            <w:shd w:val="clear" w:color="auto" w:fill="CCDCDC"/>
            <w:vAlign w:val="center"/>
          </w:tcPr>
          <w:p w14:paraId="36B3D5F9"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2C24866D"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1045DCB1"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5AC998A0" w14:textId="77777777" w:rsidTr="005C00A5">
        <w:tc>
          <w:tcPr>
            <w:tcW w:w="2160" w:type="dxa"/>
            <w:shd w:val="clear" w:color="auto" w:fill="CCDCDC"/>
          </w:tcPr>
          <w:p w14:paraId="48FAF6E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5EDEECC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92DBD7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3CF00E9D" w14:textId="77777777" w:rsidTr="005C00A5">
        <w:tc>
          <w:tcPr>
            <w:tcW w:w="2160" w:type="dxa"/>
            <w:shd w:val="clear" w:color="auto" w:fill="CCDCDC"/>
          </w:tcPr>
          <w:p w14:paraId="02F126A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7864265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5208DE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minimal stage begin to assess the resource efficiency of their AI systems. This assessment can evaluate energy consumption and resource utilization, and the results are documented, allowing basic opportunities for optimization to be tracked.</w:t>
            </w:r>
          </w:p>
        </w:tc>
      </w:tr>
      <w:tr w:rsidR="00963E47" w:rsidRPr="00963E47" w14:paraId="59962093" w14:textId="77777777" w:rsidTr="005C00A5">
        <w:tc>
          <w:tcPr>
            <w:tcW w:w="2160" w:type="dxa"/>
            <w:shd w:val="clear" w:color="auto" w:fill="CCDCDC"/>
          </w:tcPr>
          <w:p w14:paraId="606D6C0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60D573C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7C8489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consistently conduct an assessment of the resource efficiency of their AI systems across their entire lifecycle. This assessment evaluates energy consumption, resource utilization, and the efficiency of AI infrastructure. The results are comprehensively documented, including identified opportunities for optimization.</w:t>
            </w:r>
          </w:p>
        </w:tc>
      </w:tr>
      <w:tr w:rsidR="00963E47" w:rsidRPr="00963E47" w14:paraId="5A0B2BE0" w14:textId="77777777" w:rsidTr="005C00A5">
        <w:tc>
          <w:tcPr>
            <w:tcW w:w="2160" w:type="dxa"/>
            <w:shd w:val="clear" w:color="auto" w:fill="CCDCDC"/>
          </w:tcPr>
          <w:p w14:paraId="6F6C7F2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30567CD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0FF37C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continuously conducting an assessment of the resource efficiency of their AI systems across their entire lifecycle, with real-time evaluation of energy consumption, resource utilization, and the efficiency of AI infrastructure based on data-driven insights. The results are dynamically documented, including identified opportunities for optimization, ensuring the highest level of proactive resource efficiency assessment and optimization.</w:t>
            </w:r>
          </w:p>
        </w:tc>
      </w:tr>
    </w:tbl>
    <w:p w14:paraId="799F09C3"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31C5134D" w14:textId="77777777" w:rsidTr="005C00A5">
        <w:tc>
          <w:tcPr>
            <w:tcW w:w="2250" w:type="dxa"/>
          </w:tcPr>
          <w:p w14:paraId="65467DE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5C587E0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49E6AE9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17162F7D" w14:textId="77777777" w:rsidTr="005C00A5">
        <w:tc>
          <w:tcPr>
            <w:tcW w:w="2250" w:type="dxa"/>
          </w:tcPr>
          <w:p w14:paraId="7082442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507D0AB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Unassessed AI Resource Efficiency</w:t>
            </w:r>
          </w:p>
        </w:tc>
        <w:tc>
          <w:tcPr>
            <w:tcW w:w="5300" w:type="dxa"/>
          </w:tcPr>
          <w:p w14:paraId="681209F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resource efficiency is not assessed for AI systems</w:t>
            </w:r>
          </w:p>
        </w:tc>
      </w:tr>
    </w:tbl>
    <w:p w14:paraId="49289C8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60B051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5FCF602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1A9A53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a process for conducting an assessment of the resource efficiency of AI systems across their entire lifecycle. Develop a standardized methodology for this assessment, including the identification of key metrics and data sources for evaluating energy consumption, resource utilization, and the efficiency of AI infrastructure.</w:t>
      </w:r>
    </w:p>
    <w:p w14:paraId="54342D62"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70BDF2D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Document the results of the resource efficiency assessment, including a clear description of the current state of the organization's AI systems, identified opportunities for optimization, and recommendations for improvement. Use this </w:t>
      </w:r>
      <w:r w:rsidRPr="00963E47">
        <w:rPr>
          <w:rFonts w:ascii="Aptos" w:eastAsia="Aptos" w:hAnsi="Aptos" w:cs="Times New Roman"/>
          <w:noProof/>
          <w:color w:val="auto"/>
          <w:kern w:val="2"/>
          <w:sz w:val="20"/>
          <w:szCs w:val="20"/>
          <w14:ligatures w14:val="standardContextual"/>
        </w:rPr>
        <w:lastRenderedPageBreak/>
        <w:t>documentation to inform the development of strategies and initiatives aimed at improving the resource efficiency of the organization's AI systems.</w:t>
      </w:r>
    </w:p>
    <w:p w14:paraId="421A5E67"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8A45AB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24396C1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9F44BA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Environmental and Sustainability Assessment Protocols</w:t>
      </w:r>
    </w:p>
    <w:p w14:paraId="3C07205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formal procedures and metrics for evaluating environmental impacts—such as energy consumption, carbon emissions, and resource utilization—aligned with organizational sustainability standards.</w:t>
      </w:r>
    </w:p>
    <w:p w14:paraId="78702E7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2B3D0B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Assessment protocols specifying scope, metrics, and data sources.</w:t>
      </w:r>
    </w:p>
    <w:p w14:paraId="475BDB5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Checklists for evaluating lifecycle stages and infrastructure efficiency.</w:t>
      </w:r>
    </w:p>
    <w:p w14:paraId="29FB96E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Templates for recording energy and resource metrics.</w:t>
      </w:r>
    </w:p>
    <w:p w14:paraId="33D88F5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assessment procedures.</w:t>
      </w:r>
    </w:p>
    <w:p w14:paraId="15FF75F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45C4BA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Data Collection and Monitoring of Environmental Metrics</w:t>
      </w:r>
    </w:p>
    <w:p w14:paraId="63CF533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Collect data across the entire AI lifecycle, including training, deployment, and maintenance phases, on energy use, resource consumption, and carbon footprint to gain a comprehensive understanding of the environmental impact of AI operations.</w:t>
      </w:r>
    </w:p>
    <w:p w14:paraId="23B7F6A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37EAC8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Energy consumption logs and carbon emission reports.</w:t>
      </w:r>
    </w:p>
    <w:p w14:paraId="0DAC950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Infrastructure monitoring dashboards tracking efficiency metrics.</w:t>
      </w:r>
    </w:p>
    <w:p w14:paraId="30DED27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on hardware utilization and lifecycle resource demands.</w:t>
      </w:r>
    </w:p>
    <w:p w14:paraId="6F3BEDC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Automated tools with environmental impact tracking features.</w:t>
      </w:r>
    </w:p>
    <w:p w14:paraId="691EA68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7E6F61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Analysis of Findings and Optimization Opportunities</w:t>
      </w:r>
    </w:p>
    <w:p w14:paraId="527B858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Analyze collected data to identify inefficiencies, high-impact areas, and opportunities to improve sustainability practices to enhance the organization’s resource management and reduce ecological impact.</w:t>
      </w:r>
    </w:p>
    <w:p w14:paraId="67BF711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661D39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Impact analysis reports highlighting energy and resource hotspots.</w:t>
      </w:r>
    </w:p>
    <w:p w14:paraId="61FF6B6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Scenario modeling on potential efficiency improvements.</w:t>
      </w:r>
    </w:p>
    <w:p w14:paraId="1EC8FC1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Benchmarking against industry standards or best practices.</w:t>
      </w:r>
    </w:p>
    <w:p w14:paraId="1F7B700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review of sustainability strategies.</w:t>
      </w:r>
    </w:p>
    <w:p w14:paraId="5D863B9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1A9421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Assessment Results and Improvement Plans</w:t>
      </w:r>
    </w:p>
    <w:p w14:paraId="555A0AB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Record assessment findings, identified improvement opportunities, and planned actions for optimization to facilitate transparency and accountability in the organization’s commitment to resource efficiency and sustainability.</w:t>
      </w:r>
    </w:p>
    <w:p w14:paraId="7A5A8A9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E8496C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Sustainability impact reports with quantified metrics.</w:t>
      </w:r>
    </w:p>
    <w:p w14:paraId="3F9A3AB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plans for infrastructure upgrades or process changes.</w:t>
      </w:r>
    </w:p>
    <w:p w14:paraId="1ACB959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for deploying efficiency measures.</w:t>
      </w:r>
    </w:p>
    <w:p w14:paraId="0F3769A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Documented targets and KPIs for ongoing sustainability monitoring.</w:t>
      </w:r>
    </w:p>
    <w:p w14:paraId="5BDDC9D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6944B1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and Continuous Improvement of Sustainability Practices</w:t>
      </w:r>
    </w:p>
    <w:p w14:paraId="6210937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Incorporate assessment results into capacity planning, system design, and deployment strategies, continually refining practices based on monitoring, new technologies, and best practices to ensure that AI systems operate as efficiently and sustainably as possible.</w:t>
      </w:r>
    </w:p>
    <w:p w14:paraId="30F6BA6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459469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sustainability frameworks and policies.</w:t>
      </w:r>
    </w:p>
    <w:p w14:paraId="6FF6453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Progress reports tracking improvement initiatives.</w:t>
      </w:r>
    </w:p>
    <w:p w14:paraId="55CAC69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Training materials on sustainable AI practices.</w:t>
      </w:r>
    </w:p>
    <w:p w14:paraId="5F3281A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and review meeting minutes.</w:t>
      </w:r>
    </w:p>
    <w:p w14:paraId="2FA5A15D"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002C4C9F"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3E842F7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701D37C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4A602128" w14:textId="77777777" w:rsidTr="005C00A5">
        <w:tc>
          <w:tcPr>
            <w:tcW w:w="1170" w:type="dxa"/>
          </w:tcPr>
          <w:p w14:paraId="2BF0BB5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4D4F8C0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7FBB2AA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31BAC711" w14:textId="77777777" w:rsidTr="005C00A5">
        <w:tc>
          <w:tcPr>
            <w:tcW w:w="1170" w:type="dxa"/>
          </w:tcPr>
          <w:p w14:paraId="64E4E94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MS-2.12.2</w:t>
            </w:r>
          </w:p>
        </w:tc>
        <w:tc>
          <w:tcPr>
            <w:tcW w:w="2160" w:type="dxa"/>
          </w:tcPr>
          <w:p w14:paraId="3CD70CC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Metrics and Monitoring of AI Resource Efficiency</w:t>
            </w:r>
          </w:p>
        </w:tc>
        <w:tc>
          <w:tcPr>
            <w:tcW w:w="6740" w:type="dxa"/>
          </w:tcPr>
          <w:p w14:paraId="21123E6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establishes metrics and monitoring processes to track the effectiveness of its AI resource efficiency efforts. It regularly reviews and updates its resource efficiency assessment and optimization strategies based on new data, technologies, and best practices in efficient AI.</w:t>
            </w:r>
          </w:p>
          <w:p w14:paraId="53EFF464" w14:textId="77777777" w:rsidR="00963E47" w:rsidRPr="00963E47" w:rsidRDefault="00963E47" w:rsidP="004C3837">
            <w:pPr>
              <w:keepNext/>
              <w:rPr>
                <w:rFonts w:ascii="Aptos" w:hAnsi="Aptos" w:cs="Times New Roman"/>
                <w:b/>
                <w:bCs/>
                <w:color w:val="000000"/>
                <w:sz w:val="20"/>
                <w:szCs w:val="20"/>
              </w:rPr>
            </w:pPr>
          </w:p>
          <w:p w14:paraId="377F8269" w14:textId="77777777" w:rsidR="00963E47" w:rsidRPr="00963E47" w:rsidRDefault="00963E47" w:rsidP="004C3837">
            <w:pPr>
              <w:keepNext/>
              <w:rPr>
                <w:rFonts w:ascii="Aptos" w:hAnsi="Aptos" w:cs="Times New Roman"/>
                <w:b/>
                <w:bCs/>
                <w:color w:val="000000"/>
                <w:sz w:val="20"/>
                <w:szCs w:val="20"/>
              </w:rPr>
            </w:pPr>
            <w:hyperlink r:id="rId178" w:anchor="measure-2-12" w:history="1">
              <w:r w:rsidRPr="00963E47">
                <w:rPr>
                  <w:rFonts w:ascii="Aptos" w:hAnsi="Aptos" w:cs="Times New Roman"/>
                  <w:color w:val="000000"/>
                  <w:sz w:val="20"/>
                  <w:szCs w:val="20"/>
                  <w:u w:val="single"/>
                </w:rPr>
                <w:t>Link to NIST AI RMF Playbook</w:t>
              </w:r>
            </w:hyperlink>
          </w:p>
        </w:tc>
      </w:tr>
    </w:tbl>
    <w:p w14:paraId="6573B79B"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357ACBF"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758AE364"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0A2B7F1A" w14:textId="77777777" w:rsidTr="005C00A5">
        <w:trPr>
          <w:tblHeader/>
        </w:trPr>
        <w:tc>
          <w:tcPr>
            <w:tcW w:w="2160" w:type="dxa"/>
            <w:shd w:val="clear" w:color="auto" w:fill="CCDCDC"/>
            <w:vAlign w:val="center"/>
          </w:tcPr>
          <w:p w14:paraId="6C426285"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49CA776F"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7754C58C"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09232D55" w14:textId="77777777" w:rsidTr="005C00A5">
        <w:tc>
          <w:tcPr>
            <w:tcW w:w="2160" w:type="dxa"/>
            <w:shd w:val="clear" w:color="auto" w:fill="CCDCDC"/>
          </w:tcPr>
          <w:p w14:paraId="41B7CA0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42CD861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19E189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2836962" w14:textId="77777777" w:rsidTr="005C00A5">
        <w:tc>
          <w:tcPr>
            <w:tcW w:w="2160" w:type="dxa"/>
            <w:shd w:val="clear" w:color="auto" w:fill="CCDCDC"/>
          </w:tcPr>
          <w:p w14:paraId="258ED7B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73F760E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44D3F5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begin establishing basic metrics and monitoring processes to track the effectiveness of initial AI resource efficiency efforts. The organization periodically reviews and updates its resource efficiency assessment and optimization strategies based on available data and best practices in efficient AI.</w:t>
            </w:r>
          </w:p>
        </w:tc>
      </w:tr>
      <w:tr w:rsidR="00963E47" w:rsidRPr="00963E47" w14:paraId="14F89FAE" w14:textId="77777777" w:rsidTr="005C00A5">
        <w:tc>
          <w:tcPr>
            <w:tcW w:w="2160" w:type="dxa"/>
            <w:shd w:val="clear" w:color="auto" w:fill="CCDCDC"/>
          </w:tcPr>
          <w:p w14:paraId="166EB5C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3040AA0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BC879E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establish metrics and monitoring processes to track the effectiveness of their AI resource efficiency efforts. The organization regularly reviews and updates its resource efficiency assessment and optimization strategies based on new data, technologies, and best practices in efficient AI.</w:t>
            </w:r>
          </w:p>
        </w:tc>
      </w:tr>
      <w:tr w:rsidR="00963E47" w:rsidRPr="00963E47" w14:paraId="66598E23" w14:textId="77777777" w:rsidTr="005C00A5">
        <w:tc>
          <w:tcPr>
            <w:tcW w:w="2160" w:type="dxa"/>
            <w:shd w:val="clear" w:color="auto" w:fill="CCDCDC"/>
          </w:tcPr>
          <w:p w14:paraId="2112A21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62E20C7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504706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continuously establishing metrics and monitoring processes to track the effectiveness of their AI resource efficiency efforts, with real-time review and updating of their resource efficiency assessment and optimization strategies based on new data, technologies, and best practices in efficient AI based on data-driven insights. These processes are seamlessly integrated into the organization's resource efficiency and risk management frameworks, ensuring the highest level of proactive AI resource efficiency monitoring and continuous optimization.</w:t>
            </w:r>
          </w:p>
        </w:tc>
      </w:tr>
    </w:tbl>
    <w:p w14:paraId="14AEC9AE"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135C7E5B" w14:textId="77777777" w:rsidTr="005C00A5">
        <w:tc>
          <w:tcPr>
            <w:tcW w:w="2250" w:type="dxa"/>
          </w:tcPr>
          <w:p w14:paraId="107BE07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7B5E2CC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66E8FDC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352AFD48" w14:textId="77777777" w:rsidTr="005C00A5">
        <w:tc>
          <w:tcPr>
            <w:tcW w:w="2250" w:type="dxa"/>
          </w:tcPr>
          <w:p w14:paraId="5E68325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5E5FFFC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Unestablished AI Resource Efficiency Metrics</w:t>
            </w:r>
          </w:p>
        </w:tc>
        <w:tc>
          <w:tcPr>
            <w:tcW w:w="5300" w:type="dxa"/>
          </w:tcPr>
          <w:p w14:paraId="23E577A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Metrics and monitoring processes for AI resource efficiency are not established</w:t>
            </w:r>
          </w:p>
        </w:tc>
      </w:tr>
    </w:tbl>
    <w:p w14:paraId="4D4389E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30F099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62F08E9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19A5C4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metrics and monitoring processes to track the effectiveness of AI resource efficiency efforts. Identify key performance indicators (KPIs) that are relevant to the organization's AI systems and resource efficiency goals, such as energy efficiency and resource utilization.</w:t>
      </w:r>
    </w:p>
    <w:p w14:paraId="59D285C0"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7C6209E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Develop a data collection and analysis plan to regularly measure and report on these KPIs, and use the insights gained to inform ongoing improvements to the organization's resource efficiency assessment and optimization strategies. Engage relevant stakeholders, such as AI developers, infrastructure teams, and resource efficiency experts, to review and validate the metrics and monitoring processes, and to provide input on areas for improvement.</w:t>
      </w:r>
    </w:p>
    <w:p w14:paraId="582336D0"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9FABD7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0343CB1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AD2D5B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Sustainability Metrics and Monitoring Framework</w:t>
      </w:r>
    </w:p>
    <w:p w14:paraId="655CEB2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Create a set of quantifiable metrics and a systematic framework for ongoing monitoring of AI-related environmental impacts, aligned with organizational goals and industry standards.</w:t>
      </w:r>
    </w:p>
    <w:p w14:paraId="38B7023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FDC4B1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Approved sustainability KPIs such as energy efficiency, carbon footprint, and resource utilization.</w:t>
      </w:r>
    </w:p>
    <w:p w14:paraId="2139DF7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dashboards displaying real-time or periodic environmental metrics.</w:t>
      </w:r>
    </w:p>
    <w:p w14:paraId="443F9D5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Protocols for data collection, analysis, and reporting.</w:t>
      </w:r>
    </w:p>
    <w:p w14:paraId="5784182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metrics documentation.</w:t>
      </w:r>
    </w:p>
    <w:p w14:paraId="019E77B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76282A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Implementation of Data Collection and Regular Monitoring</w:t>
      </w:r>
    </w:p>
    <w:p w14:paraId="593A900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automated tools and manual reviews to continually collect environmental data across the AI lifecycle, assessing performance against established metrics to ensure accurate tracking of resource efficiency efforts and their impact.</w:t>
      </w:r>
    </w:p>
    <w:p w14:paraId="36B4B95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E37BD3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Energy and resource consumption logs with timestamps.</w:t>
      </w:r>
    </w:p>
    <w:p w14:paraId="4B62A2B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Automated sustainability monitoring dashboards.</w:t>
      </w:r>
    </w:p>
    <w:p w14:paraId="22087DF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quality checks on environmental data records.</w:t>
      </w:r>
    </w:p>
    <w:p w14:paraId="3AD4B3B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Routine review schedules with logs of performance evaluations.</w:t>
      </w:r>
    </w:p>
    <w:p w14:paraId="0CFF1E3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23605C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Evaluation, Review, and Action on Effectiveness</w:t>
      </w:r>
    </w:p>
    <w:p w14:paraId="5D899F0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Analyze monitoring data to evaluate the effectiveness of sustainability efforts, identifying areas for improvement and verifying mitigation outcomes to guide future resource optimization initiatives.</w:t>
      </w:r>
    </w:p>
    <w:p w14:paraId="03A6BEA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EED418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Effectiveness assessment reports comparing results to targets.</w:t>
      </w:r>
    </w:p>
    <w:p w14:paraId="5EF85DC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Trend analysis identifying improvements or regressions.</w:t>
      </w:r>
    </w:p>
    <w:p w14:paraId="7932141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on progress toward environmental targets.</w:t>
      </w:r>
    </w:p>
    <w:p w14:paraId="1139F28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review meetings documenting insights.</w:t>
      </w:r>
    </w:p>
    <w:p w14:paraId="7718F63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3AB3E8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and Tracking of Updates and Improvements</w:t>
      </w:r>
    </w:p>
    <w:p w14:paraId="2B8B90A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Record assessments, findings, and actions taken, ensuring transparency and traceability in continuous improvement efforts to facilitate accountability and support informed decision-making regarding resource efficiency.</w:t>
      </w:r>
    </w:p>
    <w:p w14:paraId="2438F99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8CBBBB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for updated mitigation strategies.</w:t>
      </w:r>
    </w:p>
    <w:p w14:paraId="7AEC6B1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Revision histories of environmental impact assessments.</w:t>
      </w:r>
    </w:p>
    <w:p w14:paraId="5AD5198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plans for implementing new technologies or practices.</w:t>
      </w:r>
    </w:p>
    <w:p w14:paraId="3C408D6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Progress tracking dashboards.</w:t>
      </w:r>
    </w:p>
    <w:p w14:paraId="137EA2CF"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C389D9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Review and Adaptation</w:t>
      </w:r>
    </w:p>
    <w:p w14:paraId="230375A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review performance data, industry developments, and best practices to update and optimize environmental mitigation strategies, integrating lessons learned into the sustainability framework to enhance the organization’s overall commitment to sustainable AI practices.</w:t>
      </w:r>
    </w:p>
    <w:p w14:paraId="56C4D3B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7FBFE9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Periodic environmental review reports.</w:t>
      </w:r>
    </w:p>
    <w:p w14:paraId="79627CC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Updated mitigation strategies aligned with new insights.</w:t>
      </w:r>
    </w:p>
    <w:p w14:paraId="525AF38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Incorporation of emerging best practices and technologies.</w:t>
      </w:r>
    </w:p>
    <w:p w14:paraId="063C81B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logs from stakeholders guiding continuous improvement.</w:t>
      </w:r>
    </w:p>
    <w:p w14:paraId="5A48375E"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1F8109B6"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345E488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20126DB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4F072A3A" w14:textId="77777777" w:rsidTr="005C00A5">
        <w:tc>
          <w:tcPr>
            <w:tcW w:w="1170" w:type="dxa"/>
          </w:tcPr>
          <w:p w14:paraId="7E06EDA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6AD8DF8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1D0474F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46C69398" w14:textId="77777777" w:rsidTr="005C00A5">
        <w:tc>
          <w:tcPr>
            <w:tcW w:w="1170" w:type="dxa"/>
          </w:tcPr>
          <w:p w14:paraId="60EBC36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MS-2.12.3</w:t>
            </w:r>
          </w:p>
        </w:tc>
        <w:tc>
          <w:tcPr>
            <w:tcW w:w="2160" w:type="dxa"/>
          </w:tcPr>
          <w:p w14:paraId="4FB3C8B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Optimization Strategies for AI Resource Efficiency</w:t>
            </w:r>
          </w:p>
        </w:tc>
        <w:tc>
          <w:tcPr>
            <w:tcW w:w="6740" w:type="dxa"/>
          </w:tcPr>
          <w:p w14:paraId="3F28ECB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ensures that the systems continue to deliver value and meet performance objectives through measurement of AI resource efficiency. These strategies consider the specific performance requirements and operational contexts of each AI system.</w:t>
            </w:r>
          </w:p>
          <w:p w14:paraId="200D7A67" w14:textId="77777777" w:rsidR="00963E47" w:rsidRPr="00963E47" w:rsidRDefault="00963E47" w:rsidP="004C3837">
            <w:pPr>
              <w:keepNext/>
              <w:rPr>
                <w:rFonts w:ascii="Aptos" w:hAnsi="Aptos" w:cs="Times New Roman"/>
                <w:b/>
                <w:bCs/>
                <w:color w:val="000000"/>
                <w:sz w:val="20"/>
                <w:szCs w:val="20"/>
              </w:rPr>
            </w:pPr>
          </w:p>
          <w:p w14:paraId="401D800F" w14:textId="77777777" w:rsidR="00963E47" w:rsidRPr="00963E47" w:rsidRDefault="00963E47" w:rsidP="004C3837">
            <w:pPr>
              <w:keepNext/>
              <w:rPr>
                <w:rFonts w:ascii="Aptos" w:hAnsi="Aptos" w:cs="Times New Roman"/>
                <w:b/>
                <w:bCs/>
                <w:color w:val="000000"/>
                <w:sz w:val="20"/>
                <w:szCs w:val="20"/>
              </w:rPr>
            </w:pPr>
            <w:hyperlink r:id="rId179" w:anchor="measure-2-12" w:history="1">
              <w:r w:rsidRPr="00963E47">
                <w:rPr>
                  <w:rFonts w:ascii="Aptos" w:hAnsi="Aptos" w:cs="Times New Roman"/>
                  <w:color w:val="000000"/>
                  <w:sz w:val="20"/>
                  <w:szCs w:val="20"/>
                  <w:u w:val="single"/>
                </w:rPr>
                <w:t>Link to NIST AI RMF Playbook</w:t>
              </w:r>
            </w:hyperlink>
          </w:p>
        </w:tc>
      </w:tr>
    </w:tbl>
    <w:p w14:paraId="4B190762"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A3D1A4A"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35263AA3"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27E14052" w14:textId="77777777" w:rsidTr="005C00A5">
        <w:trPr>
          <w:tblHeader/>
        </w:trPr>
        <w:tc>
          <w:tcPr>
            <w:tcW w:w="2160" w:type="dxa"/>
            <w:shd w:val="clear" w:color="auto" w:fill="CCDCDC"/>
            <w:vAlign w:val="center"/>
          </w:tcPr>
          <w:p w14:paraId="16A44A12"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37BA59A0"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030D14BD"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4C18B15E" w14:textId="77777777" w:rsidTr="005C00A5">
        <w:tc>
          <w:tcPr>
            <w:tcW w:w="2160" w:type="dxa"/>
            <w:shd w:val="clear" w:color="auto" w:fill="CCDCDC"/>
          </w:tcPr>
          <w:p w14:paraId="076D635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0A8880A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1BD740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3ECBC457" w14:textId="77777777" w:rsidTr="005C00A5">
        <w:tc>
          <w:tcPr>
            <w:tcW w:w="2160" w:type="dxa"/>
            <w:shd w:val="clear" w:color="auto" w:fill="CCDCDC"/>
          </w:tcPr>
          <w:p w14:paraId="6A593CE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7C82A7B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B68CEA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minimal stage begin to evaluate if AI systems deliver value and meet performance objectives while considering resource efficiency. These basic strategies consider the specific performance requirements and operational contexts of each AI system.</w:t>
            </w:r>
          </w:p>
        </w:tc>
      </w:tr>
      <w:tr w:rsidR="00963E47" w:rsidRPr="00963E47" w14:paraId="5584943C" w14:textId="77777777" w:rsidTr="005C00A5">
        <w:tc>
          <w:tcPr>
            <w:tcW w:w="2160" w:type="dxa"/>
            <w:shd w:val="clear" w:color="auto" w:fill="CCDCDC"/>
          </w:tcPr>
          <w:p w14:paraId="2A380CE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4352F45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073CCC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consistently develop and implement strategies for optimizing resource utilization and efficiency associated with their AI systems, while ensuring that the systems continue to deliver value and meet performance objectives. These strategies consider the specific performance requirements and operational contexts of each AI system.</w:t>
            </w:r>
          </w:p>
        </w:tc>
      </w:tr>
      <w:tr w:rsidR="00963E47" w:rsidRPr="00963E47" w14:paraId="4324099A" w14:textId="77777777" w:rsidTr="005C00A5">
        <w:tc>
          <w:tcPr>
            <w:tcW w:w="2160" w:type="dxa"/>
            <w:shd w:val="clear" w:color="auto" w:fill="CCDCDC"/>
          </w:tcPr>
          <w:p w14:paraId="5A37B1B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25AA87B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A261C9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continuously developing and implementing strategies for optimizing resource utilization and efficiency associated with their AI systems, while ensuring that the systems continue to deliver value and meet performance objectives, with real-time consideration of the specific performance requirements and operational contexts of each AI system based on data-driven insights. These processes are seamlessly integrated into the organization's development, deployment, and resource efficiency frameworks, ensuring the highest level of proactive resource efficiency optimization and performance optimization.</w:t>
            </w:r>
          </w:p>
        </w:tc>
      </w:tr>
    </w:tbl>
    <w:p w14:paraId="589121A0"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020CFC4D" w14:textId="77777777" w:rsidTr="005C00A5">
        <w:tc>
          <w:tcPr>
            <w:tcW w:w="2250" w:type="dxa"/>
          </w:tcPr>
          <w:p w14:paraId="52C3D84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lastRenderedPageBreak/>
              <w:t>AI Principle</w:t>
            </w:r>
          </w:p>
        </w:tc>
        <w:tc>
          <w:tcPr>
            <w:tcW w:w="2520" w:type="dxa"/>
          </w:tcPr>
          <w:p w14:paraId="3E4E18B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5517831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5B6F356D" w14:textId="77777777" w:rsidTr="005C00A5">
        <w:tc>
          <w:tcPr>
            <w:tcW w:w="2250" w:type="dxa"/>
          </w:tcPr>
          <w:p w14:paraId="4737BB8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40216A8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Unmeasured AI Resource Performance</w:t>
            </w:r>
          </w:p>
        </w:tc>
        <w:tc>
          <w:tcPr>
            <w:tcW w:w="5300" w:type="dxa"/>
          </w:tcPr>
          <w:p w14:paraId="5CFFC68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resource performance impacts are not measured or monitored</w:t>
            </w:r>
          </w:p>
        </w:tc>
      </w:tr>
    </w:tbl>
    <w:p w14:paraId="54618C6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D537A1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4680CE0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66CC96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Engage relevant stakeholders, such as AI developers, infrastructure teams, and resource efficiency experts, to identify and prioritize specific measures based on the unique performance requirements and operational contexts of each AI system.</w:t>
      </w:r>
    </w:p>
    <w:p w14:paraId="2677F6C6"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6342C8C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Document the selected measures, including the rationale for their selection, the expected challenges, and the implementation plan. Regularly review and update these strategies based on the results of ongoing monitoring and evaluation efforts, as well as changes in the organization's AI systems, business priorities, and relevant external factors.</w:t>
      </w:r>
    </w:p>
    <w:p w14:paraId="141DFCCC"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D77EAE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5C7BCD7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485A8B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Resource Efficiency Measurement Framework</w:t>
      </w:r>
    </w:p>
    <w:p w14:paraId="66A5681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measurement framework to evaluate AI resource efficiency, including metrics for energy consumption, computational resources, and operational effectiveness tailored to each AI system's performance requirements.</w:t>
      </w:r>
    </w:p>
    <w:p w14:paraId="72961EE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42B7B4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resource efficiency metrics and their definitions relevant to AI systems.</w:t>
      </w:r>
    </w:p>
    <w:p w14:paraId="1324141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Historical data showing measurements of energy consumption and resource utilization over time.</w:t>
      </w:r>
    </w:p>
    <w:p w14:paraId="6A23F8B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detailing the alignment of metrics with specific performance objectives and operational contexts.</w:t>
      </w:r>
    </w:p>
    <w:p w14:paraId="01098B6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forms from stakeholders assessing the clarity and relevance of the measurement framework.</w:t>
      </w:r>
    </w:p>
    <w:p w14:paraId="6636B39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B95277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Performance Objective Alignment</w:t>
      </w:r>
    </w:p>
    <w:p w14:paraId="0416C8B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Ensure optimization strategies align with the specific performance requirements of each AI system by conducting thorough assessments of operational contexts and expected deliverables.</w:t>
      </w:r>
    </w:p>
    <w:p w14:paraId="791F8DF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A971DD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performance requirements and objectives for each AI system.</w:t>
      </w:r>
    </w:p>
    <w:p w14:paraId="2261AA5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Assessment reports highlighting how optimization strategies meet these performance objectives.</w:t>
      </w:r>
    </w:p>
    <w:p w14:paraId="17D0732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stakeholder reviews and approvals of performance alignment documents.</w:t>
      </w:r>
    </w:p>
    <w:p w14:paraId="32DF0ED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Comparative analysis demonstrating the impact of optimization strategies on achieving operational goals.</w:t>
      </w:r>
    </w:p>
    <w:p w14:paraId="324A10BF"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E714EC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Improvement Initiatives</w:t>
      </w:r>
    </w:p>
    <w:p w14:paraId="3BE7BE2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continuous improvement initiatives to refine AI resource efficiency in response to ongoing performance evaluations, emerging technologies, and best practices in the field.</w:t>
      </w:r>
    </w:p>
    <w:p w14:paraId="4477795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67628B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plans outlining specific initiatives aimed at improving resource efficiency and their expected outcomes.</w:t>
      </w:r>
    </w:p>
    <w:p w14:paraId="6E05AE5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meetings or workshops conducted to assess and discuss improvement strategies.</w:t>
      </w:r>
    </w:p>
    <w:p w14:paraId="6AFEAEC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changes made to existing processes based on insights from recent evaluations.</w:t>
      </w:r>
    </w:p>
    <w:p w14:paraId="4783DA5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Metrics showing the before-and-after impact of implemented improvements on resource efficiency.</w:t>
      </w:r>
    </w:p>
    <w:p w14:paraId="285C118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F1A0EC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Monitoring and Reporting Mechanisms</w:t>
      </w:r>
    </w:p>
    <w:p w14:paraId="55B70B1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monitoring and reporting mechanisms to track the effectiveness of optimization strategies over time, ensuring transparency and accountability in resource use.</w:t>
      </w:r>
    </w:p>
    <w:p w14:paraId="6A306C5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EB9CF7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Regularly updated reports detailing resource efficiency metrics and trends over specified periods.</w:t>
      </w:r>
    </w:p>
    <w:p w14:paraId="19585A4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Dashboards that display real-time data on AI system performance and resource utilization.</w:t>
      </w:r>
    </w:p>
    <w:p w14:paraId="6D8D088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Minutes from review meetings discussing monitoring outcomes and areas for further optimization.</w:t>
      </w:r>
    </w:p>
    <w:p w14:paraId="568DD52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logs verifying the accuracy and reliability of monitoring data.</w:t>
      </w:r>
    </w:p>
    <w:p w14:paraId="1A36069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5A894A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Stakeholder Engagement and Feedback</w:t>
      </w:r>
    </w:p>
    <w:p w14:paraId="4F5B4F1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Engage relevant stakeholders in the optimization process, gathering feedback to inform improvements and address specific concerns related to AI resource efficiency.</w:t>
      </w:r>
    </w:p>
    <w:p w14:paraId="7CF5F45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2AB259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stakeholder engagement activities, including focus groups or surveys conducted.</w:t>
      </w:r>
    </w:p>
    <w:p w14:paraId="7ACDDB0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summaries reflecting stakeholder opinions on current resource efficiency practices.</w:t>
      </w:r>
    </w:p>
    <w:p w14:paraId="4659BA0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items generated from stakeholder feedback sessions aimed at optimizing resource usage.</w:t>
      </w:r>
    </w:p>
    <w:p w14:paraId="7B4348F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detailing how stakeholder insights have been incorporated into optimization strategies.</w:t>
      </w:r>
    </w:p>
    <w:p w14:paraId="5F53B13B"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61" w:name="_Toc214874806"/>
      <w:r w:rsidRPr="00963E47">
        <w:rPr>
          <w:rFonts w:ascii="Aptos" w:eastAsia="Aptos" w:hAnsi="Aptos" w:cs="Times New Roman"/>
          <w:b/>
          <w:bCs/>
          <w:noProof/>
          <w:color w:val="35256B"/>
          <w:kern w:val="2"/>
          <w:sz w:val="24"/>
          <w14:ligatures w14:val="standardContextual"/>
        </w:rPr>
        <w:t>MEASURE / Evaluating AI Systems / Measuring AI Metrics</w:t>
      </w:r>
      <w:bookmarkEnd w:id="61"/>
      <w:r w:rsidRPr="00963E47">
        <w:rPr>
          <w:rFonts w:ascii="Aptos" w:eastAsia="Aptos" w:hAnsi="Aptos" w:cs="Times New Roman"/>
          <w:b/>
          <w:bCs/>
          <w:noProof/>
          <w:color w:val="35256B"/>
          <w:kern w:val="2"/>
          <w:sz w:val="24"/>
          <w14:ligatures w14:val="standardContextual"/>
        </w:rPr>
        <w:t xml:space="preserve"> </w:t>
      </w:r>
    </w:p>
    <w:p w14:paraId="28C2FB94"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5B3A19C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5EFAFBC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28E9B786" w14:textId="77777777" w:rsidTr="005C00A5">
        <w:tc>
          <w:tcPr>
            <w:tcW w:w="1170" w:type="dxa"/>
          </w:tcPr>
          <w:p w14:paraId="5D999BA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68F5C68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37CF5B2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6E16FD9A" w14:textId="77777777" w:rsidTr="005C00A5">
        <w:tc>
          <w:tcPr>
            <w:tcW w:w="1170" w:type="dxa"/>
          </w:tcPr>
          <w:p w14:paraId="293251E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MS-2.13.1</w:t>
            </w:r>
          </w:p>
        </w:tc>
        <w:tc>
          <w:tcPr>
            <w:tcW w:w="2160" w:type="dxa"/>
          </w:tcPr>
          <w:p w14:paraId="0A7D6DB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TEVV Process Review and Continuous Improvement</w:t>
            </w:r>
          </w:p>
        </w:tc>
        <w:tc>
          <w:tcPr>
            <w:tcW w:w="6740" w:type="dxa"/>
          </w:tcPr>
          <w:p w14:paraId="08E74BB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schedules regular reviews and continuously monitors and updates its TEVV processes. This ensures accuracy, completeness, and alignment with industry best practices, regulatory requirements, evaluation results, stakeholder feedback, and evolving industry standards. The review process incorporates lessons learned from each iteration and reflects pertinent changes in testing methodologies or tools, with frequency determined by AI system complexity, risk profile, and pace of development. All updates are documented to maintain effectiveness, efficiency, and alignment with AI risk management goals.</w:t>
            </w:r>
          </w:p>
          <w:p w14:paraId="2C518354" w14:textId="77777777" w:rsidR="00963E47" w:rsidRPr="00963E47" w:rsidRDefault="00963E47" w:rsidP="004C3837">
            <w:pPr>
              <w:keepNext/>
              <w:rPr>
                <w:rFonts w:ascii="Aptos" w:hAnsi="Aptos" w:cs="Times New Roman"/>
                <w:b/>
                <w:bCs/>
                <w:color w:val="000000"/>
                <w:sz w:val="20"/>
                <w:szCs w:val="20"/>
              </w:rPr>
            </w:pPr>
          </w:p>
          <w:p w14:paraId="4E27F60C" w14:textId="77777777" w:rsidR="00963E47" w:rsidRPr="00963E47" w:rsidRDefault="00963E47" w:rsidP="004C3837">
            <w:pPr>
              <w:keepNext/>
              <w:rPr>
                <w:rFonts w:ascii="Aptos" w:hAnsi="Aptos" w:cs="Times New Roman"/>
                <w:b/>
                <w:bCs/>
                <w:color w:val="000000"/>
                <w:sz w:val="20"/>
                <w:szCs w:val="20"/>
              </w:rPr>
            </w:pPr>
            <w:hyperlink r:id="rId180" w:anchor="measure-2-13" w:history="1">
              <w:r w:rsidRPr="00963E47">
                <w:rPr>
                  <w:rFonts w:ascii="Aptos" w:hAnsi="Aptos" w:cs="Times New Roman"/>
                  <w:color w:val="000000"/>
                  <w:sz w:val="20"/>
                  <w:szCs w:val="20"/>
                  <w:u w:val="single"/>
                </w:rPr>
                <w:t>Link to NIST AI RMF Playbook</w:t>
              </w:r>
            </w:hyperlink>
          </w:p>
        </w:tc>
      </w:tr>
    </w:tbl>
    <w:p w14:paraId="030BF595"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CD919AF"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2FBB567F"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7BD8D59E" w14:textId="77777777" w:rsidTr="005C00A5">
        <w:trPr>
          <w:tblHeader/>
        </w:trPr>
        <w:tc>
          <w:tcPr>
            <w:tcW w:w="2160" w:type="dxa"/>
            <w:shd w:val="clear" w:color="auto" w:fill="CCDCDC"/>
            <w:vAlign w:val="center"/>
          </w:tcPr>
          <w:p w14:paraId="40F223B9"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24514507"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5CD1E8B2"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040122F7" w14:textId="77777777" w:rsidTr="005C00A5">
        <w:tc>
          <w:tcPr>
            <w:tcW w:w="2160" w:type="dxa"/>
            <w:shd w:val="clear" w:color="auto" w:fill="CCDCDC"/>
          </w:tcPr>
          <w:p w14:paraId="4888104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26E438D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C65AF4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2F088281" w14:textId="77777777" w:rsidTr="005C00A5">
        <w:tc>
          <w:tcPr>
            <w:tcW w:w="2160" w:type="dxa"/>
            <w:shd w:val="clear" w:color="auto" w:fill="CCDCDC"/>
          </w:tcPr>
          <w:p w14:paraId="3AA702B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342128E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72A5B9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3BF4A39D" w14:textId="77777777" w:rsidTr="005C00A5">
        <w:tc>
          <w:tcPr>
            <w:tcW w:w="2160" w:type="dxa"/>
            <w:shd w:val="clear" w:color="auto" w:fill="CCDCDC"/>
          </w:tcPr>
          <w:p w14:paraId="74834FD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6C9A3DF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44952A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schedule regular reviews and updates of their TEVV processes, incorporating lessons learned and reflecting pertinent changes in testing methodologies or tools, with review frequency tailored to AI system complexity, risk profile, and pace of development. They also continuously monitor and update these processes based on evaluation results, stakeholder feedback, and evolving industry standards and regulations, documenting updates to ensure effectiveness and alignment with AI risk management goals.</w:t>
            </w:r>
          </w:p>
        </w:tc>
      </w:tr>
      <w:tr w:rsidR="00963E47" w:rsidRPr="00963E47" w14:paraId="666CBB15" w14:textId="77777777" w:rsidTr="005C00A5">
        <w:tc>
          <w:tcPr>
            <w:tcW w:w="2160" w:type="dxa"/>
            <w:shd w:val="clear" w:color="auto" w:fill="CCDCDC"/>
          </w:tcPr>
          <w:p w14:paraId="33359AD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2A8338E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729B76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Organizations at the embedded stage have advanced, automated processes for continuously reviewing, monitoring, and updating their TEVV processes in real-time. This dynamically maintains accuracy, completeness, and alignment with industry best practices and regulatory requirements based on data-driven insights. The process seamlessly incorporates lessons learned and reflects pertinent changes, with review frequency intelligently determined by AI system complexity, risk profile, and pace of development, ensuring the highest </w:t>
            </w:r>
            <w:r w:rsidRPr="00963E47">
              <w:rPr>
                <w:rFonts w:ascii="Aptos" w:hAnsi="Aptos" w:cs="Times New Roman"/>
                <w:noProof/>
                <w:color w:val="auto"/>
                <w:sz w:val="20"/>
                <w:szCs w:val="20"/>
              </w:rPr>
              <w:lastRenderedPageBreak/>
              <w:t>level of proactive optimization and adaptation. These processes are seamlessly integrated into the organization's risk management and continuous improvement frameworks.</w:t>
            </w:r>
          </w:p>
        </w:tc>
      </w:tr>
    </w:tbl>
    <w:p w14:paraId="74521354"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72D503FE" w14:textId="77777777" w:rsidTr="005C00A5">
        <w:tc>
          <w:tcPr>
            <w:tcW w:w="2250" w:type="dxa"/>
          </w:tcPr>
          <w:p w14:paraId="0BBC83A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5A12E37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21AC877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6F35029A" w14:textId="77777777" w:rsidTr="005C00A5">
        <w:tc>
          <w:tcPr>
            <w:tcW w:w="2250" w:type="dxa"/>
          </w:tcPr>
          <w:p w14:paraId="7107107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370FCCB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Unreviewed or Unmonitored TEVV Processes</w:t>
            </w:r>
          </w:p>
        </w:tc>
        <w:tc>
          <w:tcPr>
            <w:tcW w:w="5300" w:type="dxa"/>
          </w:tcPr>
          <w:p w14:paraId="742CA14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TEVV processes are not regularly reviewed, updated, or continuously monitored for accuracy, effectiveness, or alignment with evolving standards</w:t>
            </w:r>
          </w:p>
        </w:tc>
      </w:tr>
    </w:tbl>
    <w:p w14:paraId="5FB1C30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194ECB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09491EC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52DFE3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Schedule and implement regular reviews and continuous monitoring of TEVV processes, tailoring frequency to the AI system’s complexity, risk profile, and development pace; higher-risk systems should undergo more frequent evaluations. </w:t>
      </w:r>
    </w:p>
    <w:p w14:paraId="607EB350"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77B1DF6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and document a standardized review process that includes criteria for assessing effectiveness and relevance, ensuring it incorporates lessons learned and reflects changes in testing methodologies or tools. Assign clear responsibility for conducting reviews, implementing updates, and provide necessary resources.</w:t>
      </w:r>
    </w:p>
    <w:p w14:paraId="7DD43600"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128983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a process for continuously updating TEVV processes based on evaluation results, stakeholder feedback, and evolving industry standards and regulations. Document all updates and changes, including their rationale and expected impact, communicating these to relevant stakeholders and providing training as needed. Regularly review the monitoring and update process itself to ensure its ongoing effectiveness.</w:t>
      </w:r>
    </w:p>
    <w:p w14:paraId="1D640CFC"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252F05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62DA4C4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BAD65D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TEVV Process Review Framework</w:t>
      </w:r>
    </w:p>
    <w:p w14:paraId="762889F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formal framework for conducting regular reviews of TEVV processes, focusing on accuracy, completeness, and alignment with industry best practices and regulatory requirements.</w:t>
      </w:r>
    </w:p>
    <w:p w14:paraId="0C42F1F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F48C9E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the review framework, including objectives, criteria, and scope.</w:t>
      </w:r>
    </w:p>
    <w:p w14:paraId="267749F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review schedules and timelines for each AI system being evaluated.</w:t>
      </w:r>
    </w:p>
    <w:p w14:paraId="495E2E1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Lists of stakeholders involved in the review process and their contributions.</w:t>
      </w:r>
    </w:p>
    <w:p w14:paraId="3D1A6D7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summarizing the findings and recommendations from each review iteration.</w:t>
      </w:r>
    </w:p>
    <w:p w14:paraId="39E62A8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DFB1F2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Stakeholder Feedback Integration</w:t>
      </w:r>
    </w:p>
    <w:p w14:paraId="35E7741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mechanisms for collecting and integrating stakeholder feedback into the TEVV process review, ensuring that evaluations reflect user needs and expectations.</w:t>
      </w:r>
    </w:p>
    <w:p w14:paraId="0B5D441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408EC0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feedback collection methods, such as surveys or interviews conducted with stakeholders.</w:t>
      </w:r>
    </w:p>
    <w:p w14:paraId="3552EC8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Summaries of stakeholder feedback, including key themes identified during the review process.</w:t>
      </w:r>
    </w:p>
    <w:p w14:paraId="4948F52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how stakeholder feedback has been incorporated into TEVV updates and changes.</w:t>
      </w:r>
    </w:p>
    <w:p w14:paraId="0EF1812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Minutes from meetings discussing stakeholder insights and their implications for process improvements.</w:t>
      </w:r>
    </w:p>
    <w:p w14:paraId="61F59B6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657822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Lessons Learned Documentation</w:t>
      </w:r>
    </w:p>
    <w:p w14:paraId="0628F3C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a repository for documenting lessons learned from each TEVV process iteration, highlighting successes, challenges, and areas for improvement.</w:t>
      </w:r>
    </w:p>
    <w:p w14:paraId="6C1DCCF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E4C591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Compiled reports of lessons learned from completed TEVV processes, detailing actionable insights.</w:t>
      </w:r>
    </w:p>
    <w:p w14:paraId="6201FCC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Case studies showcasing specific instances of successful process adjustments based on lessons learned.</w:t>
      </w:r>
    </w:p>
    <w:p w14:paraId="014C289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Logs of challenges encountered and corresponding resolutions implemented during TEVV activities.</w:t>
      </w:r>
    </w:p>
    <w:p w14:paraId="61BD830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forms filled out by team members reflecting on their experiences during the TEVV processes.</w:t>
      </w:r>
    </w:p>
    <w:p w14:paraId="3E5814B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41F4A6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Monitoring and Updating Methodologies</w:t>
      </w:r>
    </w:p>
    <w:p w14:paraId="4F764BC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monitor and update testing methodologies and tools utilized in TEVV processes to ensure they remain relevant and effective in the context of evolving industry standards.</w:t>
      </w:r>
    </w:p>
    <w:p w14:paraId="0845DC8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B29C23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testing methodologies and tools used in current TEVV processes, with version history.</w:t>
      </w:r>
    </w:p>
    <w:p w14:paraId="0C0D9BE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periodic assessments of alternative methodologies or technologies considered for use.</w:t>
      </w:r>
    </w:p>
    <w:p w14:paraId="01224BE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reports that evaluate the effectiveness of existing testing methodologies based on outcomes.</w:t>
      </w:r>
    </w:p>
    <w:p w14:paraId="1BC5A63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plans outlining updates made to methodologies and tools, including implementation timelines.</w:t>
      </w:r>
    </w:p>
    <w:p w14:paraId="08877883"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026EC5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Compliance and Regulatory Alignment Review</w:t>
      </w:r>
    </w:p>
    <w:p w14:paraId="0046281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regular reviews to ensure TEVV processes comply with regulatory requirements and align with evolving industry standards, adjusting practices as necessary.</w:t>
      </w:r>
    </w:p>
    <w:p w14:paraId="1E7C4E4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1D49AF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Compliance checklists that outline key regulatory requirements relevant to TEVV processes.</w:t>
      </w:r>
    </w:p>
    <w:p w14:paraId="7448F5E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regulatory updates and analysis conducted to determine implications for current practices.</w:t>
      </w:r>
    </w:p>
    <w:p w14:paraId="2E0E7D6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adjustments made to TEVV processes to address new compliance requirements.</w:t>
      </w:r>
    </w:p>
    <w:p w14:paraId="7CEDB43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summarizing the outcomes of compliance reviews and any necessary changes made.</w:t>
      </w:r>
    </w:p>
    <w:p w14:paraId="46271C49"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6574FDD9"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543B6C2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06B1442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7E50E6AC" w14:textId="77777777" w:rsidTr="005C00A5">
        <w:tc>
          <w:tcPr>
            <w:tcW w:w="1170" w:type="dxa"/>
          </w:tcPr>
          <w:p w14:paraId="59913FA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344494B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4609BAD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4D1004FE" w14:textId="77777777" w:rsidTr="005C00A5">
        <w:tc>
          <w:tcPr>
            <w:tcW w:w="1170" w:type="dxa"/>
          </w:tcPr>
          <w:p w14:paraId="00AE534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MS-2.13.2</w:t>
            </w:r>
          </w:p>
        </w:tc>
        <w:tc>
          <w:tcPr>
            <w:tcW w:w="2160" w:type="dxa"/>
          </w:tcPr>
          <w:p w14:paraId="3ABD181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TEVV Metrics Analysis</w:t>
            </w:r>
          </w:p>
        </w:tc>
        <w:tc>
          <w:tcPr>
            <w:tcW w:w="6740" w:type="dxa"/>
          </w:tcPr>
          <w:p w14:paraId="03511F2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regularly evaluates the effectiveness of its TEVV metrics, including trustworthiness characteristics and environmental metrics, and continuously monitors and updates them. It assesses whether these metrics effectively identify and mitigate risks within acceptable levels defined by its risk appetite. Results, strengths, weaknesses, and areas for improvement are documented, and corrective actions are taken to refine the TEVV approach, ensuring continuous improvement and alignment with AI risk management goals.</w:t>
            </w:r>
          </w:p>
          <w:p w14:paraId="5A247AA6" w14:textId="77777777" w:rsidR="00963E47" w:rsidRPr="00963E47" w:rsidRDefault="00963E47" w:rsidP="004C3837">
            <w:pPr>
              <w:keepNext/>
              <w:rPr>
                <w:rFonts w:ascii="Aptos" w:hAnsi="Aptos" w:cs="Times New Roman"/>
                <w:b/>
                <w:bCs/>
                <w:color w:val="000000"/>
                <w:sz w:val="20"/>
                <w:szCs w:val="20"/>
              </w:rPr>
            </w:pPr>
          </w:p>
          <w:p w14:paraId="44821297" w14:textId="77777777" w:rsidR="00963E47" w:rsidRPr="00963E47" w:rsidRDefault="00963E47" w:rsidP="004C3837">
            <w:pPr>
              <w:keepNext/>
              <w:rPr>
                <w:rFonts w:ascii="Aptos" w:hAnsi="Aptos" w:cs="Times New Roman"/>
                <w:b/>
                <w:bCs/>
                <w:color w:val="000000"/>
                <w:sz w:val="20"/>
                <w:szCs w:val="20"/>
              </w:rPr>
            </w:pPr>
            <w:hyperlink r:id="rId181" w:anchor="measure-2-13" w:history="1">
              <w:r w:rsidRPr="00963E47">
                <w:rPr>
                  <w:rFonts w:ascii="Aptos" w:hAnsi="Aptos" w:cs="Times New Roman"/>
                  <w:color w:val="000000"/>
                  <w:sz w:val="20"/>
                  <w:szCs w:val="20"/>
                  <w:u w:val="single"/>
                </w:rPr>
                <w:t>Link to NIST AI RMF Playbook</w:t>
              </w:r>
            </w:hyperlink>
          </w:p>
        </w:tc>
      </w:tr>
    </w:tbl>
    <w:p w14:paraId="7A9C71D1"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EC74E31"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1F0FA3F7"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2B930938" w14:textId="77777777" w:rsidTr="005C00A5">
        <w:trPr>
          <w:tblHeader/>
        </w:trPr>
        <w:tc>
          <w:tcPr>
            <w:tcW w:w="2160" w:type="dxa"/>
            <w:shd w:val="clear" w:color="auto" w:fill="CCDCDC"/>
            <w:vAlign w:val="center"/>
          </w:tcPr>
          <w:p w14:paraId="3611FF5E"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6B7E7B4F"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6E4D6E72"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1EFEC116" w14:textId="77777777" w:rsidTr="005C00A5">
        <w:tc>
          <w:tcPr>
            <w:tcW w:w="2160" w:type="dxa"/>
            <w:shd w:val="clear" w:color="auto" w:fill="CCDCDC"/>
          </w:tcPr>
          <w:p w14:paraId="42D5824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13F3F54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116491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2B3562F" w14:textId="77777777" w:rsidTr="005C00A5">
        <w:tc>
          <w:tcPr>
            <w:tcW w:w="2160" w:type="dxa"/>
            <w:shd w:val="clear" w:color="auto" w:fill="CCDCDC"/>
          </w:tcPr>
          <w:p w14:paraId="2E4238A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3D83C8A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03B505F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3F2B8656" w14:textId="77777777" w:rsidTr="005C00A5">
        <w:tc>
          <w:tcPr>
            <w:tcW w:w="2160" w:type="dxa"/>
            <w:shd w:val="clear" w:color="auto" w:fill="CCDCDC"/>
          </w:tcPr>
          <w:p w14:paraId="44FE276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653AB4E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83B8A0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evolving stage, organizations regularly evaluate the effectiveness of their TEVV metrics (and associated processes) used in the MEASURE function, documenting results, strengths, weaknesses, and areas for improvement. They assess whether these metrics effectively identify and mitigate risks within acceptable levels defined by its risk appetite, taking corrective actions if inadequacies are revealed. They also continuously monitor and update their TEVV metrics based on evaluation results, stakeholder feedback, and evolving industry standards, with documented updates to ensure </w:t>
            </w:r>
            <w:r w:rsidRPr="00963E47">
              <w:rPr>
                <w:rFonts w:ascii="Aptos" w:hAnsi="Aptos" w:cs="Times New Roman"/>
                <w:noProof/>
                <w:color w:val="auto"/>
                <w:sz w:val="20"/>
                <w:szCs w:val="20"/>
              </w:rPr>
              <w:lastRenderedPageBreak/>
              <w:t>effectiveness, efficiency, and alignment with AI risk management goals.</w:t>
            </w:r>
          </w:p>
        </w:tc>
      </w:tr>
      <w:tr w:rsidR="00963E47" w:rsidRPr="00963E47" w14:paraId="763BC80F" w14:textId="77777777" w:rsidTr="005C00A5">
        <w:tc>
          <w:tcPr>
            <w:tcW w:w="2160" w:type="dxa"/>
            <w:shd w:val="clear" w:color="auto" w:fill="CCDCDC"/>
          </w:tcPr>
          <w:p w14:paraId="03CD6FE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4: Embedded</w:t>
            </w:r>
          </w:p>
        </w:tc>
        <w:tc>
          <w:tcPr>
            <w:tcW w:w="1350" w:type="dxa"/>
          </w:tcPr>
          <w:p w14:paraId="7B49CE0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9719A5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continuously evaluating the effectiveness of their TEVV metrics (and associated processes) used in the MEASURE function. This includes real-time assessment of whether these metrics effectively identify and mitigate risks within acceptable levels defined by their risk appetite based on data-driven insights. Results, strengths, weaknesses, and areas for improvement are dynamically documented, and corrective actions are taken. They also continuously monitor and update their TEVV metrics based on evaluation results, stakeholder feedback, and evolving industry standards, with real-time documentation. These processes are seamlessly integrated into the organization's risk management and continuous improvement frameworks, ensuring the highest level of proactive TEVV effectiveness evaluation and continuous improvement, and alignment with industry best practices.</w:t>
            </w:r>
          </w:p>
        </w:tc>
      </w:tr>
    </w:tbl>
    <w:p w14:paraId="6E76E554"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37C7F47E" w14:textId="77777777" w:rsidTr="005C00A5">
        <w:tc>
          <w:tcPr>
            <w:tcW w:w="2250" w:type="dxa"/>
          </w:tcPr>
          <w:p w14:paraId="6248A75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1848E77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3FE4637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042B48E1" w14:textId="77777777" w:rsidTr="005C00A5">
        <w:tc>
          <w:tcPr>
            <w:tcW w:w="2250" w:type="dxa"/>
          </w:tcPr>
          <w:p w14:paraId="0CFB44B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Valid &amp; Reliable</w:t>
            </w:r>
          </w:p>
        </w:tc>
        <w:tc>
          <w:tcPr>
            <w:tcW w:w="2520" w:type="dxa"/>
          </w:tcPr>
          <w:p w14:paraId="1E87EA2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Unevaluated or Unmonitored TEVV Metrics</w:t>
            </w:r>
          </w:p>
        </w:tc>
        <w:tc>
          <w:tcPr>
            <w:tcW w:w="5300" w:type="dxa"/>
          </w:tcPr>
          <w:p w14:paraId="5F2E096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TEVV metrics are not regularly evaluated for effectiveness or continuously monitored and updated</w:t>
            </w:r>
          </w:p>
        </w:tc>
      </w:tr>
    </w:tbl>
    <w:p w14:paraId="0B97836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E98F1F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5C86772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D94F8E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Establish a process for regularly evaluating and continuously monitoring the effectiveness of TEVV metrics across trustworthiness characteristics and including environmental metrics. Develop a standardized methodology for evaluations, including key performance indicators (KPIs) and success criteria aligned with the organization's AI risk management goals and risk appetite. </w:t>
      </w:r>
    </w:p>
    <w:p w14:paraId="471D1CBE"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42E47DA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Document the results of each evaluation, including identified strengths, weaknesses, and areas for improvement. Use these findings to assess whether current TEVV metrics effectively identify and mitigate risks, and to inform corrective actions where necessary. Continuously update TEVV metrics based on evaluation results, stakeholder feedback, and evolving industry standards.</w:t>
      </w:r>
    </w:p>
    <w:p w14:paraId="52B5B807"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2061B32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Document these updates, their rationale, and expected impact, communicating them to relevant stakeholders. Regularly review and update the evaluation and monitoring methodology itself to ensure it remains relevant and effective.</w:t>
      </w:r>
    </w:p>
    <w:p w14:paraId="5F225AAC"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3FD563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68E1851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EBBF95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TEVV Metrics Evaluation Framework</w:t>
      </w:r>
    </w:p>
    <w:p w14:paraId="7C59F9C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structured framework for regularly evaluating the effectiveness of TEVV metrics, focusing on their ability to reflect trustworthiness characteristics and environmental impacts.</w:t>
      </w:r>
    </w:p>
    <w:p w14:paraId="22CFA8A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385B70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the evaluation framework outlining objectives, criteria, and methodologies utilized.</w:t>
      </w:r>
    </w:p>
    <w:p w14:paraId="0BCC6A4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Evaluation schedules that detail frequency and scope for assessing specific TEVV metrics.</w:t>
      </w:r>
    </w:p>
    <w:p w14:paraId="3C15151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Summary reports highlighting the effectiveness of current TEVV metrics in identifying and mitigating risks.</w:t>
      </w:r>
    </w:p>
    <w:p w14:paraId="0FD7905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involvement records indicating participation in the evaluation process and their contributions.</w:t>
      </w:r>
    </w:p>
    <w:p w14:paraId="5BC82F4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9CB2F1B"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Risk Appetite Alignment Assessment</w:t>
      </w:r>
    </w:p>
    <w:p w14:paraId="72DAF6F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assessments to determine whether TEVV metrics align with the organization’s defined risk appetite, ensuring that risk identification and mitigation efforts remain within acceptable levels.</w:t>
      </w:r>
    </w:p>
    <w:p w14:paraId="55428CD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5213B9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appetite statements and documentation describing the criteria used to define acceptable risk levels.</w:t>
      </w:r>
    </w:p>
    <w:p w14:paraId="16F8E26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Analysis reports comparing TEVV metrics outcomes against established risk appetite thresholds.</w:t>
      </w:r>
    </w:p>
    <w:p w14:paraId="6511964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discussions or workshops held to review and refine risk appetite criteria.</w:t>
      </w:r>
    </w:p>
    <w:p w14:paraId="6EBE0E7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adjustments made to TEVV metrics based on alignment assessments.</w:t>
      </w:r>
    </w:p>
    <w:p w14:paraId="0C3E80D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4E1913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Monitoring of Metrics</w:t>
      </w:r>
    </w:p>
    <w:p w14:paraId="6C8C03E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continuous monitoring mechanisms for TEVV metrics to ensure they are up-to-date, relevant, and effective in identifying ongoing risks.</w:t>
      </w:r>
    </w:p>
    <w:p w14:paraId="527DAAF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A15036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dashboards displaying real-time data for TEVV metrics and trends over time.</w:t>
      </w:r>
    </w:p>
    <w:p w14:paraId="532F497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Logs of alerts generated by deviations from expected metric performance.</w:t>
      </w:r>
    </w:p>
    <w:p w14:paraId="582196D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Periodic review reports documenting any changes made to monitoring methods or tools.</w:t>
      </w:r>
    </w:p>
    <w:p w14:paraId="1BA5B78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the frequency and process of metrics updates based on monitoring outcome</w:t>
      </w:r>
    </w:p>
    <w:p w14:paraId="3F7EEA6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2F3068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Findings and Improvements</w:t>
      </w:r>
    </w:p>
    <w:p w14:paraId="404F0B3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comprehensive documentation of analysis findings, including metrics strengths, weaknesses, and areas for improvement, to support continuous refinement of the TEVV approach.</w:t>
      </w:r>
    </w:p>
    <w:p w14:paraId="336F0FF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6C410F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Compiled reports detailing strengths and weaknesses identified during TEVV metrics evaluations.</w:t>
      </w:r>
    </w:p>
    <w:p w14:paraId="6ACB508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plans outlining proposed corrective actions to address weaknesses or gaps in metrics.</w:t>
      </w:r>
    </w:p>
    <w:p w14:paraId="14DC6C5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implemented changes to TEVV metrics or processes, including justifications for those changes.</w:t>
      </w:r>
    </w:p>
    <w:p w14:paraId="6734E24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forms or surveys completed by team members reflecting their insights on the metrics evaluation process.</w:t>
      </w:r>
    </w:p>
    <w:p w14:paraId="72DA939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65DE09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Iterative Improvement Process</w:t>
      </w:r>
    </w:p>
    <w:p w14:paraId="1A7E437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an iterative improvement process that incorporates findings from TEVV metrics analysis into the overall risk management strategy, ensuring continuous enhancement of the organization’s AI risk posture.</w:t>
      </w:r>
    </w:p>
    <w:p w14:paraId="78EE3B8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66EEFC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iterative cycles reflecting the continuous improvement approach and changes made to metrics.</w:t>
      </w:r>
    </w:p>
    <w:p w14:paraId="48F18C9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showing the integration of TEVV metrics findings into broader risk management frameworks or policies.</w:t>
      </w:r>
    </w:p>
    <w:p w14:paraId="75AC75B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demonstrating how improvements in metrics have led to enhanced decision-making and risk management outcomes.</w:t>
      </w:r>
    </w:p>
    <w:p w14:paraId="742DECE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Examples of lessons learned gained from the iterative process that inform future practices and metrics development.</w:t>
      </w:r>
    </w:p>
    <w:p w14:paraId="20E5ABD7"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25FE15D3"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1F97F46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2387E87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23CCB7F8" w14:textId="77777777" w:rsidTr="005C00A5">
        <w:tc>
          <w:tcPr>
            <w:tcW w:w="1170" w:type="dxa"/>
          </w:tcPr>
          <w:p w14:paraId="2FEDD6E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525B16B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0B8260E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393F50B8" w14:textId="77777777" w:rsidTr="005C00A5">
        <w:tc>
          <w:tcPr>
            <w:tcW w:w="1170" w:type="dxa"/>
          </w:tcPr>
          <w:p w14:paraId="7FBA591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MS-2.13.3</w:t>
            </w:r>
          </w:p>
        </w:tc>
        <w:tc>
          <w:tcPr>
            <w:tcW w:w="2160" w:type="dxa"/>
          </w:tcPr>
          <w:p w14:paraId="2AF8C9C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Cost-Effectiveness and Optimization of TEVV</w:t>
            </w:r>
          </w:p>
        </w:tc>
        <w:tc>
          <w:tcPr>
            <w:tcW w:w="6740" w:type="dxa"/>
          </w:tcPr>
          <w:p w14:paraId="2562C6D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analyzes the efficiency and cost-effectiveness of its TEVV metrics and processes, considering the level of risk associated with each AI system and the potential impact of system failures or performance issues. The organization evaluates the cost of implementing and maintaining each TEVV measure relative to the expected risk reduction benefits it provides, prioritizing investments in the most critical and impactful measures. The results of this analysis, including key cost, risk, and optimization trade-offs, are documented and regularly reviewed to inform ongoing refinements to the organization's TEVV strategy and practices.</w:t>
            </w:r>
          </w:p>
          <w:p w14:paraId="597217BE" w14:textId="77777777" w:rsidR="00963E47" w:rsidRPr="00963E47" w:rsidRDefault="00963E47" w:rsidP="004C3837">
            <w:pPr>
              <w:keepNext/>
              <w:rPr>
                <w:rFonts w:ascii="Aptos" w:hAnsi="Aptos" w:cs="Times New Roman"/>
                <w:b/>
                <w:bCs/>
                <w:color w:val="000000"/>
                <w:sz w:val="20"/>
                <w:szCs w:val="20"/>
              </w:rPr>
            </w:pPr>
          </w:p>
          <w:p w14:paraId="0905A95F" w14:textId="77777777" w:rsidR="00963E47" w:rsidRPr="00963E47" w:rsidRDefault="00963E47" w:rsidP="004C3837">
            <w:pPr>
              <w:keepNext/>
              <w:rPr>
                <w:rFonts w:ascii="Aptos" w:hAnsi="Aptos" w:cs="Times New Roman"/>
                <w:b/>
                <w:bCs/>
                <w:color w:val="000000"/>
                <w:sz w:val="20"/>
                <w:szCs w:val="20"/>
              </w:rPr>
            </w:pPr>
            <w:hyperlink r:id="rId182" w:anchor="measure-2-13" w:history="1">
              <w:r w:rsidRPr="00963E47">
                <w:rPr>
                  <w:rFonts w:ascii="Aptos" w:hAnsi="Aptos" w:cs="Times New Roman"/>
                  <w:color w:val="000000"/>
                  <w:sz w:val="20"/>
                  <w:szCs w:val="20"/>
                  <w:u w:val="single"/>
                </w:rPr>
                <w:t>Link to NIST AI RMF Playbook</w:t>
              </w:r>
            </w:hyperlink>
          </w:p>
        </w:tc>
      </w:tr>
    </w:tbl>
    <w:p w14:paraId="4D0866F4"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6627CC0"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1B58B0FD"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645EB88A" w14:textId="77777777" w:rsidTr="005C00A5">
        <w:trPr>
          <w:tblHeader/>
        </w:trPr>
        <w:tc>
          <w:tcPr>
            <w:tcW w:w="2160" w:type="dxa"/>
            <w:shd w:val="clear" w:color="auto" w:fill="CCDCDC"/>
            <w:vAlign w:val="center"/>
          </w:tcPr>
          <w:p w14:paraId="348A8838"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4198898F"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13E21C27"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3C35B7D5" w14:textId="77777777" w:rsidTr="005C00A5">
        <w:tc>
          <w:tcPr>
            <w:tcW w:w="2160" w:type="dxa"/>
            <w:shd w:val="clear" w:color="auto" w:fill="CCDCDC"/>
          </w:tcPr>
          <w:p w14:paraId="20DA851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7A2F851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0C127C4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04A20A3" w14:textId="77777777" w:rsidTr="005C00A5">
        <w:tc>
          <w:tcPr>
            <w:tcW w:w="2160" w:type="dxa"/>
            <w:shd w:val="clear" w:color="auto" w:fill="CCDCDC"/>
          </w:tcPr>
          <w:p w14:paraId="73DA47A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17FB093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49D441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06654630" w14:textId="77777777" w:rsidTr="005C00A5">
        <w:tc>
          <w:tcPr>
            <w:tcW w:w="2160" w:type="dxa"/>
            <w:shd w:val="clear" w:color="auto" w:fill="CCDCDC"/>
          </w:tcPr>
          <w:p w14:paraId="66D2F7D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467AB8D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D12D43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analyze the efficiency and cost-effectiveness of their TEVV metrics and processes, considering the level of risk associated with each AI system and the potential impact of system failures or performance issues. The organization evaluates the cost of implementing and maintaining each TEVV measure relative to the expected risk reduction benefits it provides, prioritizing investments in the most critical and impactful measures. The results of this analysis, including key cost, risk, and optimization trade-offs, are comprehensively documented and regularly reviewed to inform ongoing refinements to the organization's TEVV strategy and practices.</w:t>
            </w:r>
          </w:p>
        </w:tc>
      </w:tr>
      <w:tr w:rsidR="00963E47" w:rsidRPr="00963E47" w14:paraId="4FA2D2B0" w14:textId="77777777" w:rsidTr="005C00A5">
        <w:tc>
          <w:tcPr>
            <w:tcW w:w="2160" w:type="dxa"/>
            <w:shd w:val="clear" w:color="auto" w:fill="CCDCDC"/>
          </w:tcPr>
          <w:p w14:paraId="7642560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69EC673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D41C80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continuously analyzing the efficiency and cost-effectiveness of their TEVV metrics and processes, considering the level of risk associated with each AI system and the potential impact of system failures or performance issues, with real-time evaluation of the cost of implementing and maintaining each TEVV measure relative to the expected risk reduction benefits it provides, prioritizing investments in the most critical and impactful measures based on data-driven insights. The results of this analysis, including key cost, risk, and optimization trade-offs, are dynamically documented and regularly reviewed to inform ongoing refinements to the organization's TEVV strategy and practices, ensuring the highest level of proactive TEVV efficiency and cost-effectiveness optimization.</w:t>
            </w:r>
          </w:p>
        </w:tc>
      </w:tr>
    </w:tbl>
    <w:p w14:paraId="34797B3C"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6C4E0D18" w14:textId="77777777" w:rsidTr="005C00A5">
        <w:tc>
          <w:tcPr>
            <w:tcW w:w="2250" w:type="dxa"/>
          </w:tcPr>
          <w:p w14:paraId="337989B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lastRenderedPageBreak/>
              <w:t>AI Principle</w:t>
            </w:r>
          </w:p>
        </w:tc>
        <w:tc>
          <w:tcPr>
            <w:tcW w:w="2520" w:type="dxa"/>
          </w:tcPr>
          <w:p w14:paraId="58A4C79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44898F5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057737A1" w14:textId="77777777" w:rsidTr="005C00A5">
        <w:tc>
          <w:tcPr>
            <w:tcW w:w="2250" w:type="dxa"/>
          </w:tcPr>
          <w:p w14:paraId="09594CE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41E8051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Unanalyzed TEVV Efficiency</w:t>
            </w:r>
          </w:p>
        </w:tc>
        <w:tc>
          <w:tcPr>
            <w:tcW w:w="5300" w:type="dxa"/>
          </w:tcPr>
          <w:p w14:paraId="7D17647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Efficiency and cost-effectiveness of TEVV metrics and processes are unanalyzed</w:t>
            </w:r>
          </w:p>
        </w:tc>
      </w:tr>
    </w:tbl>
    <w:p w14:paraId="499DC6B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4DD79A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7F8FE7D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EBDC81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 framework for analyzing the efficiency and cost-effectiveness of TEVV metrics and processes, taking into account the level of risk associated with each AI system and the potential impact of system failures or performance issues. Identify the key cost drivers and risk reduction benefits associated with each TEVV measure, and establish a process for quantifying and comparing these factors.</w:t>
      </w:r>
    </w:p>
    <w:p w14:paraId="61B31CE9"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2F68F3B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Use the results of this analysis to prioritize investments in the most critical and impactful TEVV measures, and to identify opportunities for optimizing the organization's overall TEVV strategy and practices. Document the key cost, risk, and optimization trade-offs identified through this analysis, and regularly review and update this documentation to ensure it remains accurate and relevant as the organization's AI systems and risk landscape evolve.</w:t>
      </w:r>
    </w:p>
    <w:p w14:paraId="685A3128"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71CB38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532046B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846B4C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Cost-Benefit and Efficiency Evaluation Framework</w:t>
      </w:r>
    </w:p>
    <w:p w14:paraId="6B92E4C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formal framework to evaluate TEVV measures based on their cost, effectiveness in mitigating risks, and alignment with system criticality and organizational priorities.</w:t>
      </w:r>
    </w:p>
    <w:p w14:paraId="7D5F8AF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564374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Evaluation protocols including cost, benefit, and risk reduction criteria.</w:t>
      </w:r>
    </w:p>
    <w:p w14:paraId="00A93BC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Cost-benefit analysis templates for each TEVV measure.</w:t>
      </w:r>
    </w:p>
    <w:p w14:paraId="7767998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Scoring models prioritizing measures based on impact and resource investment.</w:t>
      </w:r>
    </w:p>
    <w:p w14:paraId="5C79FED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evaluation policies.</w:t>
      </w:r>
    </w:p>
    <w:p w14:paraId="4F32CDB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B0B654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Cost and Effectiveness Data Collection and Analysis</w:t>
      </w:r>
    </w:p>
    <w:p w14:paraId="2F39800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Collect data on implementation costs, operational expenses, and tangible or intangible benefits of TEVV measures, conducting analyses to identify the most impactful and efficient options to inform budget allocations and investment decisions.</w:t>
      </w:r>
    </w:p>
    <w:p w14:paraId="4BF0822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4BDD93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Cost tracking logs for each TEVV activity.</w:t>
      </w:r>
    </w:p>
    <w:p w14:paraId="62425AD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Effectiveness metrics demonstrating risk reduction or improvement.</w:t>
      </w:r>
    </w:p>
    <w:p w14:paraId="26A481E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Impact analysis reports linking measures to system safety or compliance outcomes.</w:t>
      </w:r>
    </w:p>
    <w:p w14:paraId="1017C4C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Dashboards comparing costs against risk mitigation gains.</w:t>
      </w:r>
    </w:p>
    <w:p w14:paraId="7AE3A0B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999515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Prioritization Based on Criticality and Impact</w:t>
      </w:r>
    </w:p>
    <w:p w14:paraId="59D24DB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analysis results to prioritize TEVV measures that provide maximum risk reduction relative to cost, especially targeting the most critical systems or high-impact areas to enhance the overall effectiveness of risk management efforts.</w:t>
      </w:r>
    </w:p>
    <w:p w14:paraId="73FD7BB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E80FC5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Prioritization matrices scoring measures by impact, cost, and system criticality.</w:t>
      </w:r>
    </w:p>
    <w:p w14:paraId="155C969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Investment plans focused on high-impact/low-cost measures.</w:t>
      </w:r>
    </w:p>
    <w:p w14:paraId="1C0A705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Decision logs documenting trade-offs and rationale.</w:t>
      </w:r>
    </w:p>
    <w:p w14:paraId="578527C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review and approval records.</w:t>
      </w:r>
    </w:p>
    <w:p w14:paraId="2A54CE0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2707AE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Cost-Risk Optimization Trade-offs</w:t>
      </w:r>
    </w:p>
    <w:p w14:paraId="00277E4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Record key cost, risk, and optimization trade-offs, including assumptions, analysis methods, and decision rationales, for transparency and future reference to create a robust framework for evaluating and justifying resource allocation decisions.</w:t>
      </w:r>
    </w:p>
    <w:p w14:paraId="06254B6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5FC9A84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Trade-off analysis reports with numeric and qualitative assessments.</w:t>
      </w:r>
    </w:p>
    <w:p w14:paraId="564A4E9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capturing trade-off discussions and approvals.</w:t>
      </w:r>
    </w:p>
    <w:p w14:paraId="7BB544B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Cost-benefit evaluation summaries linked to strategic priorities.</w:t>
      </w:r>
    </w:p>
    <w:p w14:paraId="741A7FE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Revision histories reflecting updates based on ongoing analysis.</w:t>
      </w:r>
    </w:p>
    <w:p w14:paraId="37AA270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5A7E42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Ongoing Review and Refinement of Cost-Effectiveness Strategies</w:t>
      </w:r>
    </w:p>
    <w:p w14:paraId="64E77C6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review the cost-effectiveness analysis results, updating strategies based on new data, changing system risk profiles, and lessons learned, to ensure continuous prioritization of high-impact measures and adaptability to evolving organizational needs and external conditions.</w:t>
      </w:r>
    </w:p>
    <w:p w14:paraId="1F9BB6D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3C2E80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and analytical reports.</w:t>
      </w:r>
    </w:p>
    <w:p w14:paraId="574CCAD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Reassessment logs showing updated evaluations.</w:t>
      </w:r>
    </w:p>
    <w:p w14:paraId="380E293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logs from risk owners and stakeholders.</w:t>
      </w:r>
    </w:p>
    <w:p w14:paraId="1250FD8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Revised investment and optimization plans based on analysis.</w:t>
      </w:r>
    </w:p>
    <w:p w14:paraId="481ADAE4"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62" w:name="_Toc214874807"/>
      <w:r w:rsidRPr="00963E47">
        <w:rPr>
          <w:rFonts w:ascii="Aptos" w:eastAsia="Aptos" w:hAnsi="Aptos" w:cs="Times New Roman"/>
          <w:b/>
          <w:bCs/>
          <w:noProof/>
          <w:color w:val="35256B"/>
          <w:kern w:val="2"/>
          <w:sz w:val="24"/>
          <w14:ligatures w14:val="standardContextual"/>
        </w:rPr>
        <w:t>MEASURE / Tracking AI Risks / Tracking Known and Emergent Risks</w:t>
      </w:r>
      <w:bookmarkEnd w:id="62"/>
      <w:r w:rsidRPr="00963E47">
        <w:rPr>
          <w:rFonts w:ascii="Aptos" w:eastAsia="Aptos" w:hAnsi="Aptos" w:cs="Times New Roman"/>
          <w:b/>
          <w:bCs/>
          <w:noProof/>
          <w:color w:val="35256B"/>
          <w:kern w:val="2"/>
          <w:sz w:val="24"/>
          <w14:ligatures w14:val="standardContextual"/>
        </w:rPr>
        <w:t xml:space="preserve"> </w:t>
      </w:r>
    </w:p>
    <w:p w14:paraId="494C352B"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0BA0926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2A1C725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4DE74BDB" w14:textId="77777777" w:rsidTr="005C00A5">
        <w:tc>
          <w:tcPr>
            <w:tcW w:w="1170" w:type="dxa"/>
          </w:tcPr>
          <w:p w14:paraId="205AA0E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4FDAE9E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1C4CEB3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65C05A78" w14:textId="77777777" w:rsidTr="005C00A5">
        <w:tc>
          <w:tcPr>
            <w:tcW w:w="1170" w:type="dxa"/>
          </w:tcPr>
          <w:p w14:paraId="3D55EBF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MS-3.1.1</w:t>
            </w:r>
          </w:p>
        </w:tc>
        <w:tc>
          <w:tcPr>
            <w:tcW w:w="2160" w:type="dxa"/>
          </w:tcPr>
          <w:p w14:paraId="244A7A0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Risk Tracking and Resource Allocation</w:t>
            </w:r>
          </w:p>
        </w:tc>
        <w:tc>
          <w:tcPr>
            <w:tcW w:w="6740" w:type="dxa"/>
          </w:tcPr>
          <w:p w14:paraId="583794A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allocates resources to support an approach for identifying and tracking AI risks. This approach includes monitoring AI system performance, considering the nature of AI risks, and analyzing external factors such as operational environment changes, stakeholder feedback, and industry developments. Resources are allocated to develop and implement AI risk management techniques, addressing opacity and explainability challenges. The organization reviews and adjusts resource allocation to ensure the effectiveness of its AI risk identification and tracking processes, adapting to the evolving regulatory landscape.</w:t>
            </w:r>
          </w:p>
          <w:p w14:paraId="674F13D9" w14:textId="77777777" w:rsidR="00963E47" w:rsidRPr="00963E47" w:rsidRDefault="00963E47" w:rsidP="004C3837">
            <w:pPr>
              <w:keepNext/>
              <w:rPr>
                <w:rFonts w:ascii="Aptos" w:hAnsi="Aptos" w:cs="Times New Roman"/>
                <w:b/>
                <w:bCs/>
                <w:color w:val="000000"/>
                <w:sz w:val="20"/>
                <w:szCs w:val="20"/>
              </w:rPr>
            </w:pPr>
          </w:p>
          <w:p w14:paraId="5FB960B8" w14:textId="77777777" w:rsidR="00963E47" w:rsidRPr="00963E47" w:rsidRDefault="00963E47" w:rsidP="004C3837">
            <w:pPr>
              <w:keepNext/>
              <w:rPr>
                <w:rFonts w:ascii="Aptos" w:hAnsi="Aptos" w:cs="Times New Roman"/>
                <w:b/>
                <w:bCs/>
                <w:color w:val="000000"/>
                <w:sz w:val="20"/>
                <w:szCs w:val="20"/>
              </w:rPr>
            </w:pPr>
            <w:hyperlink r:id="rId183" w:anchor="measure-3-1" w:history="1">
              <w:r w:rsidRPr="00963E47">
                <w:rPr>
                  <w:rFonts w:ascii="Aptos" w:hAnsi="Aptos" w:cs="Times New Roman"/>
                  <w:color w:val="000000"/>
                  <w:sz w:val="20"/>
                  <w:szCs w:val="20"/>
                  <w:u w:val="single"/>
                </w:rPr>
                <w:t>Link to NIST AI RMF Playbook</w:t>
              </w:r>
            </w:hyperlink>
          </w:p>
        </w:tc>
      </w:tr>
    </w:tbl>
    <w:p w14:paraId="1F5B8F74"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69B1129"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55EE1853"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5C24C29C" w14:textId="77777777" w:rsidTr="005C00A5">
        <w:trPr>
          <w:tblHeader/>
        </w:trPr>
        <w:tc>
          <w:tcPr>
            <w:tcW w:w="2160" w:type="dxa"/>
            <w:shd w:val="clear" w:color="auto" w:fill="CCDCDC"/>
            <w:vAlign w:val="center"/>
          </w:tcPr>
          <w:p w14:paraId="2A281E77"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60258DCD"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1BBDD1C2"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401A6805" w14:textId="77777777" w:rsidTr="005C00A5">
        <w:tc>
          <w:tcPr>
            <w:tcW w:w="2160" w:type="dxa"/>
            <w:shd w:val="clear" w:color="auto" w:fill="CCDCDC"/>
          </w:tcPr>
          <w:p w14:paraId="094AD14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164BA59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F1CD4B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EC8CB9F" w14:textId="77777777" w:rsidTr="005C00A5">
        <w:tc>
          <w:tcPr>
            <w:tcW w:w="2160" w:type="dxa"/>
            <w:shd w:val="clear" w:color="auto" w:fill="CCDCDC"/>
          </w:tcPr>
          <w:p w14:paraId="5015705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6183A25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1F8545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minimal stage allocate a small amount of resources to support an approach for identifying and tracking AI risks. This approach includes monitoring basic AI system performance, considering the nature of high-level AI risks, and analyzing external factors.</w:t>
            </w:r>
          </w:p>
        </w:tc>
      </w:tr>
      <w:tr w:rsidR="00963E47" w:rsidRPr="00963E47" w14:paraId="271DB6E1" w14:textId="77777777" w:rsidTr="005C00A5">
        <w:tc>
          <w:tcPr>
            <w:tcW w:w="2160" w:type="dxa"/>
            <w:shd w:val="clear" w:color="auto" w:fill="CCDCDC"/>
          </w:tcPr>
          <w:p w14:paraId="7838852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2B59F74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5700FD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evolving stage, organizations allocate resources to support an approach for identifying and tracking AI risks. This approach includes monitoring AI system performance, considering the nature of AI risks, and analyzing external factors such as operational environment changes, stakeholder feedback, and industry developments. Resources are allocated to develop and implement AI risk management techniques, addressing opacity and explainability challenges. The organization reviews and adjusts resource allocation </w:t>
            </w:r>
            <w:r w:rsidRPr="00963E47">
              <w:rPr>
                <w:rFonts w:ascii="Aptos" w:hAnsi="Aptos" w:cs="Times New Roman"/>
                <w:noProof/>
                <w:color w:val="auto"/>
                <w:sz w:val="20"/>
                <w:szCs w:val="20"/>
              </w:rPr>
              <w:lastRenderedPageBreak/>
              <w:t>to ensure the effectiveness of its AI risk identification and tracking processes, adapting to the evolving regulatory landscape.</w:t>
            </w:r>
          </w:p>
        </w:tc>
      </w:tr>
      <w:tr w:rsidR="00963E47" w:rsidRPr="00963E47" w14:paraId="06A52DE2" w14:textId="77777777" w:rsidTr="005C00A5">
        <w:tc>
          <w:tcPr>
            <w:tcW w:w="2160" w:type="dxa"/>
            <w:shd w:val="clear" w:color="auto" w:fill="CCDCDC"/>
          </w:tcPr>
          <w:p w14:paraId="39FD998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4: Embedded</w:t>
            </w:r>
          </w:p>
        </w:tc>
        <w:tc>
          <w:tcPr>
            <w:tcW w:w="1350" w:type="dxa"/>
          </w:tcPr>
          <w:p w14:paraId="50F8787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732103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continuously allocating resources to support an approach for identifying and tracking AI risks, with real-time monitoring of AI system performance, consideration of the nature of AI risks, and analysis of external factors such as operational environment changes, stakeholder feedback, and industry developments based on data-driven insights. Resources are dynamically allocated to develop and implement AI risk management techniques, addressing opacity and explainability challenges. The organization reviews and adjusts resource allocation to ensure the effectiveness of its AI risk identification and tracking processes, adapting to the evolving regulatory landscape, ensuring the highest level of proactive AI risk identification and tracking resource allocation and effectiveness.</w:t>
            </w:r>
          </w:p>
        </w:tc>
      </w:tr>
    </w:tbl>
    <w:p w14:paraId="09DDDC0B"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6E7F27F0" w14:textId="77777777" w:rsidTr="005C00A5">
        <w:tc>
          <w:tcPr>
            <w:tcW w:w="2250" w:type="dxa"/>
          </w:tcPr>
          <w:p w14:paraId="1F4F5A8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4250C04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2EEDA92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639606DF" w14:textId="77777777" w:rsidTr="005C00A5">
        <w:tc>
          <w:tcPr>
            <w:tcW w:w="2250" w:type="dxa"/>
          </w:tcPr>
          <w:p w14:paraId="1F2C1C2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7A4192B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Inadequate Resources Allocated</w:t>
            </w:r>
          </w:p>
        </w:tc>
        <w:tc>
          <w:tcPr>
            <w:tcW w:w="5300" w:type="dxa"/>
          </w:tcPr>
          <w:p w14:paraId="40A70C7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Resources for identifying and tracking AI risks are not adequately allocated</w:t>
            </w:r>
          </w:p>
        </w:tc>
      </w:tr>
    </w:tbl>
    <w:p w14:paraId="0D928A7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9D65E2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3FE5F79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45879B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Establish a process for allocating resources to support the identification and tracking of AI risks. Develop a standardized methodology for assessing the resource requirements associated with monitoring AI system performance, analyzing external factors, and implementing risk management techniques, taking into account the unique challenges posed by AI systems, such as opacity and explainability. </w:t>
      </w:r>
    </w:p>
    <w:p w14:paraId="0142C9EA"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7A48B48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Regularly review and adjust resource allocation based on the effectiveness of AI risk identification and tracking processes, as well as changes in the regulatory landscape and the organization's AI risk profile. Document the resource allocation process, including the criteria used to prioritize investments and the rationale for any adjustments made over time.</w:t>
      </w:r>
    </w:p>
    <w:p w14:paraId="52418FEE"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83B856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5E78FE5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2C1D4C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Establishment of a Resource Planning and Allocation Framework</w:t>
      </w:r>
    </w:p>
    <w:p w14:paraId="410C9E3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 structured framework for allocating resources—personnel, tools, and budgets—for AI risk identification and monitoring activities, guided by risk severity and evolving requirements.</w:t>
      </w:r>
    </w:p>
    <w:p w14:paraId="1C1ED8E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67515B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Formal resource planning documents aligned with risk priorities.</w:t>
      </w:r>
    </w:p>
    <w:p w14:paraId="34CE5BC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Budget plans dedicated to AI risk management initiatives.</w:t>
      </w:r>
    </w:p>
    <w:p w14:paraId="6BA4B74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Staffing and skill gap analyses linked to risk mitigation needs.</w:t>
      </w:r>
    </w:p>
    <w:p w14:paraId="291785D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resource allocation policies.</w:t>
      </w:r>
    </w:p>
    <w:p w14:paraId="067676B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9B58D7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Deployment of Risk Monitoring and Analysis Capabilities</w:t>
      </w:r>
    </w:p>
    <w:p w14:paraId="15001A0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Allocate resources to implement systems, tools, and processes for tracking system performance, external factors, and stakeholder feedback, including explainability and opacity mitigation techniques to enhance the overall effectiveness of AI risk management and improve user trust.</w:t>
      </w:r>
    </w:p>
    <w:p w14:paraId="3FF2EFD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5E88DA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dashboards tracking key risk indicators.</w:t>
      </w:r>
    </w:p>
    <w:p w14:paraId="2590465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Implementation logs for tools addressing opacity and explainability.</w:t>
      </w:r>
    </w:p>
    <w:p w14:paraId="2AE77AA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Data collection protocols capturing external environment influences.</w:t>
      </w:r>
    </w:p>
    <w:p w14:paraId="0D594CF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and feedback logs.</w:t>
      </w:r>
    </w:p>
    <w:p w14:paraId="35EA293F"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33D325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Review and Adjustment of Resource Deployment</w:t>
      </w:r>
    </w:p>
    <w:p w14:paraId="0DC15FB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Periodically assess the adequacy and effectiveness of resource deployment, with adjustments made based on system evolution, regulatory changes, and feedback to ensure that resource allocation aligns with current needs and best practices.</w:t>
      </w:r>
    </w:p>
    <w:p w14:paraId="4E81D22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568513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Resource review schedules and assessment reports.</w:t>
      </w:r>
    </w:p>
    <w:p w14:paraId="6DFFF75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resource re-allocation decisions.</w:t>
      </w:r>
    </w:p>
    <w:p w14:paraId="0FC1322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risk teams on resource sufficiency.</w:t>
      </w:r>
    </w:p>
    <w:p w14:paraId="01ACEE5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plans incorporating lessons from system updates or incidents.</w:t>
      </w:r>
    </w:p>
    <w:p w14:paraId="6240249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1C9B74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of External Factors and Feedback into Resource Planning</w:t>
      </w:r>
    </w:p>
    <w:p w14:paraId="42886B7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Incorporate insights from external environment changes, stakeholder feedback, and industry developments into resource planning and risk management strategies to maintain relevance and responsiveness in addressing emerging AI risks.</w:t>
      </w:r>
    </w:p>
    <w:p w14:paraId="068FA42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F9A140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External monitoring reports linked to resource allocations.</w:t>
      </w:r>
    </w:p>
    <w:p w14:paraId="650068C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feedback review records informing resource adjustments.</w:t>
      </w:r>
    </w:p>
    <w:p w14:paraId="5BBF7DC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assessment updates reflecting new external influences.</w:t>
      </w:r>
    </w:p>
    <w:p w14:paraId="5C48B73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approval documentation.</w:t>
      </w:r>
    </w:p>
    <w:p w14:paraId="6CAACD1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F89F59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Training and Skill Development to Support Effective Risk Management</w:t>
      </w:r>
    </w:p>
    <w:p w14:paraId="1A9EA73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Allocate resources for ongoing training to establish expertise in AI opacity, explainability techniques, and regulatory compliance, supporting adaptive risk management to foster an informed workforce capable of navigating the complexities associated with AI systems.</w:t>
      </w:r>
    </w:p>
    <w:p w14:paraId="53811C2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B22E39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budgets and schedules.</w:t>
      </w:r>
    </w:p>
    <w:p w14:paraId="2481A0E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Attendance and certification records for relevant training.</w:t>
      </w:r>
    </w:p>
    <w:p w14:paraId="1C0756C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Skill gap analyses and development plans.</w:t>
      </w:r>
    </w:p>
    <w:p w14:paraId="6097D57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training materials reflecting new regulatory or technological standards.</w:t>
      </w:r>
    </w:p>
    <w:p w14:paraId="3BE6497F"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0C9E573F"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3185B1A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70FD1C1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385F6A01" w14:textId="77777777" w:rsidTr="005C00A5">
        <w:tc>
          <w:tcPr>
            <w:tcW w:w="1170" w:type="dxa"/>
          </w:tcPr>
          <w:p w14:paraId="392CC3E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05644B7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73AFBFD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6C74C03B" w14:textId="77777777" w:rsidTr="005C00A5">
        <w:tc>
          <w:tcPr>
            <w:tcW w:w="1170" w:type="dxa"/>
          </w:tcPr>
          <w:p w14:paraId="3F728C8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MS-3.1.2</w:t>
            </w:r>
          </w:p>
        </w:tc>
        <w:tc>
          <w:tcPr>
            <w:tcW w:w="2160" w:type="dxa"/>
          </w:tcPr>
          <w:p w14:paraId="288684B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Risk Documentation and Review</w:t>
            </w:r>
          </w:p>
        </w:tc>
        <w:tc>
          <w:tcPr>
            <w:tcW w:w="6740" w:type="dxa"/>
          </w:tcPr>
          <w:p w14:paraId="4B9E409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For each AI system, the organization documents the identified risks, their likelihood and potential impact, and the effectiveness of risk tracking methods employed. The documentation includes methodologies, tools, data sources, and personnel roles and responsibilities. The organization reviews and updates this documentation to reflect changes in the AI system's risk profile and assesses the effectiveness of its risk identification and tracking processes to drive continuous improvement.</w:t>
            </w:r>
          </w:p>
          <w:p w14:paraId="1121A29A" w14:textId="77777777" w:rsidR="00963E47" w:rsidRPr="00963E47" w:rsidRDefault="00963E47" w:rsidP="004C3837">
            <w:pPr>
              <w:keepNext/>
              <w:rPr>
                <w:rFonts w:ascii="Aptos" w:hAnsi="Aptos" w:cs="Times New Roman"/>
                <w:b/>
                <w:bCs/>
                <w:color w:val="000000"/>
                <w:sz w:val="20"/>
                <w:szCs w:val="20"/>
              </w:rPr>
            </w:pPr>
          </w:p>
          <w:p w14:paraId="5267A012" w14:textId="77777777" w:rsidR="00963E47" w:rsidRPr="00963E47" w:rsidRDefault="00963E47" w:rsidP="004C3837">
            <w:pPr>
              <w:keepNext/>
              <w:rPr>
                <w:rFonts w:ascii="Aptos" w:hAnsi="Aptos" w:cs="Times New Roman"/>
                <w:b/>
                <w:bCs/>
                <w:color w:val="000000"/>
                <w:sz w:val="20"/>
                <w:szCs w:val="20"/>
              </w:rPr>
            </w:pPr>
            <w:hyperlink r:id="rId184" w:anchor="measure-3-1" w:history="1">
              <w:r w:rsidRPr="00963E47">
                <w:rPr>
                  <w:rFonts w:ascii="Aptos" w:hAnsi="Aptos" w:cs="Times New Roman"/>
                  <w:color w:val="000000"/>
                  <w:sz w:val="20"/>
                  <w:szCs w:val="20"/>
                  <w:u w:val="single"/>
                </w:rPr>
                <w:t>Link to NIST AI RMF Playbook</w:t>
              </w:r>
            </w:hyperlink>
          </w:p>
        </w:tc>
      </w:tr>
    </w:tbl>
    <w:p w14:paraId="55FF94A3"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8F61F22"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lastRenderedPageBreak/>
        <w:t>Adoption Stage Applicability:</w:t>
      </w:r>
      <w:r w:rsidRPr="00963E47">
        <w:rPr>
          <w:rFonts w:ascii="Aptos" w:eastAsia="Aptos" w:hAnsi="Aptos" w:cs="Times New Roman"/>
          <w:color w:val="C00000"/>
          <w:kern w:val="2"/>
          <w:sz w:val="20"/>
          <w:szCs w:val="20"/>
          <w14:ligatures w14:val="standardContextual"/>
        </w:rPr>
        <w:t xml:space="preserve"> </w:t>
      </w:r>
    </w:p>
    <w:p w14:paraId="2515471A"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75D483E4" w14:textId="77777777" w:rsidTr="005C00A5">
        <w:trPr>
          <w:tblHeader/>
        </w:trPr>
        <w:tc>
          <w:tcPr>
            <w:tcW w:w="2160" w:type="dxa"/>
            <w:shd w:val="clear" w:color="auto" w:fill="CCDCDC"/>
            <w:vAlign w:val="center"/>
          </w:tcPr>
          <w:p w14:paraId="3C556B90"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340C5937"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58C76E04"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3F4F63AF" w14:textId="77777777" w:rsidTr="005C00A5">
        <w:tc>
          <w:tcPr>
            <w:tcW w:w="2160" w:type="dxa"/>
            <w:shd w:val="clear" w:color="auto" w:fill="CCDCDC"/>
          </w:tcPr>
          <w:p w14:paraId="74D4A60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1CF16F0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53CF9F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DD8F1F4" w14:textId="77777777" w:rsidTr="005C00A5">
        <w:tc>
          <w:tcPr>
            <w:tcW w:w="2160" w:type="dxa"/>
            <w:shd w:val="clear" w:color="auto" w:fill="CCDCDC"/>
          </w:tcPr>
          <w:p w14:paraId="63B0055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72C8DEF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F1EDB8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minimal stage document the identified risks for each AI system, their likelihood and potential impact, and the effectiveness of risk tracking methods employed. The documentation includes methodologies, tools, data sources, and personnel roles and responsibilities.</w:t>
            </w:r>
          </w:p>
        </w:tc>
      </w:tr>
      <w:tr w:rsidR="00963E47" w:rsidRPr="00963E47" w14:paraId="200EA6B4" w14:textId="77777777" w:rsidTr="005C00A5">
        <w:tc>
          <w:tcPr>
            <w:tcW w:w="2160" w:type="dxa"/>
            <w:shd w:val="clear" w:color="auto" w:fill="CCDCDC"/>
          </w:tcPr>
          <w:p w14:paraId="06C72005"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2024156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355724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for each AI system, document the identified risks, their likelihood and potential impact, and the effectiveness of risk tracking methods employed. The documentation includes methodologies, tools, data sources, and personnel roles and responsibilities. The organization reviews and updates this documentation to reflect changes in the AI system's risk profile and assesses the effectiveness of its risk identification and tracking processes to drive continuous improvement.</w:t>
            </w:r>
          </w:p>
        </w:tc>
      </w:tr>
      <w:tr w:rsidR="00963E47" w:rsidRPr="00963E47" w14:paraId="5F44BEC3" w14:textId="77777777" w:rsidTr="005C00A5">
        <w:tc>
          <w:tcPr>
            <w:tcW w:w="2160" w:type="dxa"/>
            <w:shd w:val="clear" w:color="auto" w:fill="CCDCDC"/>
          </w:tcPr>
          <w:p w14:paraId="6D1DF9B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3202CA4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01636E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continuously documenting, for each AI system, the identified risks, their likelihood and potential impact, and the effectiveness of risk tracking methods employed, with real-time inclusion of methodologies, tools, data sources, and personnel roles and responsibilities based on data-driven insights. The organization reviews and updates this documentation to reflect changes in the AI system's risk profile and assesses the effectiveness of its risk identification and tracking processes to drive continuous improvement, ensuring the highest level of proactive AI risk documentation, review, and continuous improvement.</w:t>
            </w:r>
          </w:p>
        </w:tc>
      </w:tr>
    </w:tbl>
    <w:p w14:paraId="6B573B4B"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0062233C" w14:textId="77777777" w:rsidTr="005C00A5">
        <w:tc>
          <w:tcPr>
            <w:tcW w:w="2250" w:type="dxa"/>
          </w:tcPr>
          <w:p w14:paraId="0C8AA12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3D547CF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6D4B64A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103D07D4" w14:textId="77777777" w:rsidTr="005C00A5">
        <w:tc>
          <w:tcPr>
            <w:tcW w:w="2250" w:type="dxa"/>
          </w:tcPr>
          <w:p w14:paraId="4FEE54F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053D787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Undocumented Risk Tracking</w:t>
            </w:r>
          </w:p>
        </w:tc>
        <w:tc>
          <w:tcPr>
            <w:tcW w:w="5300" w:type="dxa"/>
          </w:tcPr>
          <w:p w14:paraId="2243706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Identified AI risks and tracking methods are undocumented or unreviewed</w:t>
            </w:r>
          </w:p>
        </w:tc>
      </w:tr>
    </w:tbl>
    <w:p w14:paraId="1061F7A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9669EE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10E9F61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A923D0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 standardized template for documenting identified AI risks, including information on their likelihood and potential impact, as well as the methods and tools used to track them. Ensure that this documentation is maintained and updated regularly for each AI system, reflecting changes in the system's risk profile over time.</w:t>
      </w:r>
    </w:p>
    <w:p w14:paraId="573BEE43"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1306D8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a process for reviewing and assessing the effectiveness of AI risk identification and tracking processes, using the documentation as a key input. Identify areas for improvement and implement changes as needed to ensure that risk identification and tracking remain effective and efficient as the organization's AI systems and risk landscape evolve.</w:t>
      </w:r>
    </w:p>
    <w:p w14:paraId="29E60705"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8A808C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6165C2D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7EF7D9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a Risk Documentation Framework</w:t>
      </w:r>
    </w:p>
    <w:p w14:paraId="59B2673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Create standardized templates and procedures for documenting AI system risks, likelihood, impact, methodologies, tools, data sources, roles, and responsibilities.</w:t>
      </w:r>
    </w:p>
    <w:p w14:paraId="2C2DB25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020ABB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documentation templates aligned with organizational standards.</w:t>
      </w:r>
    </w:p>
    <w:p w14:paraId="306991E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Process manuals outlining risk assessment methodologies.</w:t>
      </w:r>
    </w:p>
    <w:p w14:paraId="5D1045A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risk registers for each AI system.</w:t>
      </w:r>
    </w:p>
    <w:p w14:paraId="544E057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Role matrices specifying personnel responsibilities.</w:t>
      </w:r>
    </w:p>
    <w:p w14:paraId="50349D9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D8E914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Systematic Identification and Documentation of Risks</w:t>
      </w:r>
    </w:p>
    <w:p w14:paraId="31675DE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For each AI system, identify risks related to performance, biases, security, and other relevant factors, and record their likelihood and potential impact to create a comprehensive risk profile that supports informed decision-making.</w:t>
      </w:r>
    </w:p>
    <w:p w14:paraId="658B3BD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98392C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registers with detailed descriptions, likelihood estimates, and impact assessments.</w:t>
      </w:r>
    </w:p>
    <w:p w14:paraId="37A2B6C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source logs supporting risk analyses.</w:t>
      </w:r>
    </w:p>
    <w:p w14:paraId="784BE6D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assessment reports linked to system models and operational data.</w:t>
      </w:r>
    </w:p>
    <w:p w14:paraId="12E4609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review notes confirming risk identification.</w:t>
      </w:r>
    </w:p>
    <w:p w14:paraId="5E5A2C3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460008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Evaluation of Risk Tracking Methods’ Effectiveness</w:t>
      </w:r>
    </w:p>
    <w:p w14:paraId="3200B86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Assess and document how well current risk tracking methods detect, monitor, and manage risks, including metrics or indicators of effectiveness to ensure that risk management practices are functioning as intended and identify areas for improvement.</w:t>
      </w:r>
    </w:p>
    <w:p w14:paraId="60AFD35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44C5F3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dashboards tracking risk indicators over time.</w:t>
      </w:r>
    </w:p>
    <w:p w14:paraId="10EE99C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logs and root cause analyses indicating detection gaps.</w:t>
      </w:r>
    </w:p>
    <w:p w14:paraId="2C8F23D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Effectiveness evaluation reports with metrics such as detection time and mitigations applied.</w:t>
      </w:r>
    </w:p>
    <w:p w14:paraId="0A5FBFB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risk owners on process adequacy.</w:t>
      </w:r>
    </w:p>
    <w:p w14:paraId="164973B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AE916D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Reflection of System Changes and Risk Profile Updates</w:t>
      </w:r>
    </w:p>
    <w:p w14:paraId="7B1DE40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Review and update risk documentation regularly to reflect changes in the AI system’s design, environment, or identified risks, maintaining accuracy and completeness to ensure that stakeholders have access to the most relevant and up-to-date information.</w:t>
      </w:r>
    </w:p>
    <w:p w14:paraId="44C2145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49457F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Revisions logs with timestamps, analyses, and responsible personnel.</w:t>
      </w:r>
    </w:p>
    <w:p w14:paraId="29FF048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risk assessments following system modifications or incident reports.</w:t>
      </w:r>
    </w:p>
    <w:p w14:paraId="375CB30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management records linking updates to system evolution.</w:t>
      </w:r>
    </w:p>
    <w:p w14:paraId="7A4D48D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meeting minutes approving updates.</w:t>
      </w:r>
    </w:p>
    <w:p w14:paraId="01F15C5F"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371556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Improvement of Risk Identification and Tracking</w:t>
      </w:r>
    </w:p>
    <w:p w14:paraId="4DE5D5F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insights from reviews and evaluations to enhance risk detection and management processes, ensuring ongoing effectiveness and alignment with organizational risk appetite to adapt to changing conditions and emerging threats in the AI landscape.</w:t>
      </w:r>
    </w:p>
    <w:p w14:paraId="054E402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5FF95F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reports from risk management audits or incidents.</w:t>
      </w:r>
    </w:p>
    <w:p w14:paraId="592A273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Process enhancement plans documented with timelines.</w:t>
      </w:r>
    </w:p>
    <w:p w14:paraId="412F18B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risk teams and system owners.</w:t>
      </w:r>
    </w:p>
    <w:p w14:paraId="46D3CCA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methodologies and tools based on prior findings.</w:t>
      </w:r>
    </w:p>
    <w:p w14:paraId="465E9734"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63" w:name="_Toc214874808"/>
      <w:r w:rsidRPr="00963E47">
        <w:rPr>
          <w:rFonts w:ascii="Aptos" w:eastAsia="Aptos" w:hAnsi="Aptos" w:cs="Times New Roman"/>
          <w:b/>
          <w:bCs/>
          <w:noProof/>
          <w:color w:val="35256B"/>
          <w:kern w:val="2"/>
          <w:sz w:val="24"/>
          <w14:ligatures w14:val="standardContextual"/>
        </w:rPr>
        <w:lastRenderedPageBreak/>
        <w:t>MEASURE / Tracking AI Risks / Qualitative Risk Tracking</w:t>
      </w:r>
      <w:bookmarkEnd w:id="63"/>
      <w:r w:rsidRPr="00963E47">
        <w:rPr>
          <w:rFonts w:ascii="Aptos" w:eastAsia="Aptos" w:hAnsi="Aptos" w:cs="Times New Roman"/>
          <w:b/>
          <w:bCs/>
          <w:noProof/>
          <w:color w:val="35256B"/>
          <w:kern w:val="2"/>
          <w:sz w:val="24"/>
          <w14:ligatures w14:val="standardContextual"/>
        </w:rPr>
        <w:t xml:space="preserve"> </w:t>
      </w:r>
    </w:p>
    <w:p w14:paraId="35DB87BF"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41F38CC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376C280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17DDC209" w14:textId="77777777" w:rsidTr="005C00A5">
        <w:tc>
          <w:tcPr>
            <w:tcW w:w="1170" w:type="dxa"/>
          </w:tcPr>
          <w:p w14:paraId="4B4757F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0B05D7D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7A36801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493853E7" w14:textId="77777777" w:rsidTr="005C00A5">
        <w:tc>
          <w:tcPr>
            <w:tcW w:w="1170" w:type="dxa"/>
          </w:tcPr>
          <w:p w14:paraId="3169A38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MS-3.2.1</w:t>
            </w:r>
          </w:p>
        </w:tc>
        <w:tc>
          <w:tcPr>
            <w:tcW w:w="2160" w:type="dxa"/>
          </w:tcPr>
          <w:p w14:paraId="3CB2ED6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Measurement Technique Gap Analysis</w:t>
            </w:r>
          </w:p>
        </w:tc>
        <w:tc>
          <w:tcPr>
            <w:tcW w:w="6740" w:type="dxa"/>
          </w:tcPr>
          <w:p w14:paraId="374A31D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identifies AI risk scenarios where current measurement techniques may be unavailable or insufficient, documenting these scenarios and limitations. It explores alternative risk tracking approaches and evaluates the suitability of each approach, considering data availability, interpretability, and the ability to incorporate domain knowledge. The selection of modeling techniques is guided by the AI system's characteristics, the nature of the risks, and risk management objectives. The rationale for the chosen approaches, assumptions, and limitations is documented.</w:t>
            </w:r>
          </w:p>
          <w:p w14:paraId="34676332" w14:textId="77777777" w:rsidR="00963E47" w:rsidRPr="00963E47" w:rsidRDefault="00963E47" w:rsidP="004C3837">
            <w:pPr>
              <w:keepNext/>
              <w:rPr>
                <w:rFonts w:ascii="Aptos" w:hAnsi="Aptos" w:cs="Times New Roman"/>
                <w:b/>
                <w:bCs/>
                <w:color w:val="000000"/>
                <w:sz w:val="20"/>
                <w:szCs w:val="20"/>
              </w:rPr>
            </w:pPr>
          </w:p>
          <w:p w14:paraId="7D553753" w14:textId="77777777" w:rsidR="00963E47" w:rsidRPr="00963E47" w:rsidRDefault="00963E47" w:rsidP="004C3837">
            <w:pPr>
              <w:keepNext/>
              <w:rPr>
                <w:rFonts w:ascii="Aptos" w:hAnsi="Aptos" w:cs="Times New Roman"/>
                <w:b/>
                <w:bCs/>
                <w:color w:val="000000"/>
                <w:sz w:val="20"/>
                <w:szCs w:val="20"/>
              </w:rPr>
            </w:pPr>
            <w:hyperlink r:id="rId185" w:anchor="measure-3-2" w:history="1">
              <w:r w:rsidRPr="00963E47">
                <w:rPr>
                  <w:rFonts w:ascii="Aptos" w:hAnsi="Aptos" w:cs="Times New Roman"/>
                  <w:color w:val="000000"/>
                  <w:sz w:val="20"/>
                  <w:szCs w:val="20"/>
                  <w:u w:val="single"/>
                </w:rPr>
                <w:t>Link to NIST AI RMF Playbook</w:t>
              </w:r>
            </w:hyperlink>
          </w:p>
        </w:tc>
      </w:tr>
    </w:tbl>
    <w:p w14:paraId="10F79C5D"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6364E4A"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6C6630B1"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35312440" w14:textId="77777777" w:rsidTr="005C00A5">
        <w:trPr>
          <w:tblHeader/>
        </w:trPr>
        <w:tc>
          <w:tcPr>
            <w:tcW w:w="2160" w:type="dxa"/>
            <w:shd w:val="clear" w:color="auto" w:fill="CCDCDC"/>
            <w:vAlign w:val="center"/>
          </w:tcPr>
          <w:p w14:paraId="2766DEE7"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30820D46"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0844099B"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68AA6E35" w14:textId="77777777" w:rsidTr="005C00A5">
        <w:tc>
          <w:tcPr>
            <w:tcW w:w="2160" w:type="dxa"/>
            <w:shd w:val="clear" w:color="auto" w:fill="CCDCDC"/>
          </w:tcPr>
          <w:p w14:paraId="394873C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2B8E92E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7A67A3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6D5307ED" w14:textId="77777777" w:rsidTr="005C00A5">
        <w:tc>
          <w:tcPr>
            <w:tcW w:w="2160" w:type="dxa"/>
            <w:shd w:val="clear" w:color="auto" w:fill="CCDCDC"/>
          </w:tcPr>
          <w:p w14:paraId="6D52E13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1F97AFE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94453E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minimal stage identify AI risk scenarios where current measurement techniques may be insufficient, documenting these scenarios and limitations. It explores alternative risk tracking approaches and evaluates the suitability of each approach.</w:t>
            </w:r>
          </w:p>
        </w:tc>
      </w:tr>
      <w:tr w:rsidR="00963E47" w:rsidRPr="00963E47" w14:paraId="3F41E12F" w14:textId="77777777" w:rsidTr="005C00A5">
        <w:tc>
          <w:tcPr>
            <w:tcW w:w="2160" w:type="dxa"/>
            <w:shd w:val="clear" w:color="auto" w:fill="CCDCDC"/>
          </w:tcPr>
          <w:p w14:paraId="2563EE7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05C0C75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FAD1D1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identify AI risk scenarios where current measurement techniques may be insufficient, documenting these scenarios and limitations. The organization explores alternative risk tracking approaches, including statistical modeling techniques such as probabilistic graphical models, Bayesian networks, and Markov models. The organization evaluates the suitability of each approach, considering data availability, interpretability, and the ability to incorporate domain knowledge. The selection of modeling techniques is guided by the AI system's characteristics, the nature of the risks, and risk management objectives. The rationale for the chosen approaches, assumptions, and limitations is comprehensively documented.</w:t>
            </w:r>
          </w:p>
        </w:tc>
      </w:tr>
      <w:tr w:rsidR="00963E47" w:rsidRPr="00963E47" w14:paraId="55A1158E" w14:textId="77777777" w:rsidTr="005C00A5">
        <w:tc>
          <w:tcPr>
            <w:tcW w:w="2160" w:type="dxa"/>
            <w:shd w:val="clear" w:color="auto" w:fill="CCDCDC"/>
          </w:tcPr>
          <w:p w14:paraId="5D689C2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113B09A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0ED960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Organizations at the embedded stage have advanced, automated processes for continuously identifying AI risk scenarios where current measurement techniques may be insufficient, documenting these scenarios and limitations, with real-time exploration of alternative risk tracking approaches, including statistical modeling techniques such as probabilistic graphical models, Bayesian networks, and Markov models based on data-driven insights. The organization dynamically evaluates the suitability of each approach, considering data availability, interpretability, and the ability to incorporate domain knowledge. The selection of modeling techniques is guided by the AI system's characteristics, the nature of the risks, and risk management objectives. The rationale for the chosen approaches, assumptions, and limitations is dynamically documented, ensuring the highest level </w:t>
            </w:r>
            <w:r w:rsidRPr="00963E47">
              <w:rPr>
                <w:rFonts w:ascii="Aptos" w:hAnsi="Aptos" w:cs="Times New Roman"/>
                <w:noProof/>
                <w:color w:val="auto"/>
                <w:sz w:val="20"/>
                <w:szCs w:val="20"/>
              </w:rPr>
              <w:lastRenderedPageBreak/>
              <w:t>of proactive AI risk scenario identification, alternative approach exploration, and documentation.</w:t>
            </w:r>
          </w:p>
        </w:tc>
      </w:tr>
    </w:tbl>
    <w:p w14:paraId="1FC4DD54"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41DEEA28" w14:textId="77777777" w:rsidTr="005C00A5">
        <w:tc>
          <w:tcPr>
            <w:tcW w:w="2250" w:type="dxa"/>
          </w:tcPr>
          <w:p w14:paraId="5E6B92D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5FED2C3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28C5A88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62004465" w14:textId="77777777" w:rsidTr="005C00A5">
        <w:tc>
          <w:tcPr>
            <w:tcW w:w="2250" w:type="dxa"/>
          </w:tcPr>
          <w:p w14:paraId="1FC9D35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1CBD0C5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Unidentified Unmeasured Risks</w:t>
            </w:r>
          </w:p>
        </w:tc>
        <w:tc>
          <w:tcPr>
            <w:tcW w:w="5300" w:type="dxa"/>
          </w:tcPr>
          <w:p w14:paraId="1B8F42B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Risk scenarios lacking measurement are not identified or documented</w:t>
            </w:r>
          </w:p>
        </w:tc>
      </w:tr>
    </w:tbl>
    <w:p w14:paraId="3F4CBA9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D9E51B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3DB2FD0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6A0E98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a process for identifying AI risk scenarios where current measurement techniques may be insufficient. Develop a standardized methodology for documenting these scenarios and the limitations of existing risk tracking approaches, taking into account factors such as data availability, complexity, and the nature of the risks involved.</w:t>
      </w:r>
    </w:p>
    <w:p w14:paraId="362AC10C"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213CB24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Explore alternative risk tracking approaches, such as qualitative documentation, field studies, or statistical analysis techniques like probabilistic graphical models, Bayesian networks, and Markov models. Evaluate the suitability of each approach based on criteria such as data requirements, interpretability, and the ability to incorporate domain knowledge. Select measurement techniques that align with the specific characteristics of the AI system, the nature of the risks, and the organization's risk management objectives. Document the rationale for the chosen approaches, including any assumptions made and limitations identified.</w:t>
      </w:r>
    </w:p>
    <w:p w14:paraId="308FAA6E"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289FBA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528715C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35B0EF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Identification and Documentation of Insufficient Measurement Scenarios</w:t>
      </w:r>
    </w:p>
    <w:p w14:paraId="77590E5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process to identify and record scenarios where current measurement techniques fall short, including detailed descriptions and limitations.</w:t>
      </w:r>
    </w:p>
    <w:p w14:paraId="2E88E55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4D2450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Scenario logs noting gaps in measurement coverage.</w:t>
      </w:r>
    </w:p>
    <w:p w14:paraId="21AF911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Limitations matrices linked to specific scenarios.</w:t>
      </w:r>
    </w:p>
    <w:p w14:paraId="675CD30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assessment reports highlighting inadequacies.</w:t>
      </w:r>
    </w:p>
    <w:p w14:paraId="6F18809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Revisions logs for scenario sets.</w:t>
      </w:r>
    </w:p>
    <w:p w14:paraId="1A09306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D922D9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Exploration and Evaluation of Alternative Risk Tracking Approaches</w:t>
      </w:r>
    </w:p>
    <w:p w14:paraId="1BEBDBB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Investigate alternative modeling and measurement approaches, assessing their data requirements, interpretability, and capacity to incorporate domain expertise to ensure that the selected methods are both effective and relevant to the specific risk scenarios identified.</w:t>
      </w:r>
    </w:p>
    <w:p w14:paraId="4258B7A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08A2FA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Comparative analyses of modeling techniques.</w:t>
      </w:r>
    </w:p>
    <w:p w14:paraId="3053C78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Evaluation reports weighing data needs versus interpretability.</w:t>
      </w:r>
    </w:p>
    <w:p w14:paraId="191B65E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Prototype models or pilot tests of alternative approaches.</w:t>
      </w:r>
    </w:p>
    <w:p w14:paraId="4B214E8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Criteria checklists guiding evaluation.</w:t>
      </w:r>
    </w:p>
    <w:p w14:paraId="57CE2AF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B53401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Suitability Assessment Based on System Characteristics and Risks</w:t>
      </w:r>
    </w:p>
    <w:p w14:paraId="63CE7D9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Assess the compatibility of modeling techniques with the AI system's design, the types of risks, and risk management objectives, documenting the decision process to facilitate accountability and clarify the basis for the chosen methodologies.</w:t>
      </w:r>
    </w:p>
    <w:p w14:paraId="03B4A50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42CE17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Selection rationales linking modeling approaches to system features and risks.</w:t>
      </w:r>
    </w:p>
    <w:p w14:paraId="08D1F10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Decision matrices incorporating system, risk, and resource considerations.</w:t>
      </w:r>
    </w:p>
    <w:p w14:paraId="7918D49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Model validation and suitability assessment reports.</w:t>
      </w:r>
    </w:p>
    <w:p w14:paraId="489F808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review records.</w:t>
      </w:r>
    </w:p>
    <w:p w14:paraId="2A12FB1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537436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Chosen Approaches, Assumptions, and Limitations</w:t>
      </w:r>
    </w:p>
    <w:p w14:paraId="24207F3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Record the rationale for selected modeling techniques, including key assumptions, recognized limitations, and expected performance, ensuring transparency in the modeling process and aiding stakeholders in understanding the decision-making framework.</w:t>
      </w:r>
    </w:p>
    <w:p w14:paraId="0DBC089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1A24C8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Decision documentation with explicit justifications.</w:t>
      </w:r>
    </w:p>
    <w:p w14:paraId="4A5E3E9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Assumption and limitation statements linked to models.</w:t>
      </w:r>
    </w:p>
    <w:p w14:paraId="1C95050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 histories of modeling approach documentation.</w:t>
      </w:r>
    </w:p>
    <w:p w14:paraId="1BED888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Expert review records validating the approach.</w:t>
      </w:r>
    </w:p>
    <w:p w14:paraId="029B4703"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9FFF8C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Ongoing Review and Refinement of Modeling Approaches</w:t>
      </w:r>
    </w:p>
    <w:p w14:paraId="0BF70CF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revisit and update modeling approaches based on new data, system changes, or emerging risks, documenting lessons learned and ongoing suitability evaluation to promote continuous improvement and adaptability in risk management practices.</w:t>
      </w:r>
    </w:p>
    <w:p w14:paraId="1FB8113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379C73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and meeting notes.</w:t>
      </w:r>
    </w:p>
    <w:p w14:paraId="21DB9CF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scenario analyses reflecting new insights.</w:t>
      </w:r>
    </w:p>
    <w:p w14:paraId="012059A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Re-assessment reports following system or environment changes.</w:t>
      </w:r>
    </w:p>
    <w:p w14:paraId="511C844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Continuous improvement logs and lessons learned documents.</w:t>
      </w:r>
    </w:p>
    <w:p w14:paraId="4E0AA5FA"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098E5080"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33B2E87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718CC5E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0777341E" w14:textId="77777777" w:rsidTr="005C00A5">
        <w:tc>
          <w:tcPr>
            <w:tcW w:w="1170" w:type="dxa"/>
          </w:tcPr>
          <w:p w14:paraId="4091940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2BE97BE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374259A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4A416B38" w14:textId="77777777" w:rsidTr="005C00A5">
        <w:tc>
          <w:tcPr>
            <w:tcW w:w="1170" w:type="dxa"/>
          </w:tcPr>
          <w:p w14:paraId="0317167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MS-3.2.2</w:t>
            </w:r>
          </w:p>
        </w:tc>
        <w:tc>
          <w:tcPr>
            <w:tcW w:w="2160" w:type="dxa"/>
          </w:tcPr>
          <w:p w14:paraId="27C5126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Pilot Studies and Approach Refinement</w:t>
            </w:r>
          </w:p>
        </w:tc>
        <w:tc>
          <w:tcPr>
            <w:tcW w:w="6740" w:type="dxa"/>
          </w:tcPr>
          <w:p w14:paraId="4E60682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conducts pilot studies or proof-of-concept trials to test the feasibility and effectiveness of alternative risk identification and tracking approaches, based on best practices, industry trends, collaborative endeavors, and internal innovation, in real-world settings, documenting lessons learned, limitations encountered, or areas for further refinement.</w:t>
            </w:r>
          </w:p>
          <w:p w14:paraId="638812AE" w14:textId="77777777" w:rsidR="00963E47" w:rsidRPr="00963E47" w:rsidRDefault="00963E47" w:rsidP="004C3837">
            <w:pPr>
              <w:keepNext/>
              <w:rPr>
                <w:rFonts w:ascii="Aptos" w:hAnsi="Aptos" w:cs="Times New Roman"/>
                <w:b/>
                <w:bCs/>
                <w:color w:val="000000"/>
                <w:sz w:val="20"/>
                <w:szCs w:val="20"/>
              </w:rPr>
            </w:pPr>
          </w:p>
          <w:p w14:paraId="764182BC" w14:textId="77777777" w:rsidR="00963E47" w:rsidRPr="00963E47" w:rsidRDefault="00963E47" w:rsidP="004C3837">
            <w:pPr>
              <w:keepNext/>
              <w:rPr>
                <w:rFonts w:ascii="Aptos" w:hAnsi="Aptos" w:cs="Times New Roman"/>
                <w:b/>
                <w:bCs/>
                <w:color w:val="000000"/>
                <w:sz w:val="20"/>
                <w:szCs w:val="20"/>
              </w:rPr>
            </w:pPr>
            <w:hyperlink r:id="rId186" w:anchor="measure-3-2" w:history="1">
              <w:r w:rsidRPr="00963E47">
                <w:rPr>
                  <w:rFonts w:ascii="Aptos" w:hAnsi="Aptos" w:cs="Times New Roman"/>
                  <w:color w:val="000000"/>
                  <w:sz w:val="20"/>
                  <w:szCs w:val="20"/>
                  <w:u w:val="single"/>
                </w:rPr>
                <w:t>Link to NIST AI RMF Playbook</w:t>
              </w:r>
            </w:hyperlink>
          </w:p>
        </w:tc>
      </w:tr>
    </w:tbl>
    <w:p w14:paraId="4ABB262D"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8B4563B"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095CCCA9"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4EF4245F" w14:textId="77777777" w:rsidTr="005C00A5">
        <w:trPr>
          <w:tblHeader/>
        </w:trPr>
        <w:tc>
          <w:tcPr>
            <w:tcW w:w="2160" w:type="dxa"/>
            <w:shd w:val="clear" w:color="auto" w:fill="CCDCDC"/>
            <w:vAlign w:val="center"/>
          </w:tcPr>
          <w:p w14:paraId="48241DDA"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2C99FF5A"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2AE5DA4A"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6D0F98D9" w14:textId="77777777" w:rsidTr="005C00A5">
        <w:tc>
          <w:tcPr>
            <w:tcW w:w="2160" w:type="dxa"/>
            <w:shd w:val="clear" w:color="auto" w:fill="CCDCDC"/>
          </w:tcPr>
          <w:p w14:paraId="0724220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103A7EB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F1C55A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242D7254" w14:textId="77777777" w:rsidTr="005C00A5">
        <w:tc>
          <w:tcPr>
            <w:tcW w:w="2160" w:type="dxa"/>
            <w:shd w:val="clear" w:color="auto" w:fill="CCDCDC"/>
          </w:tcPr>
          <w:p w14:paraId="0A67B63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47C63FB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B86F9E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minimal stage conduct pilot studies or proof-of-concept trials to test the feasibility and effectiveness of alternative risk identification and tracking approaches in real-world settings, documenting lessons learned and limitations encountered.</w:t>
            </w:r>
          </w:p>
        </w:tc>
      </w:tr>
      <w:tr w:rsidR="00963E47" w:rsidRPr="00963E47" w14:paraId="7EB8DE02" w14:textId="77777777" w:rsidTr="005C00A5">
        <w:tc>
          <w:tcPr>
            <w:tcW w:w="2160" w:type="dxa"/>
            <w:shd w:val="clear" w:color="auto" w:fill="CCDCDC"/>
          </w:tcPr>
          <w:p w14:paraId="7E87B37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36FCC9D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AD8802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conduct pilot studies or proof-of-concept trials to test the feasibility and effectiveness of alternative risk identification and tracking approaches in real-world settings, documenting lessons learned, limitations encountered, or areas for further refinement.</w:t>
            </w:r>
          </w:p>
        </w:tc>
      </w:tr>
      <w:tr w:rsidR="00963E47" w:rsidRPr="00963E47" w14:paraId="71DC4593" w14:textId="77777777" w:rsidTr="005C00A5">
        <w:tc>
          <w:tcPr>
            <w:tcW w:w="2160" w:type="dxa"/>
            <w:shd w:val="clear" w:color="auto" w:fill="CCDCDC"/>
          </w:tcPr>
          <w:p w14:paraId="1529F96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06509B1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D5A723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Organizations at the embedded stage have advanced, automated processes for continuously conducting pilot studies or proof-of-concept trials to test the feasibility and effectiveness of alternative risk identification and tracking approaches in real-world settings, </w:t>
            </w:r>
            <w:r w:rsidRPr="00963E47">
              <w:rPr>
                <w:rFonts w:ascii="Aptos" w:hAnsi="Aptos" w:cs="Times New Roman"/>
                <w:noProof/>
                <w:color w:val="auto"/>
                <w:sz w:val="20"/>
                <w:szCs w:val="20"/>
              </w:rPr>
              <w:lastRenderedPageBreak/>
              <w:t>documenting lessons learned, limitations encountered, or areas for further refinement, with real-time updates based on data-driven insights. These processes are seamlessly integrated into the organization's risk management and continuous improvement frameworks, ensuring the highest level of proactive alternative risk identification and tracking approach testing and refinement.</w:t>
            </w:r>
          </w:p>
        </w:tc>
      </w:tr>
    </w:tbl>
    <w:p w14:paraId="2A660EF1"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6A00DC0B" w14:textId="77777777" w:rsidTr="005C00A5">
        <w:tc>
          <w:tcPr>
            <w:tcW w:w="2250" w:type="dxa"/>
          </w:tcPr>
          <w:p w14:paraId="2857F4D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5157B16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2C3E384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5F3593D4" w14:textId="77777777" w:rsidTr="005C00A5">
        <w:tc>
          <w:tcPr>
            <w:tcW w:w="2250" w:type="dxa"/>
          </w:tcPr>
          <w:p w14:paraId="3E06884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1BA8114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Unconducted Pilot Tests</w:t>
            </w:r>
          </w:p>
        </w:tc>
        <w:tc>
          <w:tcPr>
            <w:tcW w:w="5300" w:type="dxa"/>
          </w:tcPr>
          <w:p w14:paraId="19AB645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Pilot tests for risk-tracking approaches are not conducted or documented</w:t>
            </w:r>
          </w:p>
        </w:tc>
      </w:tr>
    </w:tbl>
    <w:p w14:paraId="257522A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9BE429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330CAAD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802BEB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Design and conduct pilot studies or proof-of-concept trials to test the feasibility and effectiveness of alternative risk identification and tracking approaches in real-world settings. Develop clear objectives and success criteria for each pilot, and establish a standardized methodology for collecting and analyzing data on the performance of the alternative approaches.</w:t>
      </w:r>
    </w:p>
    <w:p w14:paraId="6C5C412F"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2A3D90D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Document the lessons learned from each pilot, including any limitations encountered or areas identified for further refinement. Use the findings to inform decisions on whether to adopt the alternative approaches more broadly, and to guide the development of implementation plans and resource allocation strategies. Communicate the results of the pilots to relevant stakeholders, and seek their input and feedback to ensure that any decisions made are aligned with the organization's overall risk management goals and priorities.</w:t>
      </w:r>
    </w:p>
    <w:p w14:paraId="16E9C619"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1615F9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2F9CC14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BB08F9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Planning and Design of Pilot or Proof-of-Concept Studies</w:t>
      </w:r>
    </w:p>
    <w:p w14:paraId="2F80C3C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 formal plan outlining objectives, scope, methodologies, success criteria, and responsible personnel for evaluating new risk tracking approaches.</w:t>
      </w:r>
    </w:p>
    <w:p w14:paraId="79E2BCA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A6BF79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Pilot study protocols with detailed objectives and success metrics.</w:t>
      </w:r>
    </w:p>
    <w:p w14:paraId="6B06E44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Scope definitions including target systems, datasets, and scenarios.</w:t>
      </w:r>
    </w:p>
    <w:p w14:paraId="0270520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Evaluation criteria aligned with organizational risk management goals.</w:t>
      </w:r>
    </w:p>
    <w:p w14:paraId="2A06E4E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sign-off on study design.</w:t>
      </w:r>
    </w:p>
    <w:p w14:paraId="6587508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3290BC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Implementation and Execution of Pilot Studies</w:t>
      </w:r>
    </w:p>
    <w:p w14:paraId="28B5CF1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Execute pilot or proof-of-concept trials according to the plan, ensuring rigorous data collection, monitoring, and observation of approaches in operational conditions to validate the feasibility and effectiveness of alternative risk identification and tracking methods.</w:t>
      </w:r>
    </w:p>
    <w:p w14:paraId="61D6CAF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834901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Execution logs, observation records, and data captured during trials.</w:t>
      </w:r>
    </w:p>
    <w:p w14:paraId="6388849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deviations from plan and their reasons.</w:t>
      </w:r>
    </w:p>
    <w:p w14:paraId="0753849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and anomaly logs observed during pilots.</w:t>
      </w:r>
    </w:p>
    <w:p w14:paraId="2A11CE9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records of ongoing engagement.</w:t>
      </w:r>
    </w:p>
    <w:p w14:paraId="082EA8B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10AF04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Lessons Learned, Limitations, and Areas for Refinement</w:t>
      </w:r>
    </w:p>
    <w:p w14:paraId="1BB0F3C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Record findings from the pilot, including successes, limitations, technical challenges, and insights into potential improvements or adjustments needed to create a comprehensive evaluation of each approach's viability and performance.</w:t>
      </w:r>
    </w:p>
    <w:p w14:paraId="6E84787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6B0EB03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Pilot review reports with lessons learned and identified issues.</w:t>
      </w:r>
    </w:p>
    <w:p w14:paraId="2D8BA9D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Limitation analysis addressing technical, data, or operational challenges.</w:t>
      </w:r>
    </w:p>
    <w:p w14:paraId="61FE7D6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Recommendations for refinement and next steps.</w:t>
      </w:r>
    </w:p>
    <w:p w14:paraId="7B1EE23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notes summarizing stakeholder feedback.</w:t>
      </w:r>
    </w:p>
    <w:p w14:paraId="6ADA32F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FE25B3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Evaluation of Pilot Outcomes and Decision-Making</w:t>
      </w:r>
    </w:p>
    <w:p w14:paraId="39D12D7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documented lessons and limitations to assess whether approaches meet organizational risk management criteria, informing decisions on adoption, scaling, or further development to ensure that only effective and appropriate strategies are implemented organization-wide.</w:t>
      </w:r>
    </w:p>
    <w:p w14:paraId="28C9C65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FCB7DA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Decision records endorsing, modifying, or abandoning approaches based on pilot findings.</w:t>
      </w:r>
    </w:p>
    <w:p w14:paraId="1C9F6AE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risk assessment reports incorporating pilot insights.</w:t>
      </w:r>
    </w:p>
    <w:p w14:paraId="2AD4B22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Comparison matrices showing performance versus criteria.</w:t>
      </w:r>
    </w:p>
    <w:p w14:paraId="3CC254C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management review minutes.</w:t>
      </w:r>
    </w:p>
    <w:p w14:paraId="063B70B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1602A8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Incorporation of Lessons Learned into Process Refinements</w:t>
      </w:r>
    </w:p>
    <w:p w14:paraId="514CFF5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Integrate insights, identified limitations, and recommendations into ongoing development and deployment workflows, refining risk identification and tracking strategies accordingly to enhance the organization's overall capability to manage and mitigate risks effectively.</w:t>
      </w:r>
    </w:p>
    <w:p w14:paraId="11EBCB0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DD9788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plans implementing refinements based on pilot findings.</w:t>
      </w:r>
    </w:p>
    <w:p w14:paraId="3AF1C5D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Revision histories of risk management processes.</w:t>
      </w:r>
    </w:p>
    <w:p w14:paraId="683F60B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protocols and testing procedures reflecting lessons learned.</w:t>
      </w:r>
    </w:p>
    <w:p w14:paraId="626DE1E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logs from development and operations teams.</w:t>
      </w:r>
    </w:p>
    <w:p w14:paraId="2C807F89"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58A98714"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7AB0021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4D4C7DC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297120FC" w14:textId="77777777" w:rsidTr="005C00A5">
        <w:tc>
          <w:tcPr>
            <w:tcW w:w="1170" w:type="dxa"/>
          </w:tcPr>
          <w:p w14:paraId="0A81097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1355D8F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5F71BD1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7E22CE67" w14:textId="77777777" w:rsidTr="005C00A5">
        <w:tc>
          <w:tcPr>
            <w:tcW w:w="1170" w:type="dxa"/>
          </w:tcPr>
          <w:p w14:paraId="740B2B6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MS-3.2.3</w:t>
            </w:r>
          </w:p>
        </w:tc>
        <w:tc>
          <w:tcPr>
            <w:tcW w:w="2160" w:type="dxa"/>
          </w:tcPr>
          <w:p w14:paraId="6B8CEFA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Long-term Impact Evaluation Framework</w:t>
            </w:r>
          </w:p>
        </w:tc>
        <w:tc>
          <w:tcPr>
            <w:tcW w:w="6740" w:type="dxa"/>
          </w:tcPr>
          <w:p w14:paraId="18D390F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develops a framework for evaluating the long-term impacts of deployed AI systems on organizational objectives and AI  Trustworthy Principles, ensuring sustained value and alignment with evolving expectations.</w:t>
            </w:r>
          </w:p>
          <w:p w14:paraId="076E55B1" w14:textId="77777777" w:rsidR="00963E47" w:rsidRPr="00963E47" w:rsidRDefault="00963E47" w:rsidP="004C3837">
            <w:pPr>
              <w:keepNext/>
              <w:rPr>
                <w:rFonts w:ascii="Aptos" w:hAnsi="Aptos" w:cs="Times New Roman"/>
                <w:b/>
                <w:bCs/>
                <w:color w:val="000000"/>
                <w:sz w:val="20"/>
                <w:szCs w:val="20"/>
              </w:rPr>
            </w:pPr>
          </w:p>
          <w:p w14:paraId="2EDA0C9E" w14:textId="77777777" w:rsidR="00963E47" w:rsidRPr="00963E47" w:rsidRDefault="00963E47" w:rsidP="004C3837">
            <w:pPr>
              <w:keepNext/>
              <w:rPr>
                <w:rFonts w:ascii="Aptos" w:hAnsi="Aptos" w:cs="Times New Roman"/>
                <w:b/>
                <w:bCs/>
                <w:color w:val="000000"/>
                <w:sz w:val="20"/>
                <w:szCs w:val="20"/>
              </w:rPr>
            </w:pPr>
            <w:hyperlink r:id="rId187" w:anchor="measure-3-2" w:history="1">
              <w:r w:rsidRPr="00963E47">
                <w:rPr>
                  <w:rFonts w:ascii="Aptos" w:hAnsi="Aptos" w:cs="Times New Roman"/>
                  <w:color w:val="000000"/>
                  <w:sz w:val="20"/>
                  <w:szCs w:val="20"/>
                  <w:u w:val="single"/>
                </w:rPr>
                <w:t>Link to NIST AI RMF Playbook</w:t>
              </w:r>
            </w:hyperlink>
          </w:p>
        </w:tc>
      </w:tr>
    </w:tbl>
    <w:p w14:paraId="185550CA"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C09032B"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20CB3B6D"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5766DBC9" w14:textId="77777777" w:rsidTr="005C00A5">
        <w:trPr>
          <w:tblHeader/>
        </w:trPr>
        <w:tc>
          <w:tcPr>
            <w:tcW w:w="2160" w:type="dxa"/>
            <w:shd w:val="clear" w:color="auto" w:fill="CCDCDC"/>
            <w:vAlign w:val="center"/>
          </w:tcPr>
          <w:p w14:paraId="2FB37DEB"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13F2787D"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58051E43"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18FD93F8" w14:textId="77777777" w:rsidTr="005C00A5">
        <w:tc>
          <w:tcPr>
            <w:tcW w:w="2160" w:type="dxa"/>
            <w:shd w:val="clear" w:color="auto" w:fill="CCDCDC"/>
          </w:tcPr>
          <w:p w14:paraId="200A99F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51C2754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C1ABE2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98BADD8" w14:textId="77777777" w:rsidTr="005C00A5">
        <w:tc>
          <w:tcPr>
            <w:tcW w:w="2160" w:type="dxa"/>
            <w:shd w:val="clear" w:color="auto" w:fill="CCDCDC"/>
          </w:tcPr>
          <w:p w14:paraId="5322549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67148B0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A26B21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290368EE" w14:textId="77777777" w:rsidTr="005C00A5">
        <w:tc>
          <w:tcPr>
            <w:tcW w:w="2160" w:type="dxa"/>
            <w:shd w:val="clear" w:color="auto" w:fill="CCDCDC"/>
          </w:tcPr>
          <w:p w14:paraId="5E9910D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3128962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D14FB8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have a well-developed framework for evaluating the long-term impacts of deployed AI systems, ensuring sustained value and alignment with evolving expectations through regular assessments and updates.</w:t>
            </w:r>
          </w:p>
        </w:tc>
      </w:tr>
      <w:tr w:rsidR="00963E47" w:rsidRPr="00963E47" w14:paraId="6B90A3C1" w14:textId="77777777" w:rsidTr="005C00A5">
        <w:tc>
          <w:tcPr>
            <w:tcW w:w="2160" w:type="dxa"/>
            <w:shd w:val="clear" w:color="auto" w:fill="CCDCDC"/>
          </w:tcPr>
          <w:p w14:paraId="02DD2D2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7A192D7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2F13BD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 dynamic, data-driven framework for evaluating the long-term impacts of deployed AI systems in real-time, continuously ensuring sustained value and alignment with evolving expectations through proactive optimization.</w:t>
            </w:r>
          </w:p>
        </w:tc>
      </w:tr>
    </w:tbl>
    <w:p w14:paraId="26E7135C"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0FA329A4" w14:textId="77777777" w:rsidTr="005C00A5">
        <w:tc>
          <w:tcPr>
            <w:tcW w:w="2250" w:type="dxa"/>
          </w:tcPr>
          <w:p w14:paraId="09DE67C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3440B98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32194CC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523184BD" w14:textId="77777777" w:rsidTr="005C00A5">
        <w:tc>
          <w:tcPr>
            <w:tcW w:w="2250" w:type="dxa"/>
          </w:tcPr>
          <w:p w14:paraId="018126A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52B4F01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Unevaluated Long-Term Impacts</w:t>
            </w:r>
          </w:p>
        </w:tc>
        <w:tc>
          <w:tcPr>
            <w:tcW w:w="5300" w:type="dxa"/>
          </w:tcPr>
          <w:p w14:paraId="026AB1B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Framework for evaluating long-term AI impacts on the organization and its objectives is undeveloped</w:t>
            </w:r>
          </w:p>
        </w:tc>
      </w:tr>
    </w:tbl>
    <w:p w14:paraId="50BE21C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92294F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2EBA11D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34A2DF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 framework for evaluating the long-term impacts of deployed AI systems on organizational objectives and AI  Trustworthy Principles. This framework should consider factors such as the system's intended use, its potential for unintended consequences, and its alignment with evolving expectations and values.</w:t>
      </w:r>
    </w:p>
    <w:p w14:paraId="3FD2D2B8"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15EAC33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Engage with relevant stakeholders, such as end-users, domain experts, and impacted communities, to gather input on the framework and to ensure that it reflects a wide range of perspectives and concerns. Regularly review and update the framework to ensure that it remains relevant and effective as the AI system and its operating environment evolve.</w:t>
      </w:r>
    </w:p>
    <w:p w14:paraId="6A4F33A5"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B7D430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0F80D6E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CC05B4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Establishment of a Long-term Impact Evaluation Framework</w:t>
      </w:r>
    </w:p>
    <w:p w14:paraId="5A7A1E4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Create a structured framework defining criteria, metrics, and processes for assessing the sustained impacts of AI systems over time, aligned with organizational goals and external expectations.</w:t>
      </w:r>
    </w:p>
    <w:p w14:paraId="19E7D30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D97491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Formal impact evaluation policies outlining scope, objectives, and responsibilities.</w:t>
      </w:r>
    </w:p>
    <w:p w14:paraId="5FDD101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Criteria and indicators for measuring organizational value and external impact.</w:t>
      </w:r>
    </w:p>
    <w:p w14:paraId="3EBF168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Evaluation schedules and checkpoints integrated into system lifecycle management.</w:t>
      </w:r>
    </w:p>
    <w:p w14:paraId="43CF05A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framework documents.</w:t>
      </w:r>
    </w:p>
    <w:p w14:paraId="78192A7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87E092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Definition of Impact Metrics and Analytical Approaches</w:t>
      </w:r>
    </w:p>
    <w:p w14:paraId="1632817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and document metrics suitable for assessing long-term organizational value, external acceptance, and adherence to evolving norms, including qualitative and quantitative measures to provide a comprehensive understanding of the AI system's impact across various dimensions.</w:t>
      </w:r>
    </w:p>
    <w:p w14:paraId="2A9DEA7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7393D4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Impact measurement models for productivity, reputation, fairness, and external alignment.</w:t>
      </w:r>
    </w:p>
    <w:p w14:paraId="39EFFF3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collection protocols for longitudinal impact tracking.</w:t>
      </w:r>
    </w:p>
    <w:p w14:paraId="471FC77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Analytical reports on impact trends and deviations over time.</w:t>
      </w:r>
    </w:p>
    <w:p w14:paraId="2932EC5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feedback on external and organizational relevance.</w:t>
      </w:r>
    </w:p>
    <w:p w14:paraId="21A127C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E80189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Monitoring and Data Collection Processes</w:t>
      </w:r>
    </w:p>
    <w:p w14:paraId="533D53F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ongoing data collection and monitoring mechanisms to track impact indicators, supplemented with stakeholder input and external developments to ensure that the evaluation remains relevant and reflects real-world changes.</w:t>
      </w:r>
    </w:p>
    <w:p w14:paraId="72CC150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A4ED07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Dashboards displaying impact metrics over time.</w:t>
      </w:r>
    </w:p>
    <w:p w14:paraId="5CA0E81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channels for organizational and external stakeholder input.</w:t>
      </w:r>
    </w:p>
    <w:p w14:paraId="23F5437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Environmental scanning reports on external expectations and norms.</w:t>
      </w:r>
    </w:p>
    <w:p w14:paraId="1329855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Periodic impact surveys and analysis reports.</w:t>
      </w:r>
    </w:p>
    <w:p w14:paraId="3AED506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D31FAD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Evaluation and Adjustment Based on Evolving Contexts</w:t>
      </w:r>
    </w:p>
    <w:p w14:paraId="41712D9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review impact data and external developments, updating evaluation criteria and methodologies to reflect changes in organizational priorities to maintain alignment with best practices and emerging expectations in the realm of AI responsibility.</w:t>
      </w:r>
    </w:p>
    <w:p w14:paraId="2DEF2D7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4BAFCA6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with documented updates.</w:t>
      </w:r>
    </w:p>
    <w:p w14:paraId="31F4B6A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Impact assessment reviews with stakeholder input.</w:t>
      </w:r>
    </w:p>
    <w:p w14:paraId="140FC0F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Revision logs reflecting changes in metrics or frameworks.</w:t>
      </w:r>
    </w:p>
    <w:p w14:paraId="3B6B9D1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plans for adapting evaluation methods.</w:t>
      </w:r>
    </w:p>
    <w:p w14:paraId="2A75C2B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2BB8DA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Transparency and Communication of Long-term Impact Findings</w:t>
      </w:r>
    </w:p>
    <w:p w14:paraId="7036B2E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Share assessment results and insights with internal stakeholders and external communities to demonstrate ongoing commitment to responsible AI and to align expectations and foster collaborative relationships that enhance trust and transparency in AI initiatives.</w:t>
      </w:r>
    </w:p>
    <w:p w14:paraId="7D79792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82A5B2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Impact reports published internally or publicly.</w:t>
      </w:r>
    </w:p>
    <w:p w14:paraId="4BF7129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engagement records and feedback summaries.</w:t>
      </w:r>
    </w:p>
    <w:p w14:paraId="6090687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on external alignment and future monitoring plans.</w:t>
      </w:r>
    </w:p>
    <w:p w14:paraId="1F049FF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Policy updates reflecting insights from impact evaluations.</w:t>
      </w:r>
    </w:p>
    <w:p w14:paraId="0F7A389A"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64" w:name="_Toc214874809"/>
      <w:r w:rsidRPr="00963E47">
        <w:rPr>
          <w:rFonts w:ascii="Aptos" w:eastAsia="Aptos" w:hAnsi="Aptos" w:cs="Times New Roman"/>
          <w:b/>
          <w:bCs/>
          <w:noProof/>
          <w:color w:val="35256B"/>
          <w:kern w:val="2"/>
          <w:sz w:val="24"/>
          <w14:ligatures w14:val="standardContextual"/>
        </w:rPr>
        <w:t>MEASURE / Tracking AI Risks / Enabling Feedback, Appeal, and Override</w:t>
      </w:r>
      <w:bookmarkEnd w:id="64"/>
      <w:r w:rsidRPr="00963E47">
        <w:rPr>
          <w:rFonts w:ascii="Aptos" w:eastAsia="Aptos" w:hAnsi="Aptos" w:cs="Times New Roman"/>
          <w:b/>
          <w:bCs/>
          <w:noProof/>
          <w:color w:val="35256B"/>
          <w:kern w:val="2"/>
          <w:sz w:val="24"/>
          <w14:ligatures w14:val="standardContextual"/>
        </w:rPr>
        <w:t xml:space="preserve"> </w:t>
      </w:r>
    </w:p>
    <w:p w14:paraId="5EDA2C4F"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72E2ADA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7D2D19D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2F47AE74" w14:textId="77777777" w:rsidTr="005C00A5">
        <w:tc>
          <w:tcPr>
            <w:tcW w:w="1170" w:type="dxa"/>
          </w:tcPr>
          <w:p w14:paraId="46461BA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0A9FFD4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36C499A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66B7E787" w14:textId="77777777" w:rsidTr="005C00A5">
        <w:tc>
          <w:tcPr>
            <w:tcW w:w="1170" w:type="dxa"/>
          </w:tcPr>
          <w:p w14:paraId="6BFC6B9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MS-3.3.1</w:t>
            </w:r>
          </w:p>
        </w:tc>
        <w:tc>
          <w:tcPr>
            <w:tcW w:w="2160" w:type="dxa"/>
          </w:tcPr>
          <w:p w14:paraId="4DB926D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Feedback and Appeals Processes</w:t>
            </w:r>
          </w:p>
        </w:tc>
        <w:tc>
          <w:tcPr>
            <w:tcW w:w="6740" w:type="dxa"/>
          </w:tcPr>
          <w:p w14:paraId="5314315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establishes feedback processes for relevant stakeholders to report problems, concerns, or unintended consequences related to AI system outcomes, integrating with existing processes for reporting security issues and potential vulnerabilities. This includes implementing an appeals mechanism that allows users to challenge or request reviews of outcomes they believe to be inaccurate, unfair, or harmful. Both processes are documented clearly, including channels, timeframes, responsibilities, escalation procedures, and criteria for decision-making, with all reported issues tracked to closure.</w:t>
            </w:r>
          </w:p>
          <w:p w14:paraId="48B4CC23" w14:textId="77777777" w:rsidR="00963E47" w:rsidRPr="00963E47" w:rsidRDefault="00963E47" w:rsidP="004C3837">
            <w:pPr>
              <w:keepNext/>
              <w:rPr>
                <w:rFonts w:ascii="Aptos" w:hAnsi="Aptos" w:cs="Times New Roman"/>
                <w:b/>
                <w:bCs/>
                <w:color w:val="000000"/>
                <w:sz w:val="20"/>
                <w:szCs w:val="20"/>
              </w:rPr>
            </w:pPr>
          </w:p>
          <w:p w14:paraId="5B084124" w14:textId="77777777" w:rsidR="00963E47" w:rsidRPr="00963E47" w:rsidRDefault="00963E47" w:rsidP="004C3837">
            <w:pPr>
              <w:keepNext/>
              <w:rPr>
                <w:rFonts w:ascii="Aptos" w:hAnsi="Aptos" w:cs="Times New Roman"/>
                <w:b/>
                <w:bCs/>
                <w:color w:val="000000"/>
                <w:sz w:val="20"/>
                <w:szCs w:val="20"/>
              </w:rPr>
            </w:pPr>
            <w:hyperlink r:id="rId188" w:anchor="measure-3-3" w:history="1">
              <w:r w:rsidRPr="00963E47">
                <w:rPr>
                  <w:rFonts w:ascii="Aptos" w:hAnsi="Aptos" w:cs="Times New Roman"/>
                  <w:color w:val="000000"/>
                  <w:sz w:val="20"/>
                  <w:szCs w:val="20"/>
                  <w:u w:val="single"/>
                </w:rPr>
                <w:t>Link to NIST AI RMF Playbook</w:t>
              </w:r>
            </w:hyperlink>
          </w:p>
        </w:tc>
      </w:tr>
    </w:tbl>
    <w:p w14:paraId="383A2400"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983D471"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4179AE9E"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0EE34FB7" w14:textId="77777777" w:rsidTr="005C00A5">
        <w:trPr>
          <w:tblHeader/>
        </w:trPr>
        <w:tc>
          <w:tcPr>
            <w:tcW w:w="2160" w:type="dxa"/>
            <w:shd w:val="clear" w:color="auto" w:fill="CCDCDC"/>
            <w:vAlign w:val="center"/>
          </w:tcPr>
          <w:p w14:paraId="742CCCBF"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75B7A40F"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211DCA36"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143573C5" w14:textId="77777777" w:rsidTr="005C00A5">
        <w:tc>
          <w:tcPr>
            <w:tcW w:w="2160" w:type="dxa"/>
            <w:shd w:val="clear" w:color="auto" w:fill="CCDCDC"/>
          </w:tcPr>
          <w:p w14:paraId="4175C7A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5E78C63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A589AB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initial stage start to establish basic feedback processes for relevant stakeholders to report any problems, concerns, or unintended consequences related to initial AI system outcomes. This might involve setting up a simple mechanism for users to flag potentially inaccurate or unfair outcomes.</w:t>
            </w:r>
          </w:p>
        </w:tc>
      </w:tr>
      <w:tr w:rsidR="00963E47" w:rsidRPr="00963E47" w14:paraId="05F5171E" w14:textId="77777777" w:rsidTr="005C00A5">
        <w:tc>
          <w:tcPr>
            <w:tcW w:w="2160" w:type="dxa"/>
            <w:shd w:val="clear" w:color="auto" w:fill="CCDCDC"/>
          </w:tcPr>
          <w:p w14:paraId="61A712F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6190B6F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7C75AD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minimal stage establish basic feedback processes for relevant stakeholders to report any problems, concerns, or unintended consequences related to AI system outcomes. This can include an appeals mechanism that allows users to challenge or request basic reviews of outcomes they believe to be inaccurate, unfair, or harmful, with processes documented clearly, including channels, timeframes, responsibilities, and criteria for decision-making.</w:t>
            </w:r>
          </w:p>
        </w:tc>
      </w:tr>
      <w:tr w:rsidR="00963E47" w:rsidRPr="00963E47" w14:paraId="5CA478DA" w14:textId="77777777" w:rsidTr="005C00A5">
        <w:tc>
          <w:tcPr>
            <w:tcW w:w="2160" w:type="dxa"/>
            <w:shd w:val="clear" w:color="auto" w:fill="CCDCDC"/>
          </w:tcPr>
          <w:p w14:paraId="26849D0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4889328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263E06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evolving stage, organizations expand AI usage into external-facing solutions that involve sensitive data, so establishing robust </w:t>
            </w:r>
            <w:r w:rsidRPr="00963E47">
              <w:rPr>
                <w:rFonts w:ascii="Aptos" w:hAnsi="Aptos" w:cs="Times New Roman"/>
                <w:noProof/>
                <w:color w:val="auto"/>
                <w:sz w:val="20"/>
                <w:szCs w:val="20"/>
              </w:rPr>
              <w:lastRenderedPageBreak/>
              <w:t>feedback processes becomes vital. In this stage, while AI might not yet drive critical business decisions, any unintended outcomes could affect external stakeholders or broader operations, making documented reporting and appeals processes essential for mitigating risks and ensuring accountability.</w:t>
            </w:r>
          </w:p>
        </w:tc>
      </w:tr>
      <w:tr w:rsidR="00963E47" w:rsidRPr="00963E47" w14:paraId="423C935C" w14:textId="77777777" w:rsidTr="005C00A5">
        <w:tc>
          <w:tcPr>
            <w:tcW w:w="2160" w:type="dxa"/>
            <w:shd w:val="clear" w:color="auto" w:fill="CCDCDC"/>
          </w:tcPr>
          <w:p w14:paraId="2CBD2E3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4: Embedded</w:t>
            </w:r>
          </w:p>
        </w:tc>
        <w:tc>
          <w:tcPr>
            <w:tcW w:w="1350" w:type="dxa"/>
          </w:tcPr>
          <w:p w14:paraId="70A1F65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073B6E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continuously establishing feedback processes for relevant stakeholders to report problems, concerns, or unintended consequences related to AI system outcomes, with real-time implementation of an appeals mechanism that allows users to challenge or request reviews of outcomes they believe to be inaccurate, unfair, or harmful, with both processes documented clearly, including channels, timeframes, responsibilities, and criteria for decision-making based on data-driven insights. These processes are seamlessly integrated into the organization's risk management and stakeholder engagement frameworks, ensuring the highest level of proactive stakeholder feedback and appeals mechanism establishment and documentation.</w:t>
            </w:r>
          </w:p>
        </w:tc>
      </w:tr>
    </w:tbl>
    <w:p w14:paraId="28EE094A"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2C80B49A" w14:textId="77777777" w:rsidTr="005C00A5">
        <w:tc>
          <w:tcPr>
            <w:tcW w:w="2250" w:type="dxa"/>
          </w:tcPr>
          <w:p w14:paraId="4EE71FB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13B7B1E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0930B44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75FB1530" w14:textId="77777777" w:rsidTr="005C00A5">
        <w:tc>
          <w:tcPr>
            <w:tcW w:w="2250" w:type="dxa"/>
          </w:tcPr>
          <w:p w14:paraId="609D433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0C29B6C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Insufficient Feedback Mechanisms</w:t>
            </w:r>
          </w:p>
        </w:tc>
        <w:tc>
          <w:tcPr>
            <w:tcW w:w="5300" w:type="dxa"/>
          </w:tcPr>
          <w:p w14:paraId="3755E9E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Feedback processes and appeals mechanisms for AI outcomes are insufficient</w:t>
            </w:r>
          </w:p>
        </w:tc>
      </w:tr>
    </w:tbl>
    <w:p w14:paraId="3C68BD3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92F945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515996C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4FA48B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and implement feedback processes that enable relevant stakeholders, such as end-users and impacted communities, to report problems, concerns, or unintended consequences related to AI system outcomes. Integrate these processes with existing mechanisms for reporting security issues and potential vulnerabilities. Establish clear channels for submitting feedback, such as dedicated email addresses, online forms, or helpline numbers, and ensure these are easily accessible and widely communicated. Such processes may be mandated for credit lending (e.g., adverse action notices) or other high-impact applications.</w:t>
      </w:r>
    </w:p>
    <w:p w14:paraId="40C3F742"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8F17F1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Note: To align with MEASURE 2.8 and MEASURE 2.9, incorporate assessments to verify stakeholders’ ability to understand AI communications and interpret explainability data, ensuring feedback channels effectively capture whether users can comprehend and challenge AI decisions based on clear explanations.</w:t>
      </w:r>
    </w:p>
    <w:p w14:paraId="23A630BC"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9A874C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Design an appeals mechanism that allows users to challenge or request reviews of AI system outcomes they believe to be inaccurate, unfair, or harmful. Define clear criteria for determining which outcomes are eligible for appeal, and establish a standardized process for reviewing and resolving appeals, including timeframes for response and escalation procedures for complex cases. Document both the feedback and appeal processes clearly, outlining channels, timeframes, responsibilities, escalation procedures, and criteria for decision-making. Ensure this documentation is regularly reviewed and updated to reflect changes in the organization's AI systems and stakeholder needs, with all reported issues tracked to closure.</w:t>
      </w:r>
    </w:p>
    <w:p w14:paraId="0E9530B8"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C7AB35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5A3E3EA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0F5B1A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Feedback and Appeals Process Documentation</w:t>
      </w:r>
    </w:p>
    <w:p w14:paraId="0CAC531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Create formal, accessible procedures for collecting stakeholder feedback and handling appeals, with comprehensive documentation of channels, timeframes, roles, and decision criteria.</w:t>
      </w:r>
    </w:p>
    <w:p w14:paraId="49FC7EE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769C82A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Process manuals outlining steps for feedback submission and appeal handling.</w:t>
      </w:r>
    </w:p>
    <w:p w14:paraId="6D4D701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Flowcharts showing escalation paths and decision points.</w:t>
      </w:r>
    </w:p>
    <w:p w14:paraId="4ED16B4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Templates for feedback and appeal forms.</w:t>
      </w:r>
    </w:p>
    <w:p w14:paraId="530D960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Documented roles and responsibilities of staff managing feedback and appeals.</w:t>
      </w:r>
    </w:p>
    <w:p w14:paraId="4B41617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644BA5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Implementation of Feedback and Appeal Channels</w:t>
      </w:r>
    </w:p>
    <w:p w14:paraId="35AC961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Deploy multiple, easily accessible channels for stakeholders to submit feedback and appeal outcomes (e.g., online portals, contact centers, dedicated email addresses) to ensure a user-friendly experience that encourages reporting and engagement from all relevant parties.</w:t>
      </w:r>
    </w:p>
    <w:p w14:paraId="3906899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AD9E15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Website interfaces, portals, or apps with feedback and appeal options.</w:t>
      </w:r>
    </w:p>
    <w:p w14:paraId="23A5AA6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Communication logs documenting received feedback and appeals.</w:t>
      </w:r>
    </w:p>
    <w:p w14:paraId="25862FC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Helpdesk or contact center records.</w:t>
      </w:r>
    </w:p>
    <w:p w14:paraId="27E44F7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Channel usage metrics and response times.</w:t>
      </w:r>
    </w:p>
    <w:p w14:paraId="7CC893F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5E061F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Clear Timeframes and Responsibilities for Response</w:t>
      </w:r>
    </w:p>
    <w:p w14:paraId="7C1BEDD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Define and document standard timeframes for acknowledgment, investigation, resolution, and communication of feedback and appeals, assigning responsible personnel or teams to promote accountability and ensure timely responses to reported issues.</w:t>
      </w:r>
    </w:p>
    <w:p w14:paraId="5681380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64EA75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Service level agreements (SLAs) with time targets.</w:t>
      </w:r>
    </w:p>
    <w:p w14:paraId="02760C0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Response tracking logs showing adherence to timeframes.</w:t>
      </w:r>
    </w:p>
    <w:p w14:paraId="05B6FE3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Standardized response scripts and templates.</w:t>
      </w:r>
    </w:p>
    <w:p w14:paraId="58446AB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and appeal case logs.</w:t>
      </w:r>
    </w:p>
    <w:p w14:paraId="53BFB9C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D47E6A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Criteria and Decision-Making Processes for Resolution</w:t>
      </w:r>
    </w:p>
    <w:p w14:paraId="4A67A3A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and document the criteria, guidelines, and decision processes used to evaluate reported issues and make determinations during appeals to maintain transparency and consistency in how feedback and appeals are handled.</w:t>
      </w:r>
    </w:p>
    <w:p w14:paraId="04FF00F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5D594E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Decision matrices or guidelines for assessing fairness, accuracy, or harm.</w:t>
      </w:r>
    </w:p>
    <w:p w14:paraId="2DBEDF4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Decision review meeting minutes with documented rationale.</w:t>
      </w:r>
    </w:p>
    <w:p w14:paraId="0E8778F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logs of decision approvals or escalations.</w:t>
      </w:r>
    </w:p>
    <w:p w14:paraId="7E383F9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Appeals resolution summaries with explanations.</w:t>
      </w:r>
    </w:p>
    <w:p w14:paraId="4EED90D3"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AD9D56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Monitoring, Evaluation, and Continuous Improvement</w:t>
      </w:r>
    </w:p>
    <w:p w14:paraId="61DBC53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Track feedback and appeal trends, evaluate resolution effectiveness, and regularly review processes for improvements, incorporating lessons learned and stakeholder input to enhance the overall effectiveness of feedback and appeals mechanisms and ensure they meet user needs.</w:t>
      </w:r>
    </w:p>
    <w:p w14:paraId="472922F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03078F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and appeal logs with analysis of common issues.</w:t>
      </w:r>
    </w:p>
    <w:p w14:paraId="2E9C630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Satisfaction surveys from stakeholders.</w:t>
      </w:r>
    </w:p>
    <w:p w14:paraId="40900D9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Process review reports outlining improvements.</w:t>
      </w:r>
    </w:p>
    <w:p w14:paraId="7165171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procedures reflecting lessons learned.</w:t>
      </w:r>
    </w:p>
    <w:p w14:paraId="4E34B084"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566490E4"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6B176BF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7C95ED9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012AED50" w14:textId="77777777" w:rsidTr="005C00A5">
        <w:tc>
          <w:tcPr>
            <w:tcW w:w="1170" w:type="dxa"/>
          </w:tcPr>
          <w:p w14:paraId="1EC7EA3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7670C9F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600028D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46BE3C08" w14:textId="77777777" w:rsidTr="005C00A5">
        <w:tc>
          <w:tcPr>
            <w:tcW w:w="1170" w:type="dxa"/>
          </w:tcPr>
          <w:p w14:paraId="66DED48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MS-3.3.2</w:t>
            </w:r>
          </w:p>
        </w:tc>
        <w:tc>
          <w:tcPr>
            <w:tcW w:w="2160" w:type="dxa"/>
          </w:tcPr>
          <w:p w14:paraId="0D8D11C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Feedback Integration and Process Refinement</w:t>
            </w:r>
          </w:p>
        </w:tc>
        <w:tc>
          <w:tcPr>
            <w:tcW w:w="6740" w:type="dxa"/>
          </w:tcPr>
          <w:p w14:paraId="77F0859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integrates user feedback and appeal data into its AI system evaluation metrics, tracking key indicators to identify patterns or systemic issues related to AI system outcomes. Feedback and appeal processes are continuously monitored and refined based on user input, system performance data, and evolving best practices, with refinements documented to ensure the processes remain effective, inclusive, and aligned with the organization's AI governance framework.</w:t>
            </w:r>
          </w:p>
          <w:p w14:paraId="6142D550" w14:textId="77777777" w:rsidR="00963E47" w:rsidRPr="00963E47" w:rsidRDefault="00963E47" w:rsidP="004C3837">
            <w:pPr>
              <w:keepNext/>
              <w:rPr>
                <w:rFonts w:ascii="Aptos" w:hAnsi="Aptos" w:cs="Times New Roman"/>
                <w:b/>
                <w:bCs/>
                <w:color w:val="000000"/>
                <w:sz w:val="20"/>
                <w:szCs w:val="20"/>
              </w:rPr>
            </w:pPr>
          </w:p>
          <w:p w14:paraId="5BFE52E0" w14:textId="77777777" w:rsidR="00963E47" w:rsidRPr="00963E47" w:rsidRDefault="00963E47" w:rsidP="004C3837">
            <w:pPr>
              <w:keepNext/>
              <w:rPr>
                <w:rFonts w:ascii="Aptos" w:hAnsi="Aptos" w:cs="Times New Roman"/>
                <w:b/>
                <w:bCs/>
                <w:color w:val="000000"/>
                <w:sz w:val="20"/>
                <w:szCs w:val="20"/>
              </w:rPr>
            </w:pPr>
            <w:hyperlink r:id="rId189" w:anchor="measure-3-3" w:history="1">
              <w:r w:rsidRPr="00963E47">
                <w:rPr>
                  <w:rFonts w:ascii="Aptos" w:hAnsi="Aptos" w:cs="Times New Roman"/>
                  <w:color w:val="000000"/>
                  <w:sz w:val="20"/>
                  <w:szCs w:val="20"/>
                  <w:u w:val="single"/>
                </w:rPr>
                <w:t>Link to NIST AI RMF Playbook</w:t>
              </w:r>
            </w:hyperlink>
          </w:p>
        </w:tc>
      </w:tr>
    </w:tbl>
    <w:p w14:paraId="0B11E4E3"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886941C"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6DECC020"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4F95CFB3" w14:textId="77777777" w:rsidTr="005C00A5">
        <w:trPr>
          <w:tblHeader/>
        </w:trPr>
        <w:tc>
          <w:tcPr>
            <w:tcW w:w="2160" w:type="dxa"/>
            <w:shd w:val="clear" w:color="auto" w:fill="CCDCDC"/>
            <w:vAlign w:val="center"/>
          </w:tcPr>
          <w:p w14:paraId="2E93702E"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6943658E"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599BF86A"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56C2517B" w14:textId="77777777" w:rsidTr="005C00A5">
        <w:tc>
          <w:tcPr>
            <w:tcW w:w="2160" w:type="dxa"/>
            <w:shd w:val="clear" w:color="auto" w:fill="CCDCDC"/>
          </w:tcPr>
          <w:p w14:paraId="414DF40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6697568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56DF7CC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19E4A0CE" w14:textId="77777777" w:rsidTr="005C00A5">
        <w:tc>
          <w:tcPr>
            <w:tcW w:w="2160" w:type="dxa"/>
            <w:shd w:val="clear" w:color="auto" w:fill="CCDCDC"/>
          </w:tcPr>
          <w:p w14:paraId="77BCB33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1D338B5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D762E8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minimal stage begin integrating user feedback because even limited AI use can lead to unexpected consequences or user dissatisfaction. Tracking this data, even in a rudimentary way, allows the organization to identify early issues, build trust with users, and proactively address potential problems before they escalate as AI adoption increases.</w:t>
            </w:r>
          </w:p>
        </w:tc>
      </w:tr>
      <w:tr w:rsidR="00963E47" w:rsidRPr="00963E47" w14:paraId="52EFBDC3" w14:textId="77777777" w:rsidTr="005C00A5">
        <w:tc>
          <w:tcPr>
            <w:tcW w:w="2160" w:type="dxa"/>
            <w:shd w:val="clear" w:color="auto" w:fill="CCDCDC"/>
          </w:tcPr>
          <w:p w14:paraId="72F9C08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725CA02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67934E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AI systems become more integrated and impact more users, so gathering and analyzing user feedback becomes crucial for identifying and addressing systemic issues. Integrating this data into evaluation metrics allows the organization to gain a deeper understanding of how AI systems are performing in real-world scenarios and to continuously improve their effectiveness, fairness, and alignment with user needs.</w:t>
            </w:r>
          </w:p>
        </w:tc>
      </w:tr>
      <w:tr w:rsidR="00963E47" w:rsidRPr="00963E47" w14:paraId="0AB5ACBB" w14:textId="77777777" w:rsidTr="005C00A5">
        <w:tc>
          <w:tcPr>
            <w:tcW w:w="2160" w:type="dxa"/>
            <w:shd w:val="clear" w:color="auto" w:fill="CCDCDC"/>
          </w:tcPr>
          <w:p w14:paraId="524FC9F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5A04DB2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7595F9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continuously integrating user feedback and appeal data into their AI system evaluation metrics, tracking key indicators to identify patterns or systemic issues related to AI system outcomes, with real-time monitoring and refinement of feedback and appeal processes based on user input, system performance data, and evolving best practices, with refinements documented to ensure the processes remain effective, inclusive, and aligned with the organization's AI governance framework based on data-driven insights. These processes are seamlessly integrated into the organization's risk management, stakeholder engagement, and continuous improvement frameworks, ensuring the highest level of proactive user feedback and appeal data integration, monitoring, and refinement.</w:t>
            </w:r>
          </w:p>
        </w:tc>
      </w:tr>
    </w:tbl>
    <w:p w14:paraId="76B0393A"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659E7A21" w14:textId="77777777" w:rsidTr="005C00A5">
        <w:tc>
          <w:tcPr>
            <w:tcW w:w="2250" w:type="dxa"/>
          </w:tcPr>
          <w:p w14:paraId="6190683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lastRenderedPageBreak/>
              <w:t>AI Principle</w:t>
            </w:r>
          </w:p>
        </w:tc>
        <w:tc>
          <w:tcPr>
            <w:tcW w:w="2520" w:type="dxa"/>
          </w:tcPr>
          <w:p w14:paraId="7BFB19D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6B1A28D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6150CB81" w14:textId="77777777" w:rsidTr="005C00A5">
        <w:tc>
          <w:tcPr>
            <w:tcW w:w="2250" w:type="dxa"/>
          </w:tcPr>
          <w:p w14:paraId="0BC027B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65C08E9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Unintegrated Feedback Data</w:t>
            </w:r>
          </w:p>
        </w:tc>
        <w:tc>
          <w:tcPr>
            <w:tcW w:w="5300" w:type="dxa"/>
          </w:tcPr>
          <w:p w14:paraId="272C15E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Feedback and appeals data are not integrated, and processes are unmonitored or refined</w:t>
            </w:r>
          </w:p>
        </w:tc>
      </w:tr>
    </w:tbl>
    <w:p w14:paraId="739C017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2F1C1E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4FA9467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C01F56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Integrate user feedback and appeal data into the organization's AI system evaluation metrics, establishing key performance indicators (KPIs) that track the volume, nature, and resolution of reported issues. Develop a standardized methodology for analyzing feedback and appeal data to identify patterns or systemic issues related to AI system outcomes, such as recurring types of errors, biases, or unintended consequences.</w:t>
      </w:r>
    </w:p>
    <w:p w14:paraId="622FB7D8"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BACD45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Continuously monitor and refine the feedback and appeal processes based on user input, system performance data, and evolving best practices in AI governance. Regularly review the effectiveness and inclusivity of the processes, and identify opportunities for improvement, such as simplifying submission procedures, expanding communication channels, or enhancing transparency in decision-making. Document any refinements made to the feedback and appeal processes, including the rationale for changes and the expected impact on stakeholder engagement and AI system performance, and communicate these updates to relevant stakeholders to ensure alignment with the organization's overall AI governance framework.</w:t>
      </w:r>
    </w:p>
    <w:p w14:paraId="105B5657"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B0C12B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39359D9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8EA7CE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of Feedback and Appeal Data into Evaluation Metrics</w:t>
      </w:r>
    </w:p>
    <w:p w14:paraId="36C73AE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procedures to systematically incorporate user feedback and appeal outcomes into system performance metrics and systemic issue tracking.</w:t>
      </w:r>
    </w:p>
    <w:p w14:paraId="142ABF1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6F126F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pipelines linking feedback, appeals, and system evaluation dashboards.</w:t>
      </w:r>
    </w:p>
    <w:p w14:paraId="2C710DF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Formalized processes for updating key metrics with user input.</w:t>
      </w:r>
    </w:p>
    <w:p w14:paraId="083107E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Traceability matrices showing feedback-to-metric relationships.</w:t>
      </w:r>
    </w:p>
    <w:p w14:paraId="5C0926F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evaluation frameworks incorporating new indicators.</w:t>
      </w:r>
    </w:p>
    <w:p w14:paraId="6627FFAF"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788BA6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Monitoring and Trend Analysis</w:t>
      </w:r>
    </w:p>
    <w:p w14:paraId="43632B5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monitoring tools to analyze feedback and appeal data for patterns indicative of systemic issues or bias, supporting targeted improvement efforts that address root causes and enhance the fairness and accuracy of AI system outcomes.</w:t>
      </w:r>
    </w:p>
    <w:p w14:paraId="4E81F44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A86366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Analytical dashboards showing patterns in feedback and appeal reasons.</w:t>
      </w:r>
    </w:p>
    <w:p w14:paraId="39E277C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identifying recurring systemic issues or unfair outcome trends.</w:t>
      </w:r>
    </w:p>
    <w:p w14:paraId="401A872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Data-driven insights into user concerns correlated with system changes.</w:t>
      </w:r>
    </w:p>
    <w:p w14:paraId="54C0C0C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Alerts for emerging systemic risks identified via feedback analysis.</w:t>
      </w:r>
    </w:p>
    <w:p w14:paraId="01B0A70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104805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Refinement of Processes Based on User and System Data</w:t>
      </w:r>
    </w:p>
    <w:p w14:paraId="54BDABA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review feedback and appeal trends, and refine evaluation metrics, resolution procedures, and systemic mitigation actions accordingly to enhance the responsiveness and effectiveness of the organization’s AI governance framework.</w:t>
      </w:r>
    </w:p>
    <w:p w14:paraId="0B6E3EA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F65FCC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meeting minutes documenting process adjustments.</w:t>
      </w:r>
    </w:p>
    <w:p w14:paraId="269F716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feedback and appeal handling procedures incorporating lessons learned.</w:t>
      </w:r>
    </w:p>
    <w:p w14:paraId="4DCD5F3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records for staff on revised processes.</w:t>
      </w:r>
    </w:p>
    <w:p w14:paraId="5ACABE0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for process and metric updates.</w:t>
      </w:r>
    </w:p>
    <w:p w14:paraId="2EE93F2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5298E5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Process Improvements and Rationales</w:t>
      </w:r>
    </w:p>
    <w:p w14:paraId="6647910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Record all refinements to feedback/appeal processes and evaluation metrics, including rationale, stakeholder input, and expected impact, ensuring transparency and traceability to foster trust and accountability in how feedback is handled and incorporated into AI system evaluations.</w:t>
      </w:r>
    </w:p>
    <w:p w14:paraId="6292999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D1A577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Revision logs with detailed descriptions and justifications.</w:t>
      </w:r>
    </w:p>
    <w:p w14:paraId="66998F5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feedback related to process changes.</w:t>
      </w:r>
    </w:p>
    <w:p w14:paraId="2C1D287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process manuals and training materials.</w:t>
      </w:r>
    </w:p>
    <w:p w14:paraId="75A7377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trails of approval and review activities.</w:t>
      </w:r>
    </w:p>
    <w:p w14:paraId="2B0804A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DA789D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Stakeholder Engagement and Feedback in Process Refinement</w:t>
      </w:r>
    </w:p>
    <w:p w14:paraId="4F6074D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Engage users and stakeholders for ongoing input on feedback and appeal processes, ensuring continuous alignment with organizational governance standards to adapt practices that reflect multidisciplinary perspectives and enhance the overall user experience.</w:t>
      </w:r>
    </w:p>
    <w:p w14:paraId="426E633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FE2424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surveys from stakeholders on process effectiveness.</w:t>
      </w:r>
    </w:p>
    <w:p w14:paraId="46146D5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records discussing stakeholder insights.</w:t>
      </w:r>
    </w:p>
    <w:p w14:paraId="18B35F2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on stakeholder participation and concerns.</w:t>
      </w:r>
    </w:p>
    <w:p w14:paraId="345605A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plans for process adjustments based on stakeholder input.</w:t>
      </w:r>
    </w:p>
    <w:p w14:paraId="6323B121"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65" w:name="_Toc214874810"/>
      <w:r w:rsidRPr="00963E47">
        <w:rPr>
          <w:rFonts w:ascii="Aptos" w:eastAsia="Aptos" w:hAnsi="Aptos" w:cs="Times New Roman"/>
          <w:b/>
          <w:bCs/>
          <w:noProof/>
          <w:color w:val="35256B"/>
          <w:kern w:val="2"/>
          <w:sz w:val="24"/>
          <w14:ligatures w14:val="standardContextual"/>
        </w:rPr>
        <w:t>MEASURE / Gathering Feedback on AI Measurement / Gathering Feedback on Measurement Approaches</w:t>
      </w:r>
      <w:bookmarkEnd w:id="65"/>
      <w:r w:rsidRPr="00963E47">
        <w:rPr>
          <w:rFonts w:ascii="Aptos" w:eastAsia="Aptos" w:hAnsi="Aptos" w:cs="Times New Roman"/>
          <w:b/>
          <w:bCs/>
          <w:noProof/>
          <w:color w:val="35256B"/>
          <w:kern w:val="2"/>
          <w:sz w:val="24"/>
          <w14:ligatures w14:val="standardContextual"/>
        </w:rPr>
        <w:t xml:space="preserve"> </w:t>
      </w:r>
    </w:p>
    <w:p w14:paraId="6B4F3A8B"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5985D47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7E35B21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77E62E1A" w14:textId="77777777" w:rsidTr="005C00A5">
        <w:tc>
          <w:tcPr>
            <w:tcW w:w="1170" w:type="dxa"/>
          </w:tcPr>
          <w:p w14:paraId="6CFF52F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1A1F73F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43B0FCF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1818A404" w14:textId="77777777" w:rsidTr="005C00A5">
        <w:tc>
          <w:tcPr>
            <w:tcW w:w="1170" w:type="dxa"/>
          </w:tcPr>
          <w:p w14:paraId="5483A47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MS-4.1.1</w:t>
            </w:r>
          </w:p>
        </w:tc>
        <w:tc>
          <w:tcPr>
            <w:tcW w:w="2160" w:type="dxa"/>
          </w:tcPr>
          <w:p w14:paraId="594A31C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Context-Specific Risk Identification</w:t>
            </w:r>
          </w:p>
        </w:tc>
        <w:tc>
          <w:tcPr>
            <w:tcW w:w="6740" w:type="dxa"/>
          </w:tcPr>
          <w:p w14:paraId="0E64FF2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reviews AI risk identification processes for alignment with the specific deployment context(s) of its AI systems, considering intended use cases, user populations, operational environments, trustworthiness characteristics, and potential impacts on individuals. It actively consults with domain experts, end users, and other relevant stakeholders to gather input on risks and challenges, documenting the outcomes. Additionally, the organization documents the involvement of internal experts, independent assessors, domain experts, users, and other external AI stakeholders in the assessment process, including their contributions, recommendations, and actions taken based on their input, to ensure transparency, accountability, and a comprehensive record of the assessment activities.</w:t>
            </w:r>
          </w:p>
          <w:p w14:paraId="539E57A9" w14:textId="77777777" w:rsidR="00963E47" w:rsidRPr="00963E47" w:rsidRDefault="00963E47" w:rsidP="004C3837">
            <w:pPr>
              <w:keepNext/>
              <w:rPr>
                <w:rFonts w:ascii="Aptos" w:hAnsi="Aptos" w:cs="Times New Roman"/>
                <w:b/>
                <w:bCs/>
                <w:color w:val="000000"/>
                <w:sz w:val="20"/>
                <w:szCs w:val="20"/>
              </w:rPr>
            </w:pPr>
          </w:p>
          <w:p w14:paraId="7C95C0F6" w14:textId="77777777" w:rsidR="00963E47" w:rsidRPr="00963E47" w:rsidRDefault="00963E47" w:rsidP="004C3837">
            <w:pPr>
              <w:keepNext/>
              <w:rPr>
                <w:rFonts w:ascii="Aptos" w:hAnsi="Aptos" w:cs="Times New Roman"/>
                <w:b/>
                <w:bCs/>
                <w:color w:val="000000"/>
                <w:sz w:val="20"/>
                <w:szCs w:val="20"/>
              </w:rPr>
            </w:pPr>
            <w:hyperlink r:id="rId190" w:anchor="measure-4-1" w:history="1">
              <w:r w:rsidRPr="00963E47">
                <w:rPr>
                  <w:rFonts w:ascii="Aptos" w:hAnsi="Aptos" w:cs="Times New Roman"/>
                  <w:color w:val="000000"/>
                  <w:sz w:val="20"/>
                  <w:szCs w:val="20"/>
                  <w:u w:val="single"/>
                </w:rPr>
                <w:t>Link to NIST AI RMF Playbook</w:t>
              </w:r>
            </w:hyperlink>
          </w:p>
        </w:tc>
      </w:tr>
    </w:tbl>
    <w:p w14:paraId="0458F0AB"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31580F9"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4B01BAC8"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49EDFFEC" w14:textId="77777777" w:rsidTr="005C00A5">
        <w:trPr>
          <w:tblHeader/>
        </w:trPr>
        <w:tc>
          <w:tcPr>
            <w:tcW w:w="2160" w:type="dxa"/>
            <w:shd w:val="clear" w:color="auto" w:fill="CCDCDC"/>
            <w:vAlign w:val="center"/>
          </w:tcPr>
          <w:p w14:paraId="1C675AD5"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44145E7E"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5C79DBB1"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5A0879BE" w14:textId="77777777" w:rsidTr="005C00A5">
        <w:tc>
          <w:tcPr>
            <w:tcW w:w="2160" w:type="dxa"/>
            <w:shd w:val="clear" w:color="auto" w:fill="CCDCDC"/>
          </w:tcPr>
          <w:p w14:paraId="4A7FECC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28AB8BA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581934B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F419CC6" w14:textId="77777777" w:rsidTr="005C00A5">
        <w:tc>
          <w:tcPr>
            <w:tcW w:w="2160" w:type="dxa"/>
            <w:shd w:val="clear" w:color="auto" w:fill="CCDCDC"/>
          </w:tcPr>
          <w:p w14:paraId="1233546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5638C55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AF8362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minimal stage understand the deployment context is critical for identifying potential risks. Consulting with domain experts and end-users allows the organization to uncover potential unintended consequences or biases that might not be apparent from a purely technical perspective. This early focus on context-awareness helps build a foundation for responsible AI deployment as the organization scales its AI initiatives.</w:t>
            </w:r>
          </w:p>
        </w:tc>
      </w:tr>
      <w:tr w:rsidR="00963E47" w:rsidRPr="00963E47" w14:paraId="5298E779" w14:textId="77777777" w:rsidTr="005C00A5">
        <w:tc>
          <w:tcPr>
            <w:tcW w:w="2160" w:type="dxa"/>
            <w:shd w:val="clear" w:color="auto" w:fill="CCDCDC"/>
          </w:tcPr>
          <w:p w14:paraId="132863C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3: Evolving</w:t>
            </w:r>
          </w:p>
        </w:tc>
        <w:tc>
          <w:tcPr>
            <w:tcW w:w="1350" w:type="dxa"/>
          </w:tcPr>
          <w:p w14:paraId="0F876E2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998B65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AI systems are deployed in multiple contexts and impact a wider range of users. It's essential to ensure that risk identification processes are tailored to the specific nuances of each deployment. Actively consulting with a broader range of stakeholders allows the organization to gain a more comprehensive understanding of the potential risks and challenges associated with each AI system.</w:t>
            </w:r>
          </w:p>
        </w:tc>
      </w:tr>
      <w:tr w:rsidR="00963E47" w:rsidRPr="00963E47" w14:paraId="4B191996" w14:textId="77777777" w:rsidTr="005C00A5">
        <w:tc>
          <w:tcPr>
            <w:tcW w:w="2160" w:type="dxa"/>
            <w:shd w:val="clear" w:color="auto" w:fill="CCDCDC"/>
          </w:tcPr>
          <w:p w14:paraId="4EF4F70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26B6B5B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A66215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continuously developing an approach for identifying AI risks tailored to the specific deployment context(s) of their AI systems, considering intended use cases, user populations, operational environments, and potential impacts on individuals, with real-time consultation with domain experts, end users, and other relevant stakeholders to gather input on risks and challenges, documenting the outcomes based on data-driven insights. These processes are seamlessly integrated into the organization's risk management and stakeholder engagement frameworks, ensuring the highest level of proactive context-specific AI risk identification approach development and stakeholder consultation.</w:t>
            </w:r>
          </w:p>
        </w:tc>
      </w:tr>
    </w:tbl>
    <w:p w14:paraId="1CF75E52"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5076D4D9" w14:textId="77777777" w:rsidTr="005C00A5">
        <w:tc>
          <w:tcPr>
            <w:tcW w:w="2250" w:type="dxa"/>
          </w:tcPr>
          <w:p w14:paraId="58EA268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29D633B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1989A47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52BE8657" w14:textId="77777777" w:rsidTr="005C00A5">
        <w:tc>
          <w:tcPr>
            <w:tcW w:w="2250" w:type="dxa"/>
          </w:tcPr>
          <w:p w14:paraId="79D0797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Valid &amp; Reliable</w:t>
            </w:r>
          </w:p>
        </w:tc>
        <w:tc>
          <w:tcPr>
            <w:tcW w:w="2520" w:type="dxa"/>
          </w:tcPr>
          <w:p w14:paraId="4DD00AD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Lacking Deployment Context Input</w:t>
            </w:r>
          </w:p>
        </w:tc>
        <w:tc>
          <w:tcPr>
            <w:tcW w:w="5300" w:type="dxa"/>
          </w:tcPr>
          <w:p w14:paraId="413CC0D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risk identification lacks input and doesn't align with deployment context</w:t>
            </w:r>
          </w:p>
        </w:tc>
      </w:tr>
    </w:tbl>
    <w:p w14:paraId="7234A51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8ADB23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6A9A48B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BE537F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Review comprehensive approaches for identifying AI risks, tailored to the specific deployment context(s) of the organization's AI systems. Consider factors such as intended use cases, user populations, operational environments, and potential impacts on individuals when designing the risk identification process.</w:t>
      </w:r>
    </w:p>
    <w:p w14:paraId="63A05571"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18FACD0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Actively engage with internal experts (e.g., risk management professionals, legal, compliance, and testing teams), domain experts, end users, and other relevant stakeholders, including external AI stakeholders, to gather multidisciplinary input on risks, challenges, and context-specific concerns. Document the outcomes of these consultations, capturing key insights, recommendations, and areas needing further investigation, to inform and refine the risk identification approach.</w:t>
      </w:r>
    </w:p>
    <w:p w14:paraId="689884D8"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E2D439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a process for reviewing, prioritizing, and integrating stakeholder input and assessment findings, considering factors like relevance, feasibility, and potential impact on the organization’s risk management practices. Develop clear action plans for implementing prioritized recommendations, assigning roles and responsibilities, and setting timelines for completion.</w:t>
      </w:r>
    </w:p>
    <w:p w14:paraId="69879C26"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127E4DE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Maintain thorough records of stakeholder contributions, assessment activities, and decision-making processes to ensure transparency and accountability. Communicate assessment outcomes and subsequent actions to all relevant stakeholders, fostering shared understanding and ongoing engagement in risk management efforts.</w:t>
      </w:r>
    </w:p>
    <w:p w14:paraId="127F4035"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6CEE7F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3AA5460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17CFBF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Context-Aware Risk Review Processes</w:t>
      </w:r>
    </w:p>
    <w:p w14:paraId="62DC43F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procedures for periodic review and update of AI risk identification processes, tailoring them to specific deployment contexts and incorporating stakeholder input.</w:t>
      </w:r>
    </w:p>
    <w:p w14:paraId="3728754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262926F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and agendas explicitly linked to deployment contexts.</w:t>
      </w:r>
    </w:p>
    <w:p w14:paraId="13C8FF0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Customized risk assessment templates incorporating context-specific factors.</w:t>
      </w:r>
    </w:p>
    <w:p w14:paraId="20ED01A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review meetings with context-driven risk discussion outcomes.</w:t>
      </w:r>
    </w:p>
    <w:p w14:paraId="3F64D6B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Versioned review protocols reflecting process adaptations.</w:t>
      </w:r>
    </w:p>
    <w:p w14:paraId="1A8DA75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7594FF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Stakeholder Engagement and Input Gathering</w:t>
      </w:r>
    </w:p>
    <w:p w14:paraId="485D28F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mechanisms to actively involve domain experts, end users, and relevant stakeholders in risk identification activities, capturing multidisciplinary perspectives to enhance the robustness and accuracy of the organization’s risk assessments.</w:t>
      </w:r>
    </w:p>
    <w:p w14:paraId="38F8959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38ECAB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engagement plans outlining roles, methods, and timelines.</w:t>
      </w:r>
    </w:p>
    <w:p w14:paraId="0803D60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stakeholder collaboration sessions, including interviews, focus groups, or surveys.</w:t>
      </w:r>
    </w:p>
    <w:p w14:paraId="1636949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logs with stakeholder contributions and discussion summaries.</w:t>
      </w:r>
    </w:p>
    <w:p w14:paraId="46EE909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Signed attestations or sign-offs on stakeholder inputs and risk considerations.</w:t>
      </w:r>
    </w:p>
    <w:p w14:paraId="492CB0E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28AE6BB"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Outcomes and Contributions</w:t>
      </w:r>
    </w:p>
    <w:p w14:paraId="35C26DD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Record the findings, risk insights, and recommendations resulting from stakeholder consultations, including how these influence the risk identification process to ensure that stakeholder input is reflected in the organization's risk management strategies.</w:t>
      </w:r>
    </w:p>
    <w:p w14:paraId="7EFCF67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988553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assessment reports with attribution to stakeholder inputs.</w:t>
      </w:r>
    </w:p>
    <w:p w14:paraId="0E3A60D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highlighting key stakeholder contributions.</w:t>
      </w:r>
    </w:p>
    <w:p w14:paraId="70A12E7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Contribution logs showing recommendations and decision rationales.</w:t>
      </w:r>
    </w:p>
    <w:p w14:paraId="728013F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Traceability matrices linking inputs to risk mitigation actions.</w:t>
      </w:r>
    </w:p>
    <w:p w14:paraId="368C013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417844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Transparency and Accountability in the Assessment Process</w:t>
      </w:r>
    </w:p>
    <w:p w14:paraId="0539935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comprehensive records of stakeholder involvement, contributions, actions taken, and rationale for decisions to ensure transparency and facilitate auditability in the risk identification process, allowing for effective oversight and review.</w:t>
      </w:r>
    </w:p>
    <w:p w14:paraId="0CD5853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6651D7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Documented involvement workflows with timestamps.</w:t>
      </w:r>
    </w:p>
    <w:p w14:paraId="20287A2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feedback and response records.</w:t>
      </w:r>
    </w:p>
    <w:p w14:paraId="4BE32A3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Logs of actions, controls, or process modifications based on input.</w:t>
      </w:r>
    </w:p>
    <w:p w14:paraId="64D7907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Summary reports for internal or external review.</w:t>
      </w:r>
    </w:p>
    <w:p w14:paraId="3CCD20AF"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46BA70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Improvement and Contextual Refinement</w:t>
      </w:r>
    </w:p>
    <w:p w14:paraId="50F4708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lessons learned, stakeholder feedback, and assessment outcomes to refine risk identification processes, ensuring ongoing relevance and contextual alignment with the changing landscape of AI deployment and associated risks.</w:t>
      </w:r>
    </w:p>
    <w:p w14:paraId="4C8D6D2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8A0DB3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Revisions logs reflecting process updates.</w:t>
      </w:r>
    </w:p>
    <w:p w14:paraId="7E069E5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stakeholders on assessment relevance.</w:t>
      </w:r>
    </w:p>
    <w:p w14:paraId="5EF5C69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Post-assessment review reports highlighting enhancements.</w:t>
      </w:r>
    </w:p>
    <w:p w14:paraId="15CFD43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procedures incorporating new learnings or evolving contexts.</w:t>
      </w:r>
    </w:p>
    <w:p w14:paraId="610C06A8"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25685757"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2EEB653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1795F8A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531C8905" w14:textId="77777777" w:rsidTr="005C00A5">
        <w:tc>
          <w:tcPr>
            <w:tcW w:w="1170" w:type="dxa"/>
          </w:tcPr>
          <w:p w14:paraId="6F71993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74102F7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2BFAE47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67BB90FC" w14:textId="77777777" w:rsidTr="005C00A5">
        <w:tc>
          <w:tcPr>
            <w:tcW w:w="1170" w:type="dxa"/>
          </w:tcPr>
          <w:p w14:paraId="08C1571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MS-4.1.2</w:t>
            </w:r>
          </w:p>
        </w:tc>
        <w:tc>
          <w:tcPr>
            <w:tcW w:w="2160" w:type="dxa"/>
          </w:tcPr>
          <w:p w14:paraId="7C36D1C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Integration with Organizational Processes</w:t>
            </w:r>
          </w:p>
        </w:tc>
        <w:tc>
          <w:tcPr>
            <w:tcW w:w="6740" w:type="dxa"/>
          </w:tcPr>
          <w:p w14:paraId="5E1A1FD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assesses the integration of its AI risk identification processes with other relevant organizational processes, such as cybersecurity, resilience planning, and incident management. Internal and external experts provide feedback on integration. It documents how AI risk identification aligns with and supports these processes to ensure consistency and effectiveness of risk management practices. Areas for improvement are identified and addressed.</w:t>
            </w:r>
          </w:p>
          <w:p w14:paraId="2B43B067" w14:textId="77777777" w:rsidR="00963E47" w:rsidRPr="00963E47" w:rsidRDefault="00963E47" w:rsidP="004C3837">
            <w:pPr>
              <w:keepNext/>
              <w:rPr>
                <w:rFonts w:ascii="Aptos" w:hAnsi="Aptos" w:cs="Times New Roman"/>
                <w:b/>
                <w:bCs/>
                <w:color w:val="000000"/>
                <w:sz w:val="20"/>
                <w:szCs w:val="20"/>
              </w:rPr>
            </w:pPr>
          </w:p>
          <w:p w14:paraId="5ED33595" w14:textId="77777777" w:rsidR="00963E47" w:rsidRPr="00963E47" w:rsidRDefault="00963E47" w:rsidP="004C3837">
            <w:pPr>
              <w:keepNext/>
              <w:rPr>
                <w:rFonts w:ascii="Aptos" w:hAnsi="Aptos" w:cs="Times New Roman"/>
                <w:b/>
                <w:bCs/>
                <w:color w:val="000000"/>
                <w:sz w:val="20"/>
                <w:szCs w:val="20"/>
              </w:rPr>
            </w:pPr>
            <w:hyperlink r:id="rId191" w:anchor="measure-4-1" w:history="1">
              <w:r w:rsidRPr="00963E47">
                <w:rPr>
                  <w:rFonts w:ascii="Aptos" w:hAnsi="Aptos" w:cs="Times New Roman"/>
                  <w:color w:val="000000"/>
                  <w:sz w:val="20"/>
                  <w:szCs w:val="20"/>
                  <w:u w:val="single"/>
                </w:rPr>
                <w:t>Link to NIST AI RMF Playbook</w:t>
              </w:r>
            </w:hyperlink>
          </w:p>
        </w:tc>
      </w:tr>
    </w:tbl>
    <w:p w14:paraId="21B5F70E"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CD38FF4"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3B466280"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055B7AD8" w14:textId="77777777" w:rsidTr="005C00A5">
        <w:trPr>
          <w:tblHeader/>
        </w:trPr>
        <w:tc>
          <w:tcPr>
            <w:tcW w:w="2160" w:type="dxa"/>
            <w:shd w:val="clear" w:color="auto" w:fill="CCDCDC"/>
            <w:vAlign w:val="center"/>
          </w:tcPr>
          <w:p w14:paraId="163DA0B2"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554A781F"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24EF2497"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593E7B4F" w14:textId="77777777" w:rsidTr="005C00A5">
        <w:tc>
          <w:tcPr>
            <w:tcW w:w="2160" w:type="dxa"/>
            <w:shd w:val="clear" w:color="auto" w:fill="CCDCDC"/>
          </w:tcPr>
          <w:p w14:paraId="2184569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6CFB639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03290F5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43CFA5BF" w14:textId="77777777" w:rsidTr="005C00A5">
        <w:tc>
          <w:tcPr>
            <w:tcW w:w="2160" w:type="dxa"/>
            <w:shd w:val="clear" w:color="auto" w:fill="CCDCDC"/>
          </w:tcPr>
          <w:p w14:paraId="4D0D657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15FA2F9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A0097E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start considering how AI risk management integrates with existing processes. This allows AI risks to be viewed in relation to other organizational risks.</w:t>
            </w:r>
          </w:p>
        </w:tc>
      </w:tr>
      <w:tr w:rsidR="00963E47" w:rsidRPr="00963E47" w14:paraId="6F3D6611" w14:textId="77777777" w:rsidTr="005C00A5">
        <w:tc>
          <w:tcPr>
            <w:tcW w:w="2160" w:type="dxa"/>
            <w:shd w:val="clear" w:color="auto" w:fill="CCDCDC"/>
          </w:tcPr>
          <w:p w14:paraId="101678C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4923ABA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87D053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AI systems become more interconnected and integrated into organizational processes. It's crucial to ensure that AI risk identification processes are aligned with existing risk management frameworks. Assessing this integration allows the organization to identify potential gaps or overlaps in risk management efforts, promoting a more holistic and effective approach to managing AI-related risks.</w:t>
            </w:r>
          </w:p>
        </w:tc>
      </w:tr>
      <w:tr w:rsidR="00963E47" w:rsidRPr="00963E47" w14:paraId="544EDF8B" w14:textId="77777777" w:rsidTr="005C00A5">
        <w:tc>
          <w:tcPr>
            <w:tcW w:w="2160" w:type="dxa"/>
            <w:shd w:val="clear" w:color="auto" w:fill="CCDCDC"/>
          </w:tcPr>
          <w:p w14:paraId="218193C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030F585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EBDD98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continuously assessing the integration of their AI risk identification processes with other relevant organizational processes, such as cybersecurity, resilience planning, and incident management, with real-time documentation of how AI risk identification aligns with and supports these processes to ensure consistency and effectiveness of risk management practices based on data-driven insights. Areas for improvement are dynamically identified and addressed, ensuring the highest level of proactive AI risk identification process integration, alignment, and continuous improvement.</w:t>
            </w:r>
          </w:p>
        </w:tc>
      </w:tr>
    </w:tbl>
    <w:p w14:paraId="70E2BD9F"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00177C5C" w14:textId="77777777" w:rsidTr="005C00A5">
        <w:tc>
          <w:tcPr>
            <w:tcW w:w="2250" w:type="dxa"/>
          </w:tcPr>
          <w:p w14:paraId="45916CB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77041D9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73F1034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6768BA10" w14:textId="77777777" w:rsidTr="005C00A5">
        <w:tc>
          <w:tcPr>
            <w:tcW w:w="2250" w:type="dxa"/>
          </w:tcPr>
          <w:p w14:paraId="200A868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4ED6B55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Insufficient Integration Processes</w:t>
            </w:r>
          </w:p>
        </w:tc>
        <w:tc>
          <w:tcPr>
            <w:tcW w:w="5300" w:type="dxa"/>
          </w:tcPr>
          <w:p w14:paraId="1DF8A89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risk identification integration with organizational processes is insufficient</w:t>
            </w:r>
          </w:p>
        </w:tc>
      </w:tr>
    </w:tbl>
    <w:p w14:paraId="37B6F8C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17241D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17545EE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ACA55B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Assess the integration of AI risk identification processes with other relevant organizational processes, such as cybersecurity, resilience planning, and incident management. Identify areas where AI risk identification can align with and support these processes to ensure consistency and effectiveness of risk management practices. Consultation with internal and external experts inform assessments.</w:t>
      </w:r>
    </w:p>
    <w:p w14:paraId="5F46DB27"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C5259E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Document how AI risk identification integrates with these other processes, including specific touchpoints, data sharing mechanisms, and roles and responsibilities. Identify any gaps or areas for improvement in the integration, and develop a plan to address these issues, including necessary updates to policies, procedures, and training materials.</w:t>
      </w:r>
    </w:p>
    <w:p w14:paraId="3E50805C"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1592A2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44B3071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324C16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Establishment of an Integration Evaluation Framework</w:t>
      </w:r>
    </w:p>
    <w:p w14:paraId="541D169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 structured approach for assessing the alignment and integration of AI risk identification with other process areas, including criteria, methods, and responsibilities.</w:t>
      </w:r>
    </w:p>
    <w:p w14:paraId="7AF7735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210D96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Integration assessment protocols outlining evaluation steps and stakeholders.</w:t>
      </w:r>
    </w:p>
    <w:p w14:paraId="5B71F82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Checklists for evaluating process alignment and interfaces.</w:t>
      </w:r>
    </w:p>
    <w:p w14:paraId="3E49A39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Process maps showing interactions between AI risk practices and other functions.</w:t>
      </w:r>
    </w:p>
    <w:p w14:paraId="2A14F9B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assessment frameworks.</w:t>
      </w:r>
    </w:p>
    <w:p w14:paraId="01BDE8D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D9A020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Stakeholder Feedback Collection on Integration</w:t>
      </w:r>
    </w:p>
    <w:p w14:paraId="484DA24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Engage internal and external subject matter experts to review integration points, providing feedback on effectiveness, gaps, and opportunities for synergy to ensure comprehensive insights that enhance the effectiveness of risk management processes.</w:t>
      </w:r>
    </w:p>
    <w:p w14:paraId="6557BB2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1B307C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surveys and interviews with process owners and external auditors.</w:t>
      </w:r>
    </w:p>
    <w:p w14:paraId="7C3E43D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review summaries, and feedback logs.</w:t>
      </w:r>
    </w:p>
    <w:p w14:paraId="7BBE8F1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of stakeholder workshops focused on process alignment.</w:t>
      </w:r>
    </w:p>
    <w:p w14:paraId="588521E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Sign-off documentation on assessment outcomes.</w:t>
      </w:r>
    </w:p>
    <w:p w14:paraId="06736B93"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4F29E2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Alignment and Support for Risk Practices</w:t>
      </w:r>
    </w:p>
    <w:p w14:paraId="3AA9F70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Record how AI risk identification supports and integrates with related processes, including mapping of process linkages, roles, and shared data or controls to provide a clear understanding of how these processes interact and support overall organizational objectives.</w:t>
      </w:r>
    </w:p>
    <w:p w14:paraId="25770F4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392E08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Process maps and interface diagrams showing integration points.</w:t>
      </w:r>
    </w:p>
    <w:p w14:paraId="14BD6A6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Joint procedures or protocols that align activities across functions.</w:t>
      </w:r>
    </w:p>
    <w:p w14:paraId="41A88BF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shared tools, data repositories, or dashboards.</w:t>
      </w:r>
    </w:p>
    <w:p w14:paraId="7A0EA80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demonstrating consistent risk assessments and mitigation actions.</w:t>
      </w:r>
    </w:p>
    <w:p w14:paraId="1F50BC7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75B8D7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Identification and Remediation of Gaps</w:t>
      </w:r>
    </w:p>
    <w:p w14:paraId="0E4F768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Analyze assessment findings to identify gaps or inconsistencies in process alignment, and implement corrective actions to address these issues to improve the coherence and efficiency of the organization’s risk management framework.</w:t>
      </w:r>
    </w:p>
    <w:p w14:paraId="1982365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36C5F2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Gap analysis reports with action plans.</w:t>
      </w:r>
    </w:p>
    <w:p w14:paraId="5F8B656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Process refinement documents and updated procedures.</w:t>
      </w:r>
    </w:p>
    <w:p w14:paraId="01BE4BD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Corrective action tracking logs with responsible parties and deadlines.</w:t>
      </w:r>
    </w:p>
    <w:p w14:paraId="7C70DAC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Follow-up review reports confirming improvements.</w:t>
      </w:r>
    </w:p>
    <w:p w14:paraId="108737A2"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E6DF2C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Ongoing Reviews and Continuous Improvement</w:t>
      </w:r>
    </w:p>
    <w:p w14:paraId="4B07AD9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Schedule periodic evaluations of process integration efficacy, incorporating lessons learned, evolving standards, and stakeholder feedback to enhance overall risk management coordination ensuring that the organization remains responsive to emerging threats and best practices in risk governance.</w:t>
      </w:r>
    </w:p>
    <w:p w14:paraId="009B1F8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5A15FF5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meeting minutes and schedule logs.</w:t>
      </w:r>
    </w:p>
    <w:p w14:paraId="18F1C9B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process maps and interface documentation.</w:t>
      </w:r>
    </w:p>
    <w:p w14:paraId="0ED4EC6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compilation and trend analysis reports.</w:t>
      </w:r>
    </w:p>
    <w:p w14:paraId="197E846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Continuous improvement action plans and implementation records.</w:t>
      </w:r>
    </w:p>
    <w:p w14:paraId="25AA8B2F"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1AAA5827"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14048DF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0DC7D0C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1C7D11DA" w14:textId="77777777" w:rsidTr="005C00A5">
        <w:tc>
          <w:tcPr>
            <w:tcW w:w="1170" w:type="dxa"/>
          </w:tcPr>
          <w:p w14:paraId="45A0CF5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453EF1C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1ACF445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47D71EFB" w14:textId="77777777" w:rsidTr="005C00A5">
        <w:tc>
          <w:tcPr>
            <w:tcW w:w="1170" w:type="dxa"/>
          </w:tcPr>
          <w:p w14:paraId="052288A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MS-4.1.3</w:t>
            </w:r>
          </w:p>
        </w:tc>
        <w:tc>
          <w:tcPr>
            <w:tcW w:w="2160" w:type="dxa"/>
          </w:tcPr>
          <w:p w14:paraId="18E21C5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Incorporating Real-World Data</w:t>
            </w:r>
          </w:p>
        </w:tc>
        <w:tc>
          <w:tcPr>
            <w:tcW w:w="6740" w:type="dxa"/>
          </w:tcPr>
          <w:p w14:paraId="3565A74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incorporates insights from user feedback, incident reports, and other real-world data sources into its AI risk identification approaches. This grounding in actual experiences and concerns of end users and impacted communities is documented, highlighting how these insights are integrated into the risk identification process.</w:t>
            </w:r>
          </w:p>
          <w:p w14:paraId="17CFCDDA" w14:textId="77777777" w:rsidR="00963E47" w:rsidRPr="00963E47" w:rsidRDefault="00963E47" w:rsidP="004C3837">
            <w:pPr>
              <w:keepNext/>
              <w:rPr>
                <w:rFonts w:ascii="Aptos" w:hAnsi="Aptos" w:cs="Times New Roman"/>
                <w:b/>
                <w:bCs/>
                <w:color w:val="000000"/>
                <w:sz w:val="20"/>
                <w:szCs w:val="20"/>
              </w:rPr>
            </w:pPr>
          </w:p>
          <w:p w14:paraId="1A18E35D" w14:textId="77777777" w:rsidR="00963E47" w:rsidRPr="00963E47" w:rsidRDefault="00963E47" w:rsidP="004C3837">
            <w:pPr>
              <w:keepNext/>
              <w:rPr>
                <w:rFonts w:ascii="Aptos" w:hAnsi="Aptos" w:cs="Times New Roman"/>
                <w:b/>
                <w:bCs/>
                <w:color w:val="000000"/>
                <w:sz w:val="20"/>
                <w:szCs w:val="20"/>
              </w:rPr>
            </w:pPr>
            <w:hyperlink r:id="rId192" w:anchor="measure-4-1" w:history="1">
              <w:r w:rsidRPr="00963E47">
                <w:rPr>
                  <w:rFonts w:ascii="Aptos" w:hAnsi="Aptos" w:cs="Times New Roman"/>
                  <w:color w:val="000000"/>
                  <w:sz w:val="20"/>
                  <w:szCs w:val="20"/>
                  <w:u w:val="single"/>
                </w:rPr>
                <w:t>Link to NIST AI RMF Playbook</w:t>
              </w:r>
            </w:hyperlink>
          </w:p>
        </w:tc>
      </w:tr>
    </w:tbl>
    <w:p w14:paraId="22CC65DE"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66CB198"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62E5D3AE"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750B900E" w14:textId="77777777" w:rsidTr="005C00A5">
        <w:trPr>
          <w:tblHeader/>
        </w:trPr>
        <w:tc>
          <w:tcPr>
            <w:tcW w:w="2160" w:type="dxa"/>
            <w:shd w:val="clear" w:color="auto" w:fill="CCDCDC"/>
            <w:vAlign w:val="center"/>
          </w:tcPr>
          <w:p w14:paraId="25F6B4A5"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047CF024"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48155285"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1289FECE" w14:textId="77777777" w:rsidTr="005C00A5">
        <w:tc>
          <w:tcPr>
            <w:tcW w:w="2160" w:type="dxa"/>
            <w:shd w:val="clear" w:color="auto" w:fill="CCDCDC"/>
          </w:tcPr>
          <w:p w14:paraId="57A25DD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0AF6417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43B507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418BCD8D" w14:textId="77777777" w:rsidTr="005C00A5">
        <w:tc>
          <w:tcPr>
            <w:tcW w:w="2160" w:type="dxa"/>
            <w:shd w:val="clear" w:color="auto" w:fill="CCDCDC"/>
          </w:tcPr>
          <w:p w14:paraId="5300F30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6679789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D131EA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begin to integrate user feedback and incident reports into their risk identification processes. Even with limited AI deployments, these real-world experiences provide valuable insights into potential issues that might not be apparent during development, allowing for early course correction and a more user-centered approach to risk management.</w:t>
            </w:r>
          </w:p>
        </w:tc>
      </w:tr>
      <w:tr w:rsidR="00963E47" w:rsidRPr="00963E47" w14:paraId="109EC185" w14:textId="77777777" w:rsidTr="005C00A5">
        <w:tc>
          <w:tcPr>
            <w:tcW w:w="2160" w:type="dxa"/>
            <w:shd w:val="clear" w:color="auto" w:fill="CCDCDC"/>
          </w:tcPr>
          <w:p w14:paraId="2B596EB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20FA44A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C291F3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AI systems are deployed in a wider range of contexts and impact more users. It is crucial to integrate these insights to refine AI risk identification. Documenting how user feedback and incident reports are used to inform risk assessments ensures that the organization is continuously learning from its experiences and adapting its risk management strategies to address emerging challenges effectively.</w:t>
            </w:r>
          </w:p>
        </w:tc>
      </w:tr>
      <w:tr w:rsidR="00963E47" w:rsidRPr="00963E47" w14:paraId="49BEAD2E" w14:textId="77777777" w:rsidTr="005C00A5">
        <w:tc>
          <w:tcPr>
            <w:tcW w:w="2160" w:type="dxa"/>
            <w:shd w:val="clear" w:color="auto" w:fill="CCDCDC"/>
          </w:tcPr>
          <w:p w14:paraId="3572C49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0EEB997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F6B12D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continuously incorporating insights from user feedback, incident reports, and other real-world data sources into their AI risk identification approaches, with real-time grounding in actual experiences and concerns of end users and impacted communities documented, highlighting how these insights are integrated into the risk identification process based on data-driven insights. These processes are seamlessly integrated into the organization's risk management, stakeholder engagement, and continuous improvement frameworks, ensuring the highest level of proactive real-world insight incorporation and documentation.</w:t>
            </w:r>
          </w:p>
        </w:tc>
      </w:tr>
    </w:tbl>
    <w:p w14:paraId="330686EB"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2055000C" w14:textId="77777777" w:rsidTr="005C00A5">
        <w:tc>
          <w:tcPr>
            <w:tcW w:w="2250" w:type="dxa"/>
          </w:tcPr>
          <w:p w14:paraId="1C72AA9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lastRenderedPageBreak/>
              <w:t>AI Principle</w:t>
            </w:r>
          </w:p>
        </w:tc>
        <w:tc>
          <w:tcPr>
            <w:tcW w:w="2520" w:type="dxa"/>
          </w:tcPr>
          <w:p w14:paraId="7607CFD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24BDCC5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44C95397" w14:textId="77777777" w:rsidTr="005C00A5">
        <w:tc>
          <w:tcPr>
            <w:tcW w:w="2250" w:type="dxa"/>
          </w:tcPr>
          <w:p w14:paraId="77EF890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3B69968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Unincorporated User Feedback</w:t>
            </w:r>
          </w:p>
        </w:tc>
        <w:tc>
          <w:tcPr>
            <w:tcW w:w="5300" w:type="dxa"/>
          </w:tcPr>
          <w:p w14:paraId="5CBFCA8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User feedback isn't incorporated into AI risk identification</w:t>
            </w:r>
          </w:p>
        </w:tc>
      </w:tr>
    </w:tbl>
    <w:p w14:paraId="7A98AAA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DD8EBD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15DB8EA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2FCCC2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Incorporate insights from user feedback, incident reports, and other real-world data sources into AI risk identification approaches. Establish mechanisms for regularly collecting and analyzing this data, such as user surveys, feedback forms, and incident tracking systems.</w:t>
      </w:r>
    </w:p>
    <w:p w14:paraId="5730B714"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2EC5BF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Document how these insights are integrated into the risk identification process, highlighting specific examples of how real-world experiences and concerns of end users and impacted communities have informed the identification of AI risks. Use this documentation to demonstrate the grounding of the risk identification approach in actual user experiences and to identify areas for continuous improvement.</w:t>
      </w:r>
    </w:p>
    <w:p w14:paraId="409133E7"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D80F39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770DF46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D66A3C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Establishment of a Feedback and Data Collection Framework</w:t>
      </w:r>
    </w:p>
    <w:p w14:paraId="15A613B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formal procedures and templates for collecting, analyzing, and documenting user feedback, incident reports, and real-world data relevant to AI risks.</w:t>
      </w:r>
    </w:p>
    <w:p w14:paraId="1F4E0D4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060E59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collection protocols and channels (surveys, logs, incident reports).</w:t>
      </w:r>
    </w:p>
    <w:p w14:paraId="7054A88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and incident databases with timestamps and contextual info.</w:t>
      </w:r>
    </w:p>
    <w:p w14:paraId="7AD2E2C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Templates for capturing insights and linking them to risk assessments.</w:t>
      </w:r>
    </w:p>
    <w:p w14:paraId="0752663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documentation of data collection methods.</w:t>
      </w:r>
    </w:p>
    <w:p w14:paraId="7F287DA2"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F68A36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of Insights into Risk Identification Processes</w:t>
      </w:r>
    </w:p>
    <w:p w14:paraId="7C5110C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Clearly document how insights from feedback and incident data are analyzed and incorporated into ongoing risk identification efforts to ensure that the organization's risk assessment is informed by real-world experiences and challenges faced by users.</w:t>
      </w:r>
    </w:p>
    <w:p w14:paraId="4CFCF61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F797D8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Linking matrices connecting user reports to specific risk categories.</w:t>
      </w:r>
    </w:p>
    <w:p w14:paraId="12D1DEE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risk registers reflecting insights from real-world data.</w:t>
      </w:r>
    </w:p>
    <w:p w14:paraId="1861914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demonstrating analysis of incident root causes influencing risk scope.</w:t>
      </w:r>
    </w:p>
    <w:p w14:paraId="720FE5B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Process logs showing decision points where insights informed risk updates.</w:t>
      </w:r>
    </w:p>
    <w:p w14:paraId="66ECF79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BE3792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How Insights Influence Risk Strategies</w:t>
      </w:r>
    </w:p>
    <w:p w14:paraId="50AACAF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Record how insights from actual data sources prompt revisions to risk mitigation strategies, controls, or risk thresholds to demonstrate responsiveness to emerging risks and the effectiveness of the organization's risk management practices.</w:t>
      </w:r>
    </w:p>
    <w:p w14:paraId="4338653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5904E9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linking specific insights to control adjustments.</w:t>
      </w:r>
    </w:p>
    <w:p w14:paraId="6C22EB1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mitigation action plans incorporating lessons from real-world data.</w:t>
      </w:r>
    </w:p>
    <w:p w14:paraId="12A29A9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discussing the influence of feedback on risk posture.</w:t>
      </w:r>
    </w:p>
    <w:p w14:paraId="031171C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System or process updates driven by insights.</w:t>
      </w:r>
    </w:p>
    <w:p w14:paraId="4F47318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9446F3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Feedback and Data Monitoring, Evaluation, and Updates</w:t>
      </w:r>
    </w:p>
    <w:p w14:paraId="516ACFD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evaluate the quality and relevance of data sources and insights, updating risk identification methodologies accordingly to maintain the effectiveness and accuracy of assessments in line with changing conditions and user needs.</w:t>
      </w:r>
    </w:p>
    <w:p w14:paraId="09B5577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0CE9EFB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review logs with assessments of source reliability and relevance.</w:t>
      </w:r>
    </w:p>
    <w:p w14:paraId="059EE84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reports with updates on insight integration.</w:t>
      </w:r>
    </w:p>
    <w:p w14:paraId="3C418B4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analysis summaries illustrating evolving data inputs.</w:t>
      </w:r>
    </w:p>
    <w:p w14:paraId="39886E4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Revisions to risk identification protocols.</w:t>
      </w:r>
    </w:p>
    <w:p w14:paraId="41FB1A3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92A99C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Improvement and Transparency of Insight Usage</w:t>
      </w:r>
    </w:p>
    <w:p w14:paraId="525B798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 lessons learned, updates to integration practices, and stakeholder communications regarding how real-world insights shape risk identification activities to foster transparency and facilitate continuous improvement in the organization's risk management framework.</w:t>
      </w:r>
    </w:p>
    <w:p w14:paraId="1A514BD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BD83CB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reports with actionable recommendations.</w:t>
      </w:r>
    </w:p>
    <w:p w14:paraId="719F2E9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Process improvement documentation.</w:t>
      </w:r>
    </w:p>
    <w:p w14:paraId="02CB7AC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communication records explaining insights’ impact.</w:t>
      </w:r>
    </w:p>
    <w:p w14:paraId="5332CE6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Periodic review reports demonstrating process evolution.</w:t>
      </w:r>
    </w:p>
    <w:p w14:paraId="5F264880"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5AB82E9D"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66E12E4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67B838B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116C2D31" w14:textId="77777777" w:rsidTr="005C00A5">
        <w:tc>
          <w:tcPr>
            <w:tcW w:w="1170" w:type="dxa"/>
          </w:tcPr>
          <w:p w14:paraId="2163F0A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12136D3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0E5296B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5710DCB6" w14:textId="77777777" w:rsidTr="005C00A5">
        <w:tc>
          <w:tcPr>
            <w:tcW w:w="1170" w:type="dxa"/>
          </w:tcPr>
          <w:p w14:paraId="7E0E744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MS-4.1.4</w:t>
            </w:r>
          </w:p>
        </w:tc>
        <w:tc>
          <w:tcPr>
            <w:tcW w:w="2160" w:type="dxa"/>
          </w:tcPr>
          <w:p w14:paraId="0B90EDC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Validation, Testing, and Effectiveness Evaluation of AI Risk Approaches</w:t>
            </w:r>
          </w:p>
        </w:tc>
        <w:tc>
          <w:tcPr>
            <w:tcW w:w="6740" w:type="dxa"/>
          </w:tcPr>
          <w:p w14:paraId="51FF383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validates the efficacy of its AI risk identification approaches through targeted testing, simulations, or pilot studies in the deployment context(s). Concurrently, it regularly reviews and assesses the effectiveness of its AI risk identification and tracking approaches by evaluating the timeliness and accuracy of risk detection, risk coverage, and adaptability to changing circumstances. All results, including any limitations, assumptions, strengths, weaknesses, or areas for improvement, are documented and used to refine and continuously enhance the risk approaches.</w:t>
            </w:r>
          </w:p>
          <w:p w14:paraId="471CB461" w14:textId="77777777" w:rsidR="00963E47" w:rsidRPr="00963E47" w:rsidRDefault="00963E47" w:rsidP="004C3837">
            <w:pPr>
              <w:keepNext/>
              <w:rPr>
                <w:rFonts w:ascii="Aptos" w:hAnsi="Aptos" w:cs="Times New Roman"/>
                <w:b/>
                <w:bCs/>
                <w:color w:val="000000"/>
                <w:sz w:val="20"/>
                <w:szCs w:val="20"/>
              </w:rPr>
            </w:pPr>
          </w:p>
          <w:p w14:paraId="3340C6A1" w14:textId="77777777" w:rsidR="00963E47" w:rsidRPr="00963E47" w:rsidRDefault="00963E47" w:rsidP="004C3837">
            <w:pPr>
              <w:keepNext/>
              <w:rPr>
                <w:rFonts w:ascii="Aptos" w:hAnsi="Aptos" w:cs="Times New Roman"/>
                <w:b/>
                <w:bCs/>
                <w:color w:val="000000"/>
                <w:sz w:val="20"/>
                <w:szCs w:val="20"/>
              </w:rPr>
            </w:pPr>
            <w:hyperlink r:id="rId193" w:anchor="measure-4-1" w:history="1">
              <w:r w:rsidRPr="00963E47">
                <w:rPr>
                  <w:rFonts w:ascii="Aptos" w:hAnsi="Aptos" w:cs="Times New Roman"/>
                  <w:color w:val="000000"/>
                  <w:sz w:val="20"/>
                  <w:szCs w:val="20"/>
                  <w:u w:val="single"/>
                </w:rPr>
                <w:t>Link to NIST AI RMF Playbook</w:t>
              </w:r>
            </w:hyperlink>
          </w:p>
        </w:tc>
      </w:tr>
    </w:tbl>
    <w:p w14:paraId="3CF0243C"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3AADDC6"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2D0AD5D0"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61877537" w14:textId="77777777" w:rsidTr="005C00A5">
        <w:trPr>
          <w:tblHeader/>
        </w:trPr>
        <w:tc>
          <w:tcPr>
            <w:tcW w:w="2160" w:type="dxa"/>
            <w:shd w:val="clear" w:color="auto" w:fill="CCDCDC"/>
            <w:vAlign w:val="center"/>
          </w:tcPr>
          <w:p w14:paraId="13B96116"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49CE3846"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0751A083"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0FE66778" w14:textId="77777777" w:rsidTr="005C00A5">
        <w:tc>
          <w:tcPr>
            <w:tcW w:w="2160" w:type="dxa"/>
            <w:shd w:val="clear" w:color="auto" w:fill="CCDCDC"/>
          </w:tcPr>
          <w:p w14:paraId="24A89E9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73D8D80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0E36D5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0EE63674" w14:textId="77777777" w:rsidTr="005C00A5">
        <w:tc>
          <w:tcPr>
            <w:tcW w:w="2160" w:type="dxa"/>
            <w:shd w:val="clear" w:color="auto" w:fill="CCDCDC"/>
          </w:tcPr>
          <w:p w14:paraId="151C174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71B69AF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565010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conduct basic validation of AI risk identification approaches through targeted testing and pilot studies in real-world scenarios. This initiates a feedback cycle, allowing them to assess the timeliness and accuracy of risk detection, identify initial weaknesses or gaps, and begin refining processes for future risk management plans.</w:t>
            </w:r>
          </w:p>
        </w:tc>
      </w:tr>
      <w:tr w:rsidR="00963E47" w:rsidRPr="00963E47" w14:paraId="5305E0BA" w14:textId="77777777" w:rsidTr="005C00A5">
        <w:tc>
          <w:tcPr>
            <w:tcW w:w="2160" w:type="dxa"/>
            <w:shd w:val="clear" w:color="auto" w:fill="CCDCDC"/>
          </w:tcPr>
          <w:p w14:paraId="30C3B4B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5EF9A42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A1A6E4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as AI systems become more widely deployed with broader impact and increased risks, organizations consistently validate the efficacy of risk management and regularly evaluate their AI risk identification and tracking approaches. This continuous refinement, through documenting validation efforts (including limitations) and regular assessment, enables more accurate and appropriate responses to new risks and ensures effective mitigation of potential harm.</w:t>
            </w:r>
          </w:p>
        </w:tc>
      </w:tr>
      <w:tr w:rsidR="00963E47" w:rsidRPr="00963E47" w14:paraId="4156CD37" w14:textId="77777777" w:rsidTr="005C00A5">
        <w:tc>
          <w:tcPr>
            <w:tcW w:w="2160" w:type="dxa"/>
            <w:shd w:val="clear" w:color="auto" w:fill="CCDCDC"/>
          </w:tcPr>
          <w:p w14:paraId="238B233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4: Embedded</w:t>
            </w:r>
          </w:p>
        </w:tc>
        <w:tc>
          <w:tcPr>
            <w:tcW w:w="1350" w:type="dxa"/>
          </w:tcPr>
          <w:p w14:paraId="2BD331E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02D34F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continuously validating and assessing the effectiveness of their AI risk identification and tracking approaches. This involves targeted testing, simulations, and real-time evaluation of timeliness, accuracy, coverage, and adaptability. Results, including limitations and areas for improvement, are dynamically documented with real-time updates based on data-driven insights. These processes are seamlessly integrated into the organization's risk management and continuous improvement frameworks, ensuring the highest level of proactive AI risk identification validation, assessment, and optimization.</w:t>
            </w:r>
          </w:p>
        </w:tc>
      </w:tr>
    </w:tbl>
    <w:p w14:paraId="3A0B81C2"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2A00EEFA" w14:textId="77777777" w:rsidTr="005C00A5">
        <w:tc>
          <w:tcPr>
            <w:tcW w:w="2250" w:type="dxa"/>
          </w:tcPr>
          <w:p w14:paraId="667DD3F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043927B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1FB626F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5793A6A2" w14:textId="77777777" w:rsidTr="005C00A5">
        <w:tc>
          <w:tcPr>
            <w:tcW w:w="2250" w:type="dxa"/>
          </w:tcPr>
          <w:p w14:paraId="00DCB73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2E6DEDB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Unvalidated or Unevaluated AI Risk Identification Efficacy</w:t>
            </w:r>
          </w:p>
        </w:tc>
        <w:tc>
          <w:tcPr>
            <w:tcW w:w="5300" w:type="dxa"/>
          </w:tcPr>
          <w:p w14:paraId="4A45171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risk identification efficacy is unvalidated in deployment contexts, and its effectiveness is not regularly assessed</w:t>
            </w:r>
          </w:p>
        </w:tc>
      </w:tr>
    </w:tbl>
    <w:p w14:paraId="566C6BC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86F330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7D05011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408752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Validate the efficacy of AI risk identification approaches through targeted testing, simulations, or pilot studies conducted in deployment context(s). Design these validation efforts to rigorously assess the effectiveness and usability of the risk identification approach in real-world settings and its ability to prioritize relevant risks. Ensure validations are conducted by independent validation functions or qualified internal/external experts. Document the results of these validation efforts comprehensively, noting any limitations, assumptions, or areas for improvement identified, and use this documentation to refine the risk identification approach.</w:t>
      </w:r>
    </w:p>
    <w:p w14:paraId="138314E4"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26C5196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Concurrently, establish a process for regularly assessing the effectiveness of AI risk identification and tracking approaches. Develop a set of key performance indicators (KPIs) and success criteria to evaluate the timeliness and accuracy of risk detection, the breadth of risk coverage, and the adaptability of the approaches to changing circumstances. Conduct periodic assessments using these KPIs and criteria, documenting the results, including identified strengths, weaknesses, and areas for improvement.</w:t>
      </w:r>
    </w:p>
    <w:p w14:paraId="726BCB65"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2C66D92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Use the combined findings from both validation efforts and regular assessments to inform updates and enhancements to AI risk identification and tracking processes, ensuring they remain effective, relevant, and aligned with the organization's evolving AI risk landscape. Share the results of validations and assessments with relevant stakeholders, including AI development teams, risk management personnel, and senior leadership, to ensure transparency and accountability, and provide training and support as needed to ensure that any changes are effectively implemented and adopted.</w:t>
      </w:r>
    </w:p>
    <w:p w14:paraId="00A48F26"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414553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5B15B92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B6C1B5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Validation Planning and Protocols</w:t>
      </w:r>
    </w:p>
    <w:p w14:paraId="2D6228E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formal plans, protocols, and criteria for targeted validation activities such as testing, simulations, and pilot deployments to assess the effectiveness of risk identification methods.</w:t>
      </w:r>
    </w:p>
    <w:p w14:paraId="29C824A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E31C78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Validation test plans with scope, objectives, and success criteria.</w:t>
      </w:r>
    </w:p>
    <w:p w14:paraId="56C0186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Simulation scenarios tailored to deployment environments.</w:t>
      </w:r>
    </w:p>
    <w:p w14:paraId="2274EE3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Protocols detailing pilot study design and measurement metrics.</w:t>
      </w:r>
    </w:p>
    <w:p w14:paraId="7AE3F37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 control of validation protocols.</w:t>
      </w:r>
    </w:p>
    <w:p w14:paraId="1601337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7203E7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Execution and Documentation of Validation Activities</w:t>
      </w:r>
    </w:p>
    <w:p w14:paraId="3B0913B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validation activities as planned, capturing data, observations, and results to evaluate risk identification effectiveness under real deployment conditions to ensure that the methods used are robust and applicable in practice.</w:t>
      </w:r>
    </w:p>
    <w:p w14:paraId="66469EC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E4570A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 execution logs, simulation results, and pilot study reports.</w:t>
      </w:r>
    </w:p>
    <w:p w14:paraId="08FFEAB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collected on the accuracy and timeliness of risk detection.</w:t>
      </w:r>
    </w:p>
    <w:p w14:paraId="5CDC813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Observation notes on limitations or unexpected challenges encountered.</w:t>
      </w:r>
    </w:p>
    <w:p w14:paraId="1255014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Outcome summaries comparing results against predefined benchmarks.</w:t>
      </w:r>
    </w:p>
    <w:p w14:paraId="621FD24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9D27F1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Recording of Findings, Limitations, and Assumptions</w:t>
      </w:r>
    </w:p>
    <w:p w14:paraId="1B62E0B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 validation results comprehensively, highlighting identified limitations, underlying assumptions, and areas for potential improvement to maintain transparency and facilitate informed decision-making and continuous enhancement.</w:t>
      </w:r>
    </w:p>
    <w:p w14:paraId="3B537F0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D3E2D3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Validation reports with detailed findings and justifications.</w:t>
      </w:r>
    </w:p>
    <w:p w14:paraId="2559EE8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Section dedicated to limitations or constraints impacting effectiveness.</w:t>
      </w:r>
    </w:p>
    <w:p w14:paraId="062160F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Assumptions and their justifications documented in reports.</w:t>
      </w:r>
    </w:p>
    <w:p w14:paraId="4991404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summaries from validation activities.</w:t>
      </w:r>
    </w:p>
    <w:p w14:paraId="645C33F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041955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Incorporation of Validation Outcomes into Improvement Plans</w:t>
      </w:r>
    </w:p>
    <w:p w14:paraId="2F0A2C6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validation findings to refine risk identification approaches, update procedures, and enhance detection mechanisms accordingly to align the organization’s practices with evolving risks and operational requirements.</w:t>
      </w:r>
    </w:p>
    <w:p w14:paraId="34572FE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FD6B19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plans for addressing identified gaps or limitations.</w:t>
      </w:r>
    </w:p>
    <w:p w14:paraId="3A68294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risk detection protocols incorporating insights.</w:t>
      </w:r>
    </w:p>
    <w:p w14:paraId="490360F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Revisions to modeling or measurement tools based on validation results.</w:t>
      </w:r>
    </w:p>
    <w:p w14:paraId="21AB4F4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with documented improvements implemented.</w:t>
      </w:r>
    </w:p>
    <w:p w14:paraId="440D1A1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5AE4F7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Monitoring and Revalidation</w:t>
      </w:r>
    </w:p>
    <w:p w14:paraId="4B2AD4F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Periodically re-validate and update risk identification approaches based on deployment feedback, new data, or technological advances to ensure ongoing efficacy and adaptability to changing environments and stakeholder expectations.</w:t>
      </w:r>
    </w:p>
    <w:p w14:paraId="453971B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7CCF6E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Reassessment schedules with documented outcomes.</w:t>
      </w:r>
    </w:p>
    <w:p w14:paraId="1D28482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Revalidation reports reflecting improvements or new challenges.</w:t>
      </w:r>
    </w:p>
    <w:p w14:paraId="2D64799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from ongoing deployment experiences.</w:t>
      </w:r>
    </w:p>
    <w:p w14:paraId="0298D6D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validation protocols incorporating best practices.</w:t>
      </w:r>
    </w:p>
    <w:p w14:paraId="3C76D929"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66" w:name="_Toc214874811"/>
      <w:r w:rsidRPr="00963E47">
        <w:rPr>
          <w:rFonts w:ascii="Aptos" w:eastAsia="Aptos" w:hAnsi="Aptos" w:cs="Times New Roman"/>
          <w:b/>
          <w:bCs/>
          <w:noProof/>
          <w:color w:val="35256B"/>
          <w:kern w:val="2"/>
          <w:sz w:val="24"/>
          <w14:ligatures w14:val="standardContextual"/>
        </w:rPr>
        <w:lastRenderedPageBreak/>
        <w:t>MEASURE / Gathering Feedback on AI Measurement / Gathering Feedback on Measurement Results</w:t>
      </w:r>
      <w:bookmarkEnd w:id="66"/>
      <w:r w:rsidRPr="00963E47">
        <w:rPr>
          <w:rFonts w:ascii="Aptos" w:eastAsia="Aptos" w:hAnsi="Aptos" w:cs="Times New Roman"/>
          <w:b/>
          <w:bCs/>
          <w:noProof/>
          <w:color w:val="35256B"/>
          <w:kern w:val="2"/>
          <w:sz w:val="24"/>
          <w14:ligatures w14:val="standardContextual"/>
        </w:rPr>
        <w:t xml:space="preserve"> </w:t>
      </w:r>
    </w:p>
    <w:p w14:paraId="3675D8AF"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6206736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2C875C9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18053C14" w14:textId="77777777" w:rsidTr="005C00A5">
        <w:tc>
          <w:tcPr>
            <w:tcW w:w="1170" w:type="dxa"/>
          </w:tcPr>
          <w:p w14:paraId="5FF6E81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1E3283C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12F6902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54D351E3" w14:textId="77777777" w:rsidTr="005C00A5">
        <w:tc>
          <w:tcPr>
            <w:tcW w:w="1170" w:type="dxa"/>
          </w:tcPr>
          <w:p w14:paraId="1BDE942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MS-4.2.1</w:t>
            </w:r>
          </w:p>
        </w:tc>
        <w:tc>
          <w:tcPr>
            <w:tcW w:w="2160" w:type="dxa"/>
          </w:tcPr>
          <w:p w14:paraId="44E72BB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Benefits and Performance Assessment</w:t>
            </w:r>
          </w:p>
        </w:tc>
        <w:tc>
          <w:tcPr>
            <w:tcW w:w="6740" w:type="dxa"/>
          </w:tcPr>
          <w:p w14:paraId="7384A2C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assesses and documents the AI system's anticipated capabilities and benefits, and alignment to organizational objectives and AI  Trustworthy Principles, against accepted benchmarks.</w:t>
            </w:r>
          </w:p>
          <w:p w14:paraId="4265BF4D" w14:textId="77777777" w:rsidR="00963E47" w:rsidRPr="00963E47" w:rsidRDefault="00963E47" w:rsidP="004C3837">
            <w:pPr>
              <w:keepNext/>
              <w:rPr>
                <w:rFonts w:ascii="Aptos" w:hAnsi="Aptos" w:cs="Times New Roman"/>
                <w:b/>
                <w:bCs/>
                <w:color w:val="000000"/>
                <w:sz w:val="20"/>
                <w:szCs w:val="20"/>
              </w:rPr>
            </w:pPr>
          </w:p>
          <w:p w14:paraId="5468D57F" w14:textId="77777777" w:rsidR="00963E47" w:rsidRPr="00963E47" w:rsidRDefault="00963E47" w:rsidP="004C3837">
            <w:pPr>
              <w:keepNext/>
              <w:rPr>
                <w:rFonts w:ascii="Aptos" w:hAnsi="Aptos" w:cs="Times New Roman"/>
                <w:b/>
                <w:bCs/>
                <w:color w:val="000000"/>
                <w:sz w:val="20"/>
                <w:szCs w:val="20"/>
              </w:rPr>
            </w:pPr>
            <w:hyperlink r:id="rId194" w:anchor="measure-4-2" w:history="1">
              <w:r w:rsidRPr="00963E47">
                <w:rPr>
                  <w:rFonts w:ascii="Aptos" w:hAnsi="Aptos" w:cs="Times New Roman"/>
                  <w:color w:val="000000"/>
                  <w:sz w:val="20"/>
                  <w:szCs w:val="20"/>
                  <w:u w:val="single"/>
                </w:rPr>
                <w:t>Link to NIST AI RMF Playbook</w:t>
              </w:r>
            </w:hyperlink>
          </w:p>
        </w:tc>
      </w:tr>
    </w:tbl>
    <w:p w14:paraId="49F948C2"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B690567"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070132D6"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646B8DD0" w14:textId="77777777" w:rsidTr="005C00A5">
        <w:trPr>
          <w:tblHeader/>
        </w:trPr>
        <w:tc>
          <w:tcPr>
            <w:tcW w:w="2160" w:type="dxa"/>
            <w:shd w:val="clear" w:color="auto" w:fill="CCDCDC"/>
            <w:vAlign w:val="center"/>
          </w:tcPr>
          <w:p w14:paraId="5407FD4E"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518D70B4"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3A297B4A"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64EC129E" w14:textId="77777777" w:rsidTr="005C00A5">
        <w:tc>
          <w:tcPr>
            <w:tcW w:w="2160" w:type="dxa"/>
            <w:shd w:val="clear" w:color="auto" w:fill="CCDCDC"/>
          </w:tcPr>
          <w:p w14:paraId="0D2C4CC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778AAE4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E4C01C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1AB59D76" w14:textId="77777777" w:rsidTr="005C00A5">
        <w:tc>
          <w:tcPr>
            <w:tcW w:w="2160" w:type="dxa"/>
            <w:shd w:val="clear" w:color="auto" w:fill="CCDCDC"/>
          </w:tcPr>
          <w:p w14:paraId="4F93188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591FF64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A383E2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17C2EFF4" w14:textId="77777777" w:rsidTr="005C00A5">
        <w:tc>
          <w:tcPr>
            <w:tcW w:w="2160" w:type="dxa"/>
            <w:shd w:val="clear" w:color="auto" w:fill="CCDCDC"/>
          </w:tcPr>
          <w:p w14:paraId="4466874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2C61106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2BF163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AI systems are deployed more widely and integrated into various organizational processes, so a more rigorous assessment of their capabilities and benefits is crucial. Comparing these assessments against accepted benchmarks allows the organization to determine the effectiveness of AI deployments, identify areas for improvement, and ensure that AI investments are aligned with strategic objectives.</w:t>
            </w:r>
          </w:p>
        </w:tc>
      </w:tr>
      <w:tr w:rsidR="00963E47" w:rsidRPr="00963E47" w14:paraId="334E17F1" w14:textId="77777777" w:rsidTr="005C00A5">
        <w:tc>
          <w:tcPr>
            <w:tcW w:w="2160" w:type="dxa"/>
            <w:shd w:val="clear" w:color="auto" w:fill="CCDCDC"/>
          </w:tcPr>
          <w:p w14:paraId="2C7C262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31D1719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AFEFD7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AI deeply integrated into critical business functions, therefore a comprehensive and ongoing assessment of AI system capabilities and benefits is essential. Continuously comparing performance against accepted benchmarks allows the organization to optimize AI systems for maximum value, ensure alignment with strategic goals, and proactively address any deviations from expected performance.</w:t>
            </w:r>
          </w:p>
        </w:tc>
      </w:tr>
    </w:tbl>
    <w:p w14:paraId="55F9595B"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67F50BA7" w14:textId="77777777" w:rsidTr="005C00A5">
        <w:tc>
          <w:tcPr>
            <w:tcW w:w="2250" w:type="dxa"/>
          </w:tcPr>
          <w:p w14:paraId="59E5EBF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649A893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178F1A6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77DF7083" w14:textId="77777777" w:rsidTr="005C00A5">
        <w:tc>
          <w:tcPr>
            <w:tcW w:w="2250" w:type="dxa"/>
          </w:tcPr>
          <w:p w14:paraId="3ECCF9E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589B226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Unassessed Capabilities and Benefits</w:t>
            </w:r>
          </w:p>
        </w:tc>
        <w:tc>
          <w:tcPr>
            <w:tcW w:w="5300" w:type="dxa"/>
          </w:tcPr>
          <w:p w14:paraId="52829D7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system's capabilities and benefits are unassessed against benchmarks</w:t>
            </w:r>
          </w:p>
        </w:tc>
      </w:tr>
    </w:tbl>
    <w:p w14:paraId="51EC37B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E22577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3683922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08BD00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Assess and document the AI system's performance and functionality against relevant metrics to demonstrate its potential benefits. Engage relevant stakeholders, such as data scientists, domain experts, and performance analysts, to identify appropriate benchmarks and metrics for evaluating the AI system. These may include industry standards, best practices, or internal targets set by the organization. </w:t>
      </w:r>
    </w:p>
    <w:p w14:paraId="3EB90DF6"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C5979C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 standardized framework for documenting the AI system's performance and functionality, including the specific methods, tools, and criteria used for assessment, as well as the results and any identified areas for improvement. Ensure that this documentation is clear, concise, and easily understandable for relevant stakeholders.</w:t>
      </w:r>
    </w:p>
    <w:p w14:paraId="6FA2625F"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43A4B97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Regularly review and update this documentation as needed to ensure accuracy and relevance. Use the insights gained from the performance and functionality assessments to demonstrate the AI system's potential benefits and inform ongoing improvements.</w:t>
      </w:r>
    </w:p>
    <w:p w14:paraId="216CEEAB"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B0CCC1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64FD9FF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0EF717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Establishment of Capability and Benefit Benchmarking Criteria</w:t>
      </w:r>
    </w:p>
    <w:p w14:paraId="2CE0EA2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formal benchmarks aligned with industry standards, organizational goals, and stakeholder needs to evaluate expected system capabilities and benefits.</w:t>
      </w:r>
    </w:p>
    <w:p w14:paraId="4B83A0D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3BDA38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Benchmarking standards specific to the AI domain and use case.</w:t>
      </w:r>
    </w:p>
    <w:p w14:paraId="6D36786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Performance and benefit criteria linked to business objectives.</w:t>
      </w:r>
    </w:p>
    <w:p w14:paraId="5DB71BB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reference benchmarks used for comparison.</w:t>
      </w:r>
    </w:p>
    <w:p w14:paraId="54AFB3D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benchmarking guidelines.</w:t>
      </w:r>
    </w:p>
    <w:p w14:paraId="73942AC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63B14E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of Benchmark Assessments and Documentation</w:t>
      </w:r>
    </w:p>
    <w:p w14:paraId="739DA35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Evaluate anticipated system capabilities and benefits against benchmarks during design and planning phases, documenting expected performance, advantages, and limitations to ensure alignment with organizational objectives and to provide a clear framework for assessment.</w:t>
      </w:r>
    </w:p>
    <w:p w14:paraId="018FBD5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25E59D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Assessment reports comparing system features against benchmarks.</w:t>
      </w:r>
    </w:p>
    <w:p w14:paraId="78A9544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Benefit realization plans with quantitative and qualitative metrics.</w:t>
      </w:r>
    </w:p>
    <w:p w14:paraId="13136F4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modeling or simulation outcomes demonstrating alignment.</w:t>
      </w:r>
    </w:p>
    <w:p w14:paraId="6BA1314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review sign-offs.</w:t>
      </w:r>
    </w:p>
    <w:p w14:paraId="21ECC1B2"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2CF8D0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Identification of Gaps and Improvement Opportunities</w:t>
      </w:r>
    </w:p>
    <w:p w14:paraId="3F62045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Analyze deviations from benchmarks to identify gaps, areas of over- or underperformance, and potential improvements prior to deployment to facilitate proactive adjustments and enhance system readiness.</w:t>
      </w:r>
    </w:p>
    <w:p w14:paraId="2E4D12F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DDD384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Gap analysis reports with recommended enhancements.</w:t>
      </w:r>
    </w:p>
    <w:p w14:paraId="0AC54F5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Adjusted system design or feature sets explaining deviation corrections.</w:t>
      </w:r>
    </w:p>
    <w:p w14:paraId="4E80A77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Impact assessments outlining benefits gaps.</w:t>
      </w:r>
    </w:p>
    <w:p w14:paraId="38A6A18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reflecting adjustments based on benchmarks.</w:t>
      </w:r>
    </w:p>
    <w:p w14:paraId="6B8EC10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E91253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Anticipated Performance and Benefits</w:t>
      </w:r>
    </w:p>
    <w:p w14:paraId="014D241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comprehensive documentation describing the system’s expected capabilities and benefits, linked to benchmarks and measurement criteria to provide transparency and facilitate communication with stakeholders regarding system performance expectations.</w:t>
      </w:r>
    </w:p>
    <w:p w14:paraId="076F5FC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6BA16B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Capability and benefit documentation with benchmark comparisons.</w:t>
      </w:r>
    </w:p>
    <w:p w14:paraId="3C05F2B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Model specifications referencing benchmark targets.</w:t>
      </w:r>
    </w:p>
    <w:p w14:paraId="4B3C0C5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Benefit impact analysis reports.</w:t>
      </w:r>
    </w:p>
    <w:p w14:paraId="59B1A37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 histories of expectations and benchmarks.</w:t>
      </w:r>
    </w:p>
    <w:p w14:paraId="0ED8175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304570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Periodic Re-evaluation and Benchmark Reassessment</w:t>
      </w:r>
    </w:p>
    <w:p w14:paraId="288B42A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revisit anticipated capabilities and benefits, updating assessments based on system development, new benchmarks, or evolving stakeholder expectations to ensure that the organization remains aligned with best practices and adequately addresses user needs.</w:t>
      </w:r>
    </w:p>
    <w:p w14:paraId="01896A8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FC8465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Re-evaluation schedules and review records.</w:t>
      </w:r>
    </w:p>
    <w:p w14:paraId="113F18C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assessment reports with revised benchmarks.</w:t>
      </w:r>
    </w:p>
    <w:p w14:paraId="3CA7415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feedback incorporating real-world performance data.</w:t>
      </w:r>
    </w:p>
    <w:p w14:paraId="7783303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integrated into future benchmarking routines.</w:t>
      </w:r>
    </w:p>
    <w:p w14:paraId="7EDC87C9"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6D522F04"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04E2962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03A8219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0AFB9BFA" w14:textId="77777777" w:rsidTr="005C00A5">
        <w:tc>
          <w:tcPr>
            <w:tcW w:w="1170" w:type="dxa"/>
          </w:tcPr>
          <w:p w14:paraId="641CED7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44CE47F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38AAC95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1E33878E" w14:textId="77777777" w:rsidTr="005C00A5">
        <w:tc>
          <w:tcPr>
            <w:tcW w:w="1170" w:type="dxa"/>
          </w:tcPr>
          <w:p w14:paraId="719B793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MS-4.2.2</w:t>
            </w:r>
          </w:p>
        </w:tc>
        <w:tc>
          <w:tcPr>
            <w:tcW w:w="2160" w:type="dxa"/>
          </w:tcPr>
          <w:p w14:paraId="74864A6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Performance Validation via Stakeholder Input</w:t>
            </w:r>
          </w:p>
        </w:tc>
        <w:tc>
          <w:tcPr>
            <w:tcW w:w="6740" w:type="dxa"/>
          </w:tcPr>
          <w:p w14:paraId="5EE17BB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actively seeks input from domain experts and relevant AI stakeholders, such as system developers, operators, users, and impacted communities, to validate whether the AI system is performing consistently as intended in its specific deployment context(s), and documents the outcomes of these consultations, including any discrepancies or concerns raised.</w:t>
            </w:r>
          </w:p>
          <w:p w14:paraId="0B5489D5" w14:textId="77777777" w:rsidR="00963E47" w:rsidRPr="00963E47" w:rsidRDefault="00963E47" w:rsidP="004C3837">
            <w:pPr>
              <w:keepNext/>
              <w:rPr>
                <w:rFonts w:ascii="Aptos" w:hAnsi="Aptos" w:cs="Times New Roman"/>
                <w:b/>
                <w:bCs/>
                <w:color w:val="000000"/>
                <w:sz w:val="20"/>
                <w:szCs w:val="20"/>
              </w:rPr>
            </w:pPr>
          </w:p>
          <w:p w14:paraId="45385C23" w14:textId="77777777" w:rsidR="00963E47" w:rsidRPr="00963E47" w:rsidRDefault="00963E47" w:rsidP="004C3837">
            <w:pPr>
              <w:keepNext/>
              <w:rPr>
                <w:rFonts w:ascii="Aptos" w:hAnsi="Aptos" w:cs="Times New Roman"/>
                <w:b/>
                <w:bCs/>
                <w:color w:val="000000"/>
                <w:sz w:val="20"/>
                <w:szCs w:val="20"/>
              </w:rPr>
            </w:pPr>
            <w:hyperlink r:id="rId195" w:anchor="measure-4-2" w:history="1">
              <w:r w:rsidRPr="00963E47">
                <w:rPr>
                  <w:rFonts w:ascii="Aptos" w:hAnsi="Aptos" w:cs="Times New Roman"/>
                  <w:color w:val="000000"/>
                  <w:sz w:val="20"/>
                  <w:szCs w:val="20"/>
                  <w:u w:val="single"/>
                </w:rPr>
                <w:t>Link to NIST AI RMF Playbook</w:t>
              </w:r>
            </w:hyperlink>
          </w:p>
        </w:tc>
      </w:tr>
    </w:tbl>
    <w:p w14:paraId="39E40816"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C1701FD"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19B44A7D"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7984E3FA" w14:textId="77777777" w:rsidTr="005C00A5">
        <w:trPr>
          <w:tblHeader/>
        </w:trPr>
        <w:tc>
          <w:tcPr>
            <w:tcW w:w="2160" w:type="dxa"/>
            <w:shd w:val="clear" w:color="auto" w:fill="CCDCDC"/>
            <w:vAlign w:val="center"/>
          </w:tcPr>
          <w:p w14:paraId="349A4F63"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1EE468BA"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3B92604B"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271EA454" w14:textId="77777777" w:rsidTr="005C00A5">
        <w:tc>
          <w:tcPr>
            <w:tcW w:w="2160" w:type="dxa"/>
            <w:shd w:val="clear" w:color="auto" w:fill="CCDCDC"/>
          </w:tcPr>
          <w:p w14:paraId="7A2AD9A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58EC511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CF03B4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21557648" w14:textId="77777777" w:rsidTr="005C00A5">
        <w:tc>
          <w:tcPr>
            <w:tcW w:w="2160" w:type="dxa"/>
            <w:shd w:val="clear" w:color="auto" w:fill="CCDCDC"/>
          </w:tcPr>
          <w:p w14:paraId="5D92F17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6946895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20EEAE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minimal stage begin to seek input from domain experts and relevant AI stakeholders to validate whether the AI system is performing consistently as intended in its specific deployment context(s). Documenting the outcomes of these consultations, including any discrepancies or concerns raised, helps build a foundation for responsible AI development and encourages a user-centered approach from the outset.</w:t>
            </w:r>
          </w:p>
        </w:tc>
      </w:tr>
      <w:tr w:rsidR="00963E47" w:rsidRPr="00963E47" w14:paraId="42696540" w14:textId="77777777" w:rsidTr="005C00A5">
        <w:tc>
          <w:tcPr>
            <w:tcW w:w="2160" w:type="dxa"/>
            <w:shd w:val="clear" w:color="auto" w:fill="CCDCDC"/>
          </w:tcPr>
          <w:p w14:paraId="66A7790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41D9F4D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1923E3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AI systems are deployed in more contexts and begin to impact a wider range of stakeholders. It is important for organizations to actively seek input from domain experts and relevant AI stakeholders to validate whether the AI system is performing consistently as intended in its specific deployment context(s). Documenting the outcomes of these consultations, including any discrepancies or concerns raised, provides valuable insights for continuous improvement and ensures that the AI system is meeting the needs of its users and stakeholders.</w:t>
            </w:r>
          </w:p>
        </w:tc>
      </w:tr>
      <w:tr w:rsidR="00963E47" w:rsidRPr="00963E47" w14:paraId="1DF2798E" w14:textId="77777777" w:rsidTr="005C00A5">
        <w:tc>
          <w:tcPr>
            <w:tcW w:w="2160" w:type="dxa"/>
            <w:shd w:val="clear" w:color="auto" w:fill="CCDCDC"/>
          </w:tcPr>
          <w:p w14:paraId="605E149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1449354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78ED79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AI systems are deeply integrated into critical business functions, and the organization actively solicits and incorporates feedback from domain experts, system developers, operators, users, and impacted communities to ensure that the AI system is consistently performing as intended in all deployment contexts. Meticulously documenting the outcomes of these consultations, including any discrepancies or concerns raised, is essential for maintaining alignment with organizational objectives, identifying potential unintended consequences, and fostering a culture of continuous improvement.</w:t>
            </w:r>
          </w:p>
        </w:tc>
      </w:tr>
    </w:tbl>
    <w:p w14:paraId="7A2DF60D"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543BDD0F" w14:textId="77777777" w:rsidTr="005C00A5">
        <w:tc>
          <w:tcPr>
            <w:tcW w:w="2250" w:type="dxa"/>
          </w:tcPr>
          <w:p w14:paraId="50455D2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lastRenderedPageBreak/>
              <w:t>AI Principle</w:t>
            </w:r>
          </w:p>
        </w:tc>
        <w:tc>
          <w:tcPr>
            <w:tcW w:w="2520" w:type="dxa"/>
          </w:tcPr>
          <w:p w14:paraId="1012F0D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41AE3BE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003D8EA0" w14:textId="77777777" w:rsidTr="005C00A5">
        <w:tc>
          <w:tcPr>
            <w:tcW w:w="2250" w:type="dxa"/>
          </w:tcPr>
          <w:p w14:paraId="179C7CB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Valid &amp; Reliable</w:t>
            </w:r>
          </w:p>
        </w:tc>
        <w:tc>
          <w:tcPr>
            <w:tcW w:w="2520" w:type="dxa"/>
          </w:tcPr>
          <w:p w14:paraId="696A34E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Lack of Stakeholder Validation Input</w:t>
            </w:r>
          </w:p>
        </w:tc>
        <w:tc>
          <w:tcPr>
            <w:tcW w:w="5300" w:type="dxa"/>
          </w:tcPr>
          <w:p w14:paraId="2A7C5E6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Stakeholder input lacking to validate AI system performance in context</w:t>
            </w:r>
          </w:p>
        </w:tc>
      </w:tr>
    </w:tbl>
    <w:p w14:paraId="54954C5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E9F8D7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4A03C66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DDE6CA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a process for actively seeking input from domain experts and relevant AI stakeholders, such as system developers, operators, users, and impacted communities, to validate whether the AI system is performing consistently as intended in its specific deployment context(s). Develop a standardized approach for conducting these consultations, including clear objectives, discussion topics, and feedback mechanisms.</w:t>
      </w:r>
    </w:p>
    <w:p w14:paraId="28FB0E59"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4262315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Document the outcomes of these consultations, including any discrepancies or concerns raised regarding the AI system's performance or trustworthiness. Ensure that the documentation captures multidisciplinary perspectives and experiences, and that it is easily accessible to relevant stakeholders for review and analysis. Use the insights gathered from these consultations to inform ongoing monitoring and improvement efforts for the AI system.</w:t>
      </w:r>
    </w:p>
    <w:p w14:paraId="4C0BBB9C"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92923D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3A4FE21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5A16C3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Structured Stakeholder Engagement and Validation Processes</w:t>
      </w:r>
    </w:p>
    <w:p w14:paraId="3CC0537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formal procedures for involving cross-functional stakeholders in performance validation activities, ensuring systematic collection and documentation of their input.</w:t>
      </w:r>
    </w:p>
    <w:p w14:paraId="394FCB6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53A5AC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Engagement plans outlining stakeholder roles, methods, and schedules.</w:t>
      </w:r>
    </w:p>
    <w:p w14:paraId="6ABA290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Consultation agendas, feedback forms, and interview summaries.</w:t>
      </w:r>
    </w:p>
    <w:p w14:paraId="02C531D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stakeholder meetings, workshops, or surveys.</w:t>
      </w:r>
    </w:p>
    <w:p w14:paraId="6214AF7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Versions of engagement protocols.</w:t>
      </w:r>
    </w:p>
    <w:p w14:paraId="4E9D075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93020B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Validation Outcomes and Feedback</w:t>
      </w:r>
    </w:p>
    <w:p w14:paraId="4663496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Record the findings from stakeholder consultations, including assessments of system performance, identified discrepancies, and concerns about operational alignment to create a comprehensive record that informs future improvements and decision-making.</w:t>
      </w:r>
    </w:p>
    <w:p w14:paraId="6A04785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889A61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Validation reports with stakeholder input and observed issues.</w:t>
      </w:r>
    </w:p>
    <w:p w14:paraId="63B52C7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logs highlighting discrepancies between intended and actual performance.</w:t>
      </w:r>
    </w:p>
    <w:p w14:paraId="3878FF2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documenting concerns and actions.</w:t>
      </w:r>
    </w:p>
    <w:p w14:paraId="14E1F83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sign-offs confirming review comprehension.</w:t>
      </w:r>
    </w:p>
    <w:p w14:paraId="3BFBA5B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011AB4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Analysis and Resolution of Discrepancies or Concerns</w:t>
      </w:r>
    </w:p>
    <w:p w14:paraId="00E5CE4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Analyze stakeholder feedback to identify root causes, systemic issues, or areas needing adjustment, and document plans or actions taken to ensure that identified concerns are addressed systematically and effectively.</w:t>
      </w:r>
    </w:p>
    <w:p w14:paraId="0B26D50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BC65A1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Root cause analysis reports linked to stakeholder feedback.</w:t>
      </w:r>
    </w:p>
    <w:p w14:paraId="337AD15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Issue tracking logs and corrective action plans.</w:t>
      </w:r>
    </w:p>
    <w:p w14:paraId="09BE335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Follow-up review and validation records showing response effectiveness.</w:t>
      </w:r>
    </w:p>
    <w:p w14:paraId="60C4CC6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Changes to the system, models, or deployment approach documented and implemented.</w:t>
      </w:r>
    </w:p>
    <w:p w14:paraId="78E1600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92EE97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of Outcomes into System Improvements</w:t>
      </w:r>
    </w:p>
    <w:p w14:paraId="17BFD8D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Incorporate validated feedback and identified issues into ongoing system updates, deployment adjustments, and stakeholder communication plans to enhance the effectiveness of the AI system and reinforce trust among users and stakeholders.</w:t>
      </w:r>
    </w:p>
    <w:p w14:paraId="35EEA31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1EF4AF2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Revised system documentation and specifications reflecting stakeholder input.</w:t>
      </w:r>
    </w:p>
    <w:p w14:paraId="2BEF812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management records documenting improvements made.</w:t>
      </w:r>
    </w:p>
    <w:p w14:paraId="1E3A417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deployment or operational procedures.</w:t>
      </w:r>
    </w:p>
    <w:p w14:paraId="3BEDF74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loop records demonstrating continuous engagement.</w:t>
      </w:r>
    </w:p>
    <w:p w14:paraId="3333329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E2954C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Ongoing Stakeholder Engagement and Communication</w:t>
      </w:r>
    </w:p>
    <w:p w14:paraId="22A6226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open channels for ongoing feedback, ensuring transparency about system performance and responsiveness to stakeholder concerns—periodically reviewing and refining consultation processes to promote continuous engagement and ensure that stakeholder input remains relevant and valued.</w:t>
      </w:r>
    </w:p>
    <w:p w14:paraId="5A8351B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AE1BF9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Continuous feedback collection logs.</w:t>
      </w:r>
    </w:p>
    <w:p w14:paraId="417F672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Regular stakeholder communication reports or newsletters.</w:t>
      </w:r>
    </w:p>
    <w:p w14:paraId="4FA5540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Improvement action logs for engagement processes.</w:t>
      </w:r>
    </w:p>
    <w:p w14:paraId="1494887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Evaluation and review schedules for stakeholder participation.</w:t>
      </w:r>
    </w:p>
    <w:p w14:paraId="21446931"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58845178"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67364C2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29151D2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5DC0F39A" w14:textId="77777777" w:rsidTr="005C00A5">
        <w:tc>
          <w:tcPr>
            <w:tcW w:w="1170" w:type="dxa"/>
          </w:tcPr>
          <w:p w14:paraId="2A0D6ED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6060FA2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0368924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20CB85A4" w14:textId="77777777" w:rsidTr="005C00A5">
        <w:tc>
          <w:tcPr>
            <w:tcW w:w="1170" w:type="dxa"/>
          </w:tcPr>
          <w:p w14:paraId="4E4E492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MS-4.2.3</w:t>
            </w:r>
          </w:p>
        </w:tc>
        <w:tc>
          <w:tcPr>
            <w:tcW w:w="2160" w:type="dxa"/>
          </w:tcPr>
          <w:p w14:paraId="2C59B18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Analysis of Performance and Trustworthiness Trends</w:t>
            </w:r>
          </w:p>
        </w:tc>
        <w:tc>
          <w:tcPr>
            <w:tcW w:w="6740" w:type="dxa"/>
          </w:tcPr>
          <w:p w14:paraId="07FBE5F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regularly analyzes the measurement results to identify patterns, trends, or anomalies indicating issues with AI system trustworthiness while engaging in dialogue with domain experts and relevant AI stakeholders to interpret these results and their implications. Findings are documented alongside insights, recommendations, and areas of consensus or disagreement</w:t>
            </w:r>
          </w:p>
          <w:p w14:paraId="65B182AD" w14:textId="77777777" w:rsidR="00963E47" w:rsidRPr="00963E47" w:rsidRDefault="00963E47" w:rsidP="004C3837">
            <w:pPr>
              <w:keepNext/>
              <w:rPr>
                <w:rFonts w:ascii="Aptos" w:hAnsi="Aptos" w:cs="Times New Roman"/>
                <w:b/>
                <w:bCs/>
                <w:color w:val="000000"/>
                <w:sz w:val="20"/>
                <w:szCs w:val="20"/>
              </w:rPr>
            </w:pPr>
          </w:p>
          <w:p w14:paraId="65EF1A29" w14:textId="77777777" w:rsidR="00963E47" w:rsidRPr="00963E47" w:rsidRDefault="00963E47" w:rsidP="004C3837">
            <w:pPr>
              <w:keepNext/>
              <w:rPr>
                <w:rFonts w:ascii="Aptos" w:hAnsi="Aptos" w:cs="Times New Roman"/>
                <w:b/>
                <w:bCs/>
                <w:color w:val="000000"/>
                <w:sz w:val="20"/>
                <w:szCs w:val="20"/>
              </w:rPr>
            </w:pPr>
            <w:hyperlink r:id="rId196" w:anchor="measure-4-2" w:history="1">
              <w:r w:rsidRPr="00963E47">
                <w:rPr>
                  <w:rFonts w:ascii="Aptos" w:hAnsi="Aptos" w:cs="Times New Roman"/>
                  <w:color w:val="000000"/>
                  <w:sz w:val="20"/>
                  <w:szCs w:val="20"/>
                  <w:u w:val="single"/>
                </w:rPr>
                <w:t>Link to NIST AI RMF Playbook</w:t>
              </w:r>
            </w:hyperlink>
          </w:p>
        </w:tc>
      </w:tr>
    </w:tbl>
    <w:p w14:paraId="3AD2A9E3"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ECC43FB"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3D58B7D8"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1A7FE660" w14:textId="77777777" w:rsidTr="005C00A5">
        <w:trPr>
          <w:tblHeader/>
        </w:trPr>
        <w:tc>
          <w:tcPr>
            <w:tcW w:w="2160" w:type="dxa"/>
            <w:shd w:val="clear" w:color="auto" w:fill="CCDCDC"/>
            <w:vAlign w:val="center"/>
          </w:tcPr>
          <w:p w14:paraId="0F91B423"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63B84DF2"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309335B3"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1F65B20B" w14:textId="77777777" w:rsidTr="005C00A5">
        <w:tc>
          <w:tcPr>
            <w:tcW w:w="2160" w:type="dxa"/>
            <w:shd w:val="clear" w:color="auto" w:fill="CCDCDC"/>
          </w:tcPr>
          <w:p w14:paraId="37B5BC4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5203D91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8ACFCA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1C633977" w14:textId="77777777" w:rsidTr="005C00A5">
        <w:tc>
          <w:tcPr>
            <w:tcW w:w="2160" w:type="dxa"/>
            <w:shd w:val="clear" w:color="auto" w:fill="CCDCDC"/>
          </w:tcPr>
          <w:p w14:paraId="1B6C10F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1BD3735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9FD103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minimal stage begin analyzing measurement results to identify patterns indicating potential AI system trustworthiness issues. This initial analysis, even if basic, helps them develop a foundational understanding of AI system performance and potential problems, informing future decisions about AI deployments.</w:t>
            </w:r>
          </w:p>
        </w:tc>
      </w:tr>
      <w:tr w:rsidR="00963E47" w:rsidRPr="00963E47" w14:paraId="5364637D" w14:textId="77777777" w:rsidTr="005C00A5">
        <w:tc>
          <w:tcPr>
            <w:tcW w:w="2160" w:type="dxa"/>
            <w:shd w:val="clear" w:color="auto" w:fill="CCDCDC"/>
          </w:tcPr>
          <w:p w14:paraId="25A041E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100D133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0A5CAD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regularly analyze measurement results to identify patterns, trends, or anomalies indicating issues with AI system trustworthiness, which will help the organization recognize when their AI might have issues. In addition to analyzing results internally, organizations engage in dialogue with domain experts and relevant AI stakeholders to interpret these results and their implications, so the organization can get a wide variety of opinions on these issues.</w:t>
            </w:r>
          </w:p>
        </w:tc>
      </w:tr>
      <w:tr w:rsidR="00963E47" w:rsidRPr="00963E47" w14:paraId="260DEBF3" w14:textId="77777777" w:rsidTr="005C00A5">
        <w:tc>
          <w:tcPr>
            <w:tcW w:w="2160" w:type="dxa"/>
            <w:shd w:val="clear" w:color="auto" w:fill="CCDCDC"/>
          </w:tcPr>
          <w:p w14:paraId="4D499F2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1C6AA45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22F279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embedded stage, organizations use constant monitoring and review the measurement results to identify the patterns, trends, or anomalies indicating the issues with the AI system trustworthiness, allowing the AI to be fixed quickly and efficiently. These constant </w:t>
            </w:r>
            <w:r w:rsidRPr="00963E47">
              <w:rPr>
                <w:rFonts w:ascii="Aptos" w:hAnsi="Aptos" w:cs="Times New Roman"/>
                <w:noProof/>
                <w:color w:val="auto"/>
                <w:sz w:val="20"/>
                <w:szCs w:val="20"/>
              </w:rPr>
              <w:lastRenderedPageBreak/>
              <w:t>changes are used to ensure that new technology is properly being used, so that the company can continue to grow in technology and still be trustworthy.</w:t>
            </w:r>
          </w:p>
        </w:tc>
      </w:tr>
    </w:tbl>
    <w:p w14:paraId="7F218FEE"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71E101A8" w14:textId="77777777" w:rsidTr="005C00A5">
        <w:tc>
          <w:tcPr>
            <w:tcW w:w="2250" w:type="dxa"/>
          </w:tcPr>
          <w:p w14:paraId="459BA8A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7FA2E19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26B4670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1E53E0E1" w14:textId="77777777" w:rsidTr="005C00A5">
        <w:tc>
          <w:tcPr>
            <w:tcW w:w="2250" w:type="dxa"/>
          </w:tcPr>
          <w:p w14:paraId="600977E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6648B14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Inadequate Trend Analysis</w:t>
            </w:r>
          </w:p>
        </w:tc>
        <w:tc>
          <w:tcPr>
            <w:tcW w:w="5300" w:type="dxa"/>
          </w:tcPr>
          <w:p w14:paraId="0DC6CA8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Patterns, trends, or anomalies indicating issues with AI system trustworthiness are not effectively identified or interpreted</w:t>
            </w:r>
          </w:p>
        </w:tc>
      </w:tr>
    </w:tbl>
    <w:p w14:paraId="12E6D0B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BE0A53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342EE81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68A0A7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 process for regularly analyzing the measurement results to identify patterns, trends, or anomalies that may indicate issues with AI system trustworthiness. Establish clear criteria and thresholds for determining when a pattern or trend warrants further investigation or action, and assign responsibility for conducting these analyses to a designated team or individual.</w:t>
      </w:r>
    </w:p>
    <w:p w14:paraId="78C0C189"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15CD8F1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Engage in dialogue with domain experts and relevant AI stakeholders to interpret the measurement results and their implications for the AI system's performance and trustworthiness. Document the findings from these analyses and discussions, including any insights, recommendations, or areas of consensus or disagreement. Use this documentation to inform decision-making and prioritize actions for addressing identified issues or concerns.</w:t>
      </w:r>
    </w:p>
    <w:p w14:paraId="09F75BF8"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190012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3C89EB2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20ED58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Establishment of Data Analysis and Interpretation Processes</w:t>
      </w:r>
    </w:p>
    <w:p w14:paraId="5E21F21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formal procedures for analyzing measurement data, identifying systemic issues or anomalies, and capturing expert and stakeholder insights on their implications.</w:t>
      </w:r>
    </w:p>
    <w:p w14:paraId="5750F44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7B75FA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Analytical protocols and checklists for pattern, trend, and anomaly detection.</w:t>
      </w:r>
    </w:p>
    <w:p w14:paraId="30DD045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Dashboards visualizing key trustworthiness metrics over time.</w:t>
      </w:r>
    </w:p>
    <w:p w14:paraId="29FCA82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agendas and summaries from analysis sessions with experts and other stakeholders.</w:t>
      </w:r>
    </w:p>
    <w:p w14:paraId="5CCB56C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analysis procedures.</w:t>
      </w:r>
    </w:p>
    <w:p w14:paraId="7FCDDB9F"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76F6B3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Findings, Insights, and Disagreements</w:t>
      </w:r>
    </w:p>
    <w:p w14:paraId="2870A14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Record the outcomes of analysis sessions, including identified issues, interpretations, recommendations, and areas of consensus or disagreement to create an accountable record of discussions that can inform future decision-making and improvements.</w:t>
      </w:r>
    </w:p>
    <w:p w14:paraId="03E6FBA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F51029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Analytical reports with annotated findings and expert commentary.</w:t>
      </w:r>
    </w:p>
    <w:p w14:paraId="71DE562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detailing points of agreement and contention.</w:t>
      </w:r>
    </w:p>
    <w:p w14:paraId="799B8EB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logs capturing stakeholder and expert input.</w:t>
      </w:r>
    </w:p>
    <w:p w14:paraId="5FC0365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plans based on insights and consensus points.</w:t>
      </w:r>
    </w:p>
    <w:p w14:paraId="6BF1724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8BB1E3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Engagement and Dialogue with Experts and Other Stakeholders</w:t>
      </w:r>
    </w:p>
    <w:p w14:paraId="2D82CB7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Facilitate ongoing dialogue with domain experts and relevant stakeholders to interpret measurement results, contextualize issues, and agree on corrective or improvement actions to ensure that multidisciplinary perspectives are considered and the most effective strategies are implemented.</w:t>
      </w:r>
    </w:p>
    <w:p w14:paraId="0DC489D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7E9EA3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Structured review sessions, workshops, or interviews.</w:t>
      </w:r>
    </w:p>
    <w:p w14:paraId="73CBB87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Expert feedback forms and stakeholder commentary records.</w:t>
      </w:r>
    </w:p>
    <w:p w14:paraId="696FAD2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collaborative interpretation activities.</w:t>
      </w:r>
    </w:p>
    <w:p w14:paraId="7C53875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Follow-up communication logs.</w:t>
      </w:r>
    </w:p>
    <w:p w14:paraId="2B7CE9D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2234B5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of Insights into Trustworthiness Management</w:t>
      </w:r>
    </w:p>
    <w:p w14:paraId="4F0E6D4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Incorporate findings, insights, and consensus/disagreement points into system improvements, risk mitigation, and trustworthiness strategies to enhance the overall reliability and accountability of the AI system.</w:t>
      </w:r>
    </w:p>
    <w:p w14:paraId="7783E00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936BAE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risk assessments and mitigation plans.</w:t>
      </w:r>
    </w:p>
    <w:p w14:paraId="63ACC65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System design and process changes reflecting insights.</w:t>
      </w:r>
    </w:p>
    <w:p w14:paraId="76411D8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lessons learned and best practices.</w:t>
      </w:r>
    </w:p>
    <w:p w14:paraId="3B172A9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Policy and documentation revisions based on interpretive insights.</w:t>
      </w:r>
    </w:p>
    <w:p w14:paraId="02CA05F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B540BD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Review and Feedback Loop</w:t>
      </w:r>
    </w:p>
    <w:p w14:paraId="0257A7B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Schedule periodic reviews of analysis results, update interpretive approaches, and refine collaboration practices based on lessons learned, emerging challenges, or evolving standards to ensure that the organization remains adaptive and responsive to the dynamics of AI system performance and trustworthiness.</w:t>
      </w:r>
    </w:p>
    <w:p w14:paraId="77C9786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71C393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and meeting minutes.</w:t>
      </w:r>
    </w:p>
    <w:p w14:paraId="60CB0BC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interpretation protocols.</w:t>
      </w:r>
    </w:p>
    <w:p w14:paraId="6890B31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logs from experts and stakeholders.</w:t>
      </w:r>
    </w:p>
    <w:p w14:paraId="1233E16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demonstrating iteration and improvements in analysis and engagement processes.</w:t>
      </w:r>
    </w:p>
    <w:p w14:paraId="6B5B4160"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26E7DD9D"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282D8C8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7673FAB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0052AFF3" w14:textId="77777777" w:rsidTr="005C00A5">
        <w:tc>
          <w:tcPr>
            <w:tcW w:w="1170" w:type="dxa"/>
          </w:tcPr>
          <w:p w14:paraId="5A67289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428DBD9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52AE35C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1670D94B" w14:textId="77777777" w:rsidTr="005C00A5">
        <w:tc>
          <w:tcPr>
            <w:tcW w:w="1170" w:type="dxa"/>
          </w:tcPr>
          <w:p w14:paraId="7F34B2C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MS-4.2.4</w:t>
            </w:r>
          </w:p>
        </w:tc>
        <w:tc>
          <w:tcPr>
            <w:tcW w:w="2160" w:type="dxa"/>
          </w:tcPr>
          <w:p w14:paraId="23BB4A4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Continuous Improvement of AI Trustworthiness</w:t>
            </w:r>
          </w:p>
        </w:tc>
        <w:tc>
          <w:tcPr>
            <w:tcW w:w="6740" w:type="dxa"/>
          </w:tcPr>
          <w:p w14:paraId="631E0AE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regularly reviews and updates its risk controls and performance metrics across trustworthy characteristics based on assessment results, stakeholder feedback, and evolving risk landscapes, ensuring continuous improvement and alignment with best practices and regulatory requirements to maintain AI system trustworthiness.</w:t>
            </w:r>
          </w:p>
          <w:p w14:paraId="1295B3E3" w14:textId="77777777" w:rsidR="00963E47" w:rsidRPr="00963E47" w:rsidRDefault="00963E47" w:rsidP="004C3837">
            <w:pPr>
              <w:keepNext/>
              <w:rPr>
                <w:rFonts w:ascii="Aptos" w:hAnsi="Aptos" w:cs="Times New Roman"/>
                <w:b/>
                <w:bCs/>
                <w:color w:val="000000"/>
                <w:sz w:val="20"/>
                <w:szCs w:val="20"/>
              </w:rPr>
            </w:pPr>
          </w:p>
          <w:p w14:paraId="1422CF21" w14:textId="77777777" w:rsidR="00963E47" w:rsidRPr="00963E47" w:rsidRDefault="00963E47" w:rsidP="004C3837">
            <w:pPr>
              <w:keepNext/>
              <w:rPr>
                <w:rFonts w:ascii="Aptos" w:hAnsi="Aptos" w:cs="Times New Roman"/>
                <w:b/>
                <w:bCs/>
                <w:color w:val="000000"/>
                <w:sz w:val="20"/>
                <w:szCs w:val="20"/>
              </w:rPr>
            </w:pPr>
            <w:hyperlink r:id="rId197" w:anchor="measure-4-2" w:history="1">
              <w:r w:rsidRPr="00963E47">
                <w:rPr>
                  <w:rFonts w:ascii="Aptos" w:hAnsi="Aptos" w:cs="Times New Roman"/>
                  <w:color w:val="000000"/>
                  <w:sz w:val="20"/>
                  <w:szCs w:val="20"/>
                  <w:u w:val="single"/>
                </w:rPr>
                <w:t>Link to NIST AI RMF Playbook</w:t>
              </w:r>
            </w:hyperlink>
          </w:p>
        </w:tc>
      </w:tr>
    </w:tbl>
    <w:p w14:paraId="024CBD7C"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50DEA1B"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11DAE029"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7CAF44A4" w14:textId="77777777" w:rsidTr="005C00A5">
        <w:trPr>
          <w:tblHeader/>
        </w:trPr>
        <w:tc>
          <w:tcPr>
            <w:tcW w:w="2160" w:type="dxa"/>
            <w:shd w:val="clear" w:color="auto" w:fill="CCDCDC"/>
            <w:vAlign w:val="center"/>
          </w:tcPr>
          <w:p w14:paraId="14D640EA"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7A851770"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5EE119FF"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6193AA74" w14:textId="77777777" w:rsidTr="005C00A5">
        <w:tc>
          <w:tcPr>
            <w:tcW w:w="2160" w:type="dxa"/>
            <w:shd w:val="clear" w:color="auto" w:fill="CCDCDC"/>
          </w:tcPr>
          <w:p w14:paraId="6AE9553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14761E5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2765B2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42BF7543" w14:textId="77777777" w:rsidTr="005C00A5">
        <w:tc>
          <w:tcPr>
            <w:tcW w:w="2160" w:type="dxa"/>
            <w:shd w:val="clear" w:color="auto" w:fill="CCDCDC"/>
          </w:tcPr>
          <w:p w14:paraId="78FF025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6A09105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8C5439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minimal stage begin reviewing their risk controls and performance metrics to have a base level knowledge of the data they are taking in. This is an easy process to begin, so the organizations can be ready for more complicated analysis in the future.</w:t>
            </w:r>
          </w:p>
        </w:tc>
      </w:tr>
      <w:tr w:rsidR="00963E47" w:rsidRPr="00963E47" w14:paraId="2FE145F1" w14:textId="77777777" w:rsidTr="005C00A5">
        <w:tc>
          <w:tcPr>
            <w:tcW w:w="2160" w:type="dxa"/>
            <w:shd w:val="clear" w:color="auto" w:fill="CCDCDC"/>
          </w:tcPr>
          <w:p w14:paraId="4602712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66BC52B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1BD227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regularly review and update their risk controls and performance metrics across trustworthy characteristics based on assessment results, ensuring the controls are still functioning properly. This process helps the organization to make sure the controls used are relevant to best practices.</w:t>
            </w:r>
          </w:p>
        </w:tc>
      </w:tr>
      <w:tr w:rsidR="00963E47" w:rsidRPr="00963E47" w14:paraId="342D7F9E" w14:textId="77777777" w:rsidTr="005C00A5">
        <w:tc>
          <w:tcPr>
            <w:tcW w:w="2160" w:type="dxa"/>
            <w:shd w:val="clear" w:color="auto" w:fill="CCDCDC"/>
          </w:tcPr>
          <w:p w14:paraId="7045064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230F39A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A22629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continuously review the risk controls, metrics, and data to be in line with regulatory standards. By keeping up to date with everything, the organizations are consistently aware of the changes needed to remain trustworthy.</w:t>
            </w:r>
          </w:p>
        </w:tc>
      </w:tr>
    </w:tbl>
    <w:p w14:paraId="5085A9CA"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1B4DC94A" w14:textId="77777777" w:rsidTr="005C00A5">
        <w:tc>
          <w:tcPr>
            <w:tcW w:w="2250" w:type="dxa"/>
          </w:tcPr>
          <w:p w14:paraId="32CF789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5C52C46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6E46559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5D123A34" w14:textId="77777777" w:rsidTr="005C00A5">
        <w:tc>
          <w:tcPr>
            <w:tcW w:w="2250" w:type="dxa"/>
          </w:tcPr>
          <w:p w14:paraId="122FCA1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4E69972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Unreviewed Risk Controls</w:t>
            </w:r>
          </w:p>
        </w:tc>
        <w:tc>
          <w:tcPr>
            <w:tcW w:w="5300" w:type="dxa"/>
          </w:tcPr>
          <w:p w14:paraId="43D853C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Risk controls and metrics are not reviewed or updated for continuous improvement</w:t>
            </w:r>
          </w:p>
        </w:tc>
      </w:tr>
    </w:tbl>
    <w:p w14:paraId="1F4FB8F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07831B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2E187D6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C904B5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a comprehensive process for regularly reviewing and updating the organization's AI risk controls and performance metrics, ensuring they reflect assessment results, risk response strategies, stakeholder feedback, and emerging best practices. Define clear criteria for evaluating the relevance, effectiveness, and alignment of controls and metrics with organizational goals, values, and regulatory requirements, considering factors such as their ability to capture key risks, practicality, and feasibility within the AI system's operational context.</w:t>
      </w:r>
    </w:p>
    <w:p w14:paraId="46A6F770"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E6F4B6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 standardized approach for incorporating measurement results and stakeholder inputs into the organization's AI governance, risk management, and continuous improvement processes. This approach should facilitate iterative refinements to the AI system, policies, procedures, and controls, promoting consistent and trustworthy performance throughout the AI system’s lifecycle and deployment environments.</w:t>
      </w:r>
    </w:p>
    <w:p w14:paraId="5EAC3503"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F7A8D5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Document how these ongoing activities support sustained system reliability and trustworthiness, providing concrete examples of how measurement insights and stakeholder feedback have driven system enhancements or risk mitigation actions.</w:t>
      </w:r>
    </w:p>
    <w:p w14:paraId="6B8CB62A"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035639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6B3B6FB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23914E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Schedule and Process for Periodic Review and Updates</w:t>
      </w:r>
    </w:p>
    <w:p w14:paraId="42E474F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formal, recurring process and schedule for reviewing and revising risk controls and metrics to reflect new insights, changing standards, and evolving risks.</w:t>
      </w:r>
    </w:p>
    <w:p w14:paraId="5168937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3EDB3E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Documented review schedules with assigned responsibilities.</w:t>
      </w:r>
    </w:p>
    <w:p w14:paraId="411BEBA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agendas and meeting minutes from periodic evaluations.</w:t>
      </w:r>
    </w:p>
    <w:p w14:paraId="672B4E3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control and metric documentation with revision logs.</w:t>
      </w:r>
    </w:p>
    <w:p w14:paraId="0365505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plans for implementing improvements.</w:t>
      </w:r>
    </w:p>
    <w:p w14:paraId="60C77C02"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FED3C3B"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Incorporation of Assessment Outcomes and Stakeholder Feedback</w:t>
      </w:r>
    </w:p>
    <w:p w14:paraId="2B2C85A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insights from system assessments and stakeholder inputs to identify gaps and inform updates to controls and metrics to ensure that the organization continuously addresses vulnerabilities and enhances AI system trustworthiness.</w:t>
      </w:r>
    </w:p>
    <w:p w14:paraId="6610A99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847EA9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Assessment reports highlighting gaps or new risks.</w:t>
      </w:r>
    </w:p>
    <w:p w14:paraId="69FF74A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forms, stakeholder interviews, or survey results.</w:t>
      </w:r>
    </w:p>
    <w:p w14:paraId="082BF82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Traceability matrices linking feedback to control updates.</w:t>
      </w:r>
    </w:p>
    <w:p w14:paraId="19DC9C5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risk registers with revised controls.</w:t>
      </w:r>
    </w:p>
    <w:p w14:paraId="3F663562"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F1AB58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Alignment with Industry Best Practices and Regulations</w:t>
      </w:r>
    </w:p>
    <w:p w14:paraId="4EB326C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Ensure ongoing modifications align with emerging best practices, standards, and regulatory requirements pertinent to trustworthiness to maintain compliance and uphold the integrity of AI systems in a changing regulatory landscape.</w:t>
      </w:r>
    </w:p>
    <w:p w14:paraId="49E4851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ED30F3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Benchmarking analyses comparing controls to industry standards.</w:t>
      </w:r>
    </w:p>
    <w:p w14:paraId="61FC540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Regulatory change logs influencing control updates.</w:t>
      </w:r>
    </w:p>
    <w:p w14:paraId="282F70B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Comparative evaluation reports.</w:t>
      </w:r>
    </w:p>
    <w:p w14:paraId="3F04323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Revised policies reflecting current best practices.</w:t>
      </w:r>
    </w:p>
    <w:p w14:paraId="1F063222"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BBDFBE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and Communication of Changes</w:t>
      </w:r>
    </w:p>
    <w:p w14:paraId="52756D3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 all updates made to controls and metrics, including rationale, impact analysis, and stakeholder approval, and communicate changes effectively to foster transparency and ensure that all relevant parties are informed of the adjustments and their implications.</w:t>
      </w:r>
    </w:p>
    <w:p w14:paraId="7DEB957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1D2092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control and metrics documentation with revision history.</w:t>
      </w:r>
    </w:p>
    <w:p w14:paraId="01B671B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approval records from governance bodies.</w:t>
      </w:r>
    </w:p>
    <w:p w14:paraId="4F36459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Communication materials or training updates informing relevant teams.</w:t>
      </w:r>
    </w:p>
    <w:p w14:paraId="7017805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Implementation logs confirming updates have been applied.</w:t>
      </w:r>
    </w:p>
    <w:p w14:paraId="50A3E1C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A19441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Monitoring and Improvement</w:t>
      </w:r>
    </w:p>
    <w:p w14:paraId="76570EE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Track the effectiveness of implemented controls and metrics over time, using feedback and new assessment data to drive continuous refinement to ensure that the AI system remains reliable and trustworthy as it evolves.</w:t>
      </w:r>
    </w:p>
    <w:p w14:paraId="04E3DC9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492152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dashboards showing evolving trustworthiness performance.</w:t>
      </w:r>
    </w:p>
    <w:p w14:paraId="6343190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reports from incidents or audits.</w:t>
      </w:r>
    </w:p>
    <w:p w14:paraId="20248F9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logs from stakeholders on control effectiveness.</w:t>
      </w:r>
    </w:p>
    <w:p w14:paraId="35A5707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Periodic review reports demonstrating iterative improvements.</w:t>
      </w:r>
    </w:p>
    <w:p w14:paraId="26D8728D"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67" w:name="_Toc214874812"/>
      <w:r w:rsidRPr="00963E47">
        <w:rPr>
          <w:rFonts w:ascii="Aptos" w:eastAsia="Aptos" w:hAnsi="Aptos" w:cs="Times New Roman"/>
          <w:b/>
          <w:bCs/>
          <w:noProof/>
          <w:color w:val="35256B"/>
          <w:kern w:val="2"/>
          <w:sz w:val="24"/>
          <w14:ligatures w14:val="standardContextual"/>
        </w:rPr>
        <w:t>MEASURE / Gathering Feedback on AI Measurement / Gathering Feedback on Real-World Performance</w:t>
      </w:r>
      <w:bookmarkEnd w:id="67"/>
      <w:r w:rsidRPr="00963E47">
        <w:rPr>
          <w:rFonts w:ascii="Aptos" w:eastAsia="Aptos" w:hAnsi="Aptos" w:cs="Times New Roman"/>
          <w:b/>
          <w:bCs/>
          <w:noProof/>
          <w:color w:val="35256B"/>
          <w:kern w:val="2"/>
          <w:sz w:val="24"/>
          <w14:ligatures w14:val="standardContextual"/>
        </w:rPr>
        <w:t xml:space="preserve"> </w:t>
      </w:r>
    </w:p>
    <w:p w14:paraId="58AF6596"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5BD9079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30049BA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75F227F6" w14:textId="77777777" w:rsidTr="005C00A5">
        <w:tc>
          <w:tcPr>
            <w:tcW w:w="1170" w:type="dxa"/>
          </w:tcPr>
          <w:p w14:paraId="3BD4E65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7195245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01A0192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3DCFEE22" w14:textId="77777777" w:rsidTr="005C00A5">
        <w:tc>
          <w:tcPr>
            <w:tcW w:w="1170" w:type="dxa"/>
          </w:tcPr>
          <w:p w14:paraId="65F4020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MS-4.3.1</w:t>
            </w:r>
          </w:p>
        </w:tc>
        <w:tc>
          <w:tcPr>
            <w:tcW w:w="2160" w:type="dxa"/>
          </w:tcPr>
          <w:p w14:paraId="5CFF918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Stakeholder Feedback on Performance</w:t>
            </w:r>
          </w:p>
        </w:tc>
        <w:tc>
          <w:tcPr>
            <w:tcW w:w="6740" w:type="dxa"/>
          </w:tcPr>
          <w:p w14:paraId="537DC11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engages in regular consultations with relevant AI stakeholders (e.g., system developers, operators, users, and impacted communities), to gather insights on observed performance changes. Outcomes of these consultations are documented, including areas of agreement, disagreement, or concern.</w:t>
            </w:r>
          </w:p>
          <w:p w14:paraId="1A65E7FA" w14:textId="77777777" w:rsidR="00963E47" w:rsidRPr="00963E47" w:rsidRDefault="00963E47" w:rsidP="004C3837">
            <w:pPr>
              <w:keepNext/>
              <w:rPr>
                <w:rFonts w:ascii="Aptos" w:hAnsi="Aptos" w:cs="Times New Roman"/>
                <w:b/>
                <w:bCs/>
                <w:color w:val="000000"/>
                <w:sz w:val="20"/>
                <w:szCs w:val="20"/>
              </w:rPr>
            </w:pPr>
          </w:p>
          <w:p w14:paraId="52811A04" w14:textId="77777777" w:rsidR="00963E47" w:rsidRPr="00963E47" w:rsidRDefault="00963E47" w:rsidP="004C3837">
            <w:pPr>
              <w:keepNext/>
              <w:rPr>
                <w:rFonts w:ascii="Aptos" w:hAnsi="Aptos" w:cs="Times New Roman"/>
                <w:b/>
                <w:bCs/>
                <w:color w:val="000000"/>
                <w:sz w:val="20"/>
                <w:szCs w:val="20"/>
              </w:rPr>
            </w:pPr>
            <w:hyperlink r:id="rId198" w:anchor="measure-4-3" w:history="1">
              <w:r w:rsidRPr="00963E47">
                <w:rPr>
                  <w:rFonts w:ascii="Aptos" w:hAnsi="Aptos" w:cs="Times New Roman"/>
                  <w:color w:val="000000"/>
                  <w:sz w:val="20"/>
                  <w:szCs w:val="20"/>
                  <w:u w:val="single"/>
                </w:rPr>
                <w:t>Link to NIST AI RMF Playbook</w:t>
              </w:r>
            </w:hyperlink>
          </w:p>
        </w:tc>
      </w:tr>
    </w:tbl>
    <w:p w14:paraId="6CEF70A8"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8C1C2DC"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7C5D4610"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38A781C9" w14:textId="77777777" w:rsidTr="005C00A5">
        <w:trPr>
          <w:tblHeader/>
        </w:trPr>
        <w:tc>
          <w:tcPr>
            <w:tcW w:w="2160" w:type="dxa"/>
            <w:shd w:val="clear" w:color="auto" w:fill="CCDCDC"/>
            <w:vAlign w:val="center"/>
          </w:tcPr>
          <w:p w14:paraId="2155D358"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74999070"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4246FEBD"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1845E87A" w14:textId="77777777" w:rsidTr="005C00A5">
        <w:tc>
          <w:tcPr>
            <w:tcW w:w="2160" w:type="dxa"/>
            <w:shd w:val="clear" w:color="auto" w:fill="CCDCDC"/>
          </w:tcPr>
          <w:p w14:paraId="0D2ACFC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3E72551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336617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107CE5AF" w14:textId="77777777" w:rsidTr="005C00A5">
        <w:tc>
          <w:tcPr>
            <w:tcW w:w="2160" w:type="dxa"/>
            <w:shd w:val="clear" w:color="auto" w:fill="CCDCDC"/>
          </w:tcPr>
          <w:p w14:paraId="4CF4466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523E564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C7FDE3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minimal stage establish channels for gathering feedback from relevant stakeholders. This early engagement allows the organization to identify potential usability issues, unintended consequences, or areas where the AI system is not meeting user needs, providing valuable insights for future development efforts and a more user-centered approach to AI design.</w:t>
            </w:r>
          </w:p>
        </w:tc>
      </w:tr>
      <w:tr w:rsidR="00963E47" w:rsidRPr="00963E47" w14:paraId="600A5572" w14:textId="77777777" w:rsidTr="005C00A5">
        <w:tc>
          <w:tcPr>
            <w:tcW w:w="2160" w:type="dxa"/>
            <w:shd w:val="clear" w:color="auto" w:fill="CCDCDC"/>
          </w:tcPr>
          <w:p w14:paraId="22842E2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43EBAE9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395AC9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evolving stage, organizations' AI systems are deployed more widely and begin to impact a larger user base, engaging in regular consultations with AI stakeholders becomes essential for understanding observed performance changes. Gathering different perspectives from system developers, operators, users, and impacted </w:t>
            </w:r>
            <w:r w:rsidRPr="00963E47">
              <w:rPr>
                <w:rFonts w:ascii="Aptos" w:hAnsi="Aptos" w:cs="Times New Roman"/>
                <w:noProof/>
                <w:color w:val="auto"/>
                <w:sz w:val="20"/>
                <w:szCs w:val="20"/>
              </w:rPr>
              <w:lastRenderedPageBreak/>
              <w:t>communities allows the organization to identify the root causes of performance issues, address potential biases, and ensure that the AI system is aligned with the needs and expectations of its stakeholders.</w:t>
            </w:r>
          </w:p>
        </w:tc>
      </w:tr>
      <w:tr w:rsidR="00963E47" w:rsidRPr="00963E47" w14:paraId="19B6E1F1" w14:textId="77777777" w:rsidTr="005C00A5">
        <w:tc>
          <w:tcPr>
            <w:tcW w:w="2160" w:type="dxa"/>
            <w:shd w:val="clear" w:color="auto" w:fill="CCDCDC"/>
          </w:tcPr>
          <w:p w14:paraId="077CF2A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4: Embedded</w:t>
            </w:r>
          </w:p>
        </w:tc>
        <w:tc>
          <w:tcPr>
            <w:tcW w:w="1350" w:type="dxa"/>
          </w:tcPr>
          <w:p w14:paraId="5F7583E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A52E8B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AI systems deeply integrated into critical business functions and proactively engage in ongoing consultations with a wide range of stakeholders to ensure that the systems are consistently delivering value and operating in a trustworthy manner. Documenting the outcomes of these consultations, including areas of agreement, disagreement, or concern, is crucial for maintaining transparency, fostering accountability, and promoting a culture of continuous improvement.</w:t>
            </w:r>
          </w:p>
        </w:tc>
      </w:tr>
    </w:tbl>
    <w:p w14:paraId="1806A123"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67699A94" w14:textId="77777777" w:rsidTr="005C00A5">
        <w:tc>
          <w:tcPr>
            <w:tcW w:w="2250" w:type="dxa"/>
          </w:tcPr>
          <w:p w14:paraId="5160733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7C31B57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1A0C5D7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1698BCA5" w14:textId="77777777" w:rsidTr="005C00A5">
        <w:tc>
          <w:tcPr>
            <w:tcW w:w="2250" w:type="dxa"/>
          </w:tcPr>
          <w:p w14:paraId="595C1A7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3D71683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Infrequent Actor Consultations</w:t>
            </w:r>
          </w:p>
        </w:tc>
        <w:tc>
          <w:tcPr>
            <w:tcW w:w="5300" w:type="dxa"/>
          </w:tcPr>
          <w:p w14:paraId="42B78C9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Consultations with AI stakeholders are infrequent or outcomes are undocumented</w:t>
            </w:r>
          </w:p>
        </w:tc>
      </w:tr>
    </w:tbl>
    <w:p w14:paraId="7C89C63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C86996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62B8DC4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8E6E53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a process for conducting regular consultations with relevant AI stakeholders, such as system developers, operators, users, and impacted communities, to gather insights on observed performance changes in the AI system. Develop a standardized approach for these consultations, including clear objectives, discussion topics, and feedback mechanisms.</w:t>
      </w:r>
    </w:p>
    <w:p w14:paraId="7CF5020A"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E5C324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Document the outcomes of these consultations, including areas of agreement, disagreement, or concern regarding the AI system's performance and trustworthiness. Ensure that the documentation captures multidisciplinary perspectives and experiences, and that it is easily accessible to relevant stakeholders for review and analysis. Use the insights gathered from these consultations to inform ongoing monitoring, root cause analysis, and improvement efforts for the AI system.</w:t>
      </w:r>
    </w:p>
    <w:p w14:paraId="120145A1"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5D8ECA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7DFCBC1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3C8488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Context-Driven Performance Metrics</w:t>
      </w:r>
    </w:p>
    <w:p w14:paraId="1593F15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Create tailored metrics that reflect the specific risks, trustworthiness factors, and performance goals relevant to the AI system’s deployment context.</w:t>
      </w:r>
    </w:p>
    <w:p w14:paraId="679D445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7543D0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Metrics frameworks aligned with system risks and stakeholder priorities.</w:t>
      </w:r>
    </w:p>
    <w:p w14:paraId="15B6644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consultation findings informing metric selection.</w:t>
      </w:r>
    </w:p>
    <w:p w14:paraId="1131C1C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defined formulas, thresholds, and interpretation criteria for each metric.</w:t>
      </w:r>
    </w:p>
    <w:p w14:paraId="3CE2A0F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metric development documents.</w:t>
      </w:r>
    </w:p>
    <w:p w14:paraId="5D450E3F"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D4078C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Engagement with Stakeholders for Metric Validation</w:t>
      </w:r>
    </w:p>
    <w:p w14:paraId="6D6647B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Consult relevant AI Stakeholders and affected communities to validate that selected metrics accurately reflect performance, trustworthiness, and context-specific concerns to ensure that the metrics are meaningful and aligned with user expectations and real-world conditions.</w:t>
      </w:r>
    </w:p>
    <w:p w14:paraId="07DA97D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7FF007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and feedback summaries from stakeholder consultations.</w:t>
      </w:r>
    </w:p>
    <w:p w14:paraId="3CC1E9B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Validation reports confirming stakeholder consensus on metrics relevance.</w:t>
      </w:r>
    </w:p>
    <w:p w14:paraId="7630D1F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Revisions to metrics based on stakeholder input.</w:t>
      </w:r>
    </w:p>
    <w:p w14:paraId="49F32C6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Surveys testing stakeholder understanding of metrics.</w:t>
      </w:r>
    </w:p>
    <w:p w14:paraId="10FB05B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917345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Measurement and Data Collection Processes</w:t>
      </w:r>
    </w:p>
    <w:p w14:paraId="5A3EE46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data collection procedures and tools to monitor these metrics continuously or periodically, capturing real-world performance and trustworthiness signals to provide timely insights that support informed decision-making and enhance system reliability.</w:t>
      </w:r>
    </w:p>
    <w:p w14:paraId="39CD79F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ACBFEA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pipelines and dashboards tracking the established metrics.</w:t>
      </w:r>
    </w:p>
    <w:p w14:paraId="1EF5EA7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quality reports ensuring accurate measurement inputs.</w:t>
      </w:r>
    </w:p>
    <w:p w14:paraId="5B2FE8B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Automated alerting for significant metric deviations.</w:t>
      </w:r>
    </w:p>
    <w:p w14:paraId="57FF6B0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Logs of measurement and monitoring activities.</w:t>
      </w:r>
    </w:p>
    <w:p w14:paraId="7CB9CE5F"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F2F02C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Metrics and Interpretation Guidelines</w:t>
      </w:r>
    </w:p>
    <w:p w14:paraId="498983D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Record detailed descriptions of each metric, including calculation methods, rationale, interpretation thresholds, and context justification to ensure clarity and understanding for stakeholders regarding how metrics are derived and applied.</w:t>
      </w:r>
    </w:p>
    <w:p w14:paraId="3B93FEA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79D89A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Metrics definitions with formulas and thresholds.</w:t>
      </w:r>
    </w:p>
    <w:p w14:paraId="31B60FC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Rationale documents explaining why metrics were chosen.</w:t>
      </w:r>
    </w:p>
    <w:p w14:paraId="3089004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Interpretation guides for different stakeholder groups.</w:t>
      </w:r>
    </w:p>
    <w:p w14:paraId="12DD086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 histories of metric documentation.</w:t>
      </w:r>
    </w:p>
    <w:p w14:paraId="44981203"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8F7D89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of Metrics for Continuous Improvement</w:t>
      </w:r>
    </w:p>
    <w:p w14:paraId="773C774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review performance metrics to identify trends, evaluate system improvements or declines, and inform iterations in system design, risk mitigation, or trustworthiness strategies to facilitate continuous improvement and maintain alignment with organizational objectives.</w:t>
      </w:r>
    </w:p>
    <w:p w14:paraId="65B91D5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9A742C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Trend analysis reports and dashboards.</w:t>
      </w:r>
    </w:p>
    <w:p w14:paraId="70B9EAF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discussing metric findings and action items.</w:t>
      </w:r>
    </w:p>
    <w:p w14:paraId="2778E12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System updates or retraining activities driven by metric insights.</w:t>
      </w:r>
    </w:p>
    <w:p w14:paraId="6363392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documentation from performance shifts.</w:t>
      </w:r>
    </w:p>
    <w:p w14:paraId="7094D479"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18A82C75"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06BE39C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4ABB66C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5DC26221" w14:textId="77777777" w:rsidTr="005C00A5">
        <w:tc>
          <w:tcPr>
            <w:tcW w:w="1170" w:type="dxa"/>
          </w:tcPr>
          <w:p w14:paraId="1261BD5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4AA8F05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4E1A307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56EC7B3E" w14:textId="77777777" w:rsidTr="005C00A5">
        <w:tc>
          <w:tcPr>
            <w:tcW w:w="1170" w:type="dxa"/>
          </w:tcPr>
          <w:p w14:paraId="053B737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MS-4.3.2</w:t>
            </w:r>
          </w:p>
        </w:tc>
        <w:tc>
          <w:tcPr>
            <w:tcW w:w="2160" w:type="dxa"/>
          </w:tcPr>
          <w:p w14:paraId="54C9702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Root Cause Analysis and Action Plans</w:t>
            </w:r>
          </w:p>
        </w:tc>
        <w:tc>
          <w:tcPr>
            <w:tcW w:w="6740" w:type="dxa"/>
          </w:tcPr>
          <w:p w14:paraId="4EE04C6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conducts root cause analyses to investigate the factors contributing to identified performance changes, integrating with existing incident and problem management processes where appropriate, documenting findings along with recommended actions for sustaining improvements, mitigating declines, or addressing related risks and trustworthiness issues.</w:t>
            </w:r>
          </w:p>
          <w:p w14:paraId="0DE0DDA6" w14:textId="77777777" w:rsidR="00963E47" w:rsidRPr="00963E47" w:rsidRDefault="00963E47" w:rsidP="004C3837">
            <w:pPr>
              <w:keepNext/>
              <w:rPr>
                <w:rFonts w:ascii="Aptos" w:hAnsi="Aptos" w:cs="Times New Roman"/>
                <w:b/>
                <w:bCs/>
                <w:color w:val="000000"/>
                <w:sz w:val="20"/>
                <w:szCs w:val="20"/>
              </w:rPr>
            </w:pPr>
          </w:p>
          <w:p w14:paraId="06A3D9F0" w14:textId="77777777" w:rsidR="00963E47" w:rsidRPr="00963E47" w:rsidRDefault="00963E47" w:rsidP="004C3837">
            <w:pPr>
              <w:keepNext/>
              <w:rPr>
                <w:rFonts w:ascii="Aptos" w:hAnsi="Aptos" w:cs="Times New Roman"/>
                <w:b/>
                <w:bCs/>
                <w:color w:val="000000"/>
                <w:sz w:val="20"/>
                <w:szCs w:val="20"/>
              </w:rPr>
            </w:pPr>
            <w:hyperlink r:id="rId199" w:anchor="measure-4-3" w:history="1">
              <w:r w:rsidRPr="00963E47">
                <w:rPr>
                  <w:rFonts w:ascii="Aptos" w:hAnsi="Aptos" w:cs="Times New Roman"/>
                  <w:color w:val="000000"/>
                  <w:sz w:val="20"/>
                  <w:szCs w:val="20"/>
                  <w:u w:val="single"/>
                </w:rPr>
                <w:t>Link to NIST AI RMF Playbook</w:t>
              </w:r>
            </w:hyperlink>
          </w:p>
        </w:tc>
      </w:tr>
    </w:tbl>
    <w:p w14:paraId="4940D60F"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760E3CD"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3B100DF5"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392221C2" w14:textId="77777777" w:rsidTr="005C00A5">
        <w:trPr>
          <w:tblHeader/>
        </w:trPr>
        <w:tc>
          <w:tcPr>
            <w:tcW w:w="2160" w:type="dxa"/>
            <w:shd w:val="clear" w:color="auto" w:fill="CCDCDC"/>
            <w:vAlign w:val="center"/>
          </w:tcPr>
          <w:p w14:paraId="71F44BB7"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440991E8"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3E2F56CF"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36B20A1C" w14:textId="77777777" w:rsidTr="005C00A5">
        <w:tc>
          <w:tcPr>
            <w:tcW w:w="2160" w:type="dxa"/>
            <w:shd w:val="clear" w:color="auto" w:fill="CCDCDC"/>
          </w:tcPr>
          <w:p w14:paraId="6D75F22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60D7CAD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518D599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25604F9" w14:textId="77777777" w:rsidTr="005C00A5">
        <w:tc>
          <w:tcPr>
            <w:tcW w:w="2160" w:type="dxa"/>
            <w:shd w:val="clear" w:color="auto" w:fill="CCDCDC"/>
          </w:tcPr>
          <w:p w14:paraId="673AA65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500D47F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88E336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Organizations at the minimal stage begin to investigate the reasons behind any noticeable performance changes, even if just qualitatively. For example, if a basic AI-powered customer service chatbot suddenly </w:t>
            </w:r>
            <w:r w:rsidRPr="00963E47">
              <w:rPr>
                <w:rFonts w:ascii="Aptos" w:hAnsi="Aptos" w:cs="Times New Roman"/>
                <w:noProof/>
                <w:color w:val="auto"/>
                <w:sz w:val="20"/>
                <w:szCs w:val="20"/>
              </w:rPr>
              <w:lastRenderedPageBreak/>
              <w:t>starts providing less helpful answers, a simple root cause analysis might reveal that a recent software update inadvertently changed the chatbot's settings, prompting the organization to revert to the previous configuration.</w:t>
            </w:r>
          </w:p>
        </w:tc>
      </w:tr>
      <w:tr w:rsidR="00963E47" w:rsidRPr="00963E47" w14:paraId="6FFAE462" w14:textId="77777777" w:rsidTr="005C00A5">
        <w:tc>
          <w:tcPr>
            <w:tcW w:w="2160" w:type="dxa"/>
            <w:shd w:val="clear" w:color="auto" w:fill="CCDCDC"/>
          </w:tcPr>
          <w:p w14:paraId="6909C48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3: Evolving</w:t>
            </w:r>
          </w:p>
        </w:tc>
        <w:tc>
          <w:tcPr>
            <w:tcW w:w="1350" w:type="dxa"/>
          </w:tcPr>
          <w:p w14:paraId="36C4996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F3DC6A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the organization now has more data to investigate why there are performance changes. By documenting findings and actions, the organization then implements the findings into changes.</w:t>
            </w:r>
          </w:p>
        </w:tc>
      </w:tr>
      <w:tr w:rsidR="00963E47" w:rsidRPr="00963E47" w14:paraId="226FB05C" w14:textId="77777777" w:rsidTr="005C00A5">
        <w:tc>
          <w:tcPr>
            <w:tcW w:w="2160" w:type="dxa"/>
            <w:shd w:val="clear" w:color="auto" w:fill="CCDCDC"/>
          </w:tcPr>
          <w:p w14:paraId="07187D2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5185732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7A00F1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continuously conducting root cause analyses to investigate the factors contributing to identified performance changes, documenting findings along with recommended actions for sustaining improvements, mitigating declines, or addressing related risks and trustworthiness issues, with real-time updates based on data-driven insights. These processes are seamlessly integrated into the organization's risk management and continuous improvement frameworks, ensuring the highest level of proactive root cause analysis and documentation.</w:t>
            </w:r>
          </w:p>
        </w:tc>
      </w:tr>
    </w:tbl>
    <w:p w14:paraId="31CD8C72"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761CEED1" w14:textId="77777777" w:rsidTr="005C00A5">
        <w:tc>
          <w:tcPr>
            <w:tcW w:w="2250" w:type="dxa"/>
          </w:tcPr>
          <w:p w14:paraId="3591AEC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30EAFF6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4255F17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4920A3D9" w14:textId="77777777" w:rsidTr="005C00A5">
        <w:tc>
          <w:tcPr>
            <w:tcW w:w="2250" w:type="dxa"/>
          </w:tcPr>
          <w:p w14:paraId="4F02B58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35FB8BC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Uninvestigated Contributing Factors</w:t>
            </w:r>
          </w:p>
        </w:tc>
        <w:tc>
          <w:tcPr>
            <w:tcW w:w="5300" w:type="dxa"/>
          </w:tcPr>
          <w:p w14:paraId="0E2F56C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Investigation of contributing factors is not conducted and corresponding action plan is missing</w:t>
            </w:r>
          </w:p>
        </w:tc>
      </w:tr>
    </w:tbl>
    <w:p w14:paraId="043AA55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8E57E2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7724801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E52025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 process for conducting root cause analyses to investigate the factors contributing to identified performance changes in the AI system. Establish a standardized methodology for these analyses, including data collection and analysis techniques, stakeholder engagement protocols, and documentation requirements.</w:t>
      </w:r>
    </w:p>
    <w:p w14:paraId="3B308851"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4FEA548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Document the findings from each root cause analysis, including the identified contributing factors, their potential impact on the AI system's performance and trustworthiness, and recommended actions for sustaining improvements, mitigating declines, or addressing related risks and issues. Ensure that the documentation is clear, concise, and actionable, and that it is shared with relevant stakeholders for review and feedback.</w:t>
      </w:r>
    </w:p>
    <w:p w14:paraId="6BBAB036"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40705A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4C7078D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1D97BB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Establishment of Root Cause Analysis Procedures</w:t>
      </w:r>
    </w:p>
    <w:p w14:paraId="5F6D107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and formalize a process and standard templates for conducting RCA investigations when performance anomalies or issues are identified.</w:t>
      </w:r>
    </w:p>
    <w:p w14:paraId="761DD3B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150D51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RCA process manuals outlining steps, responsible roles, and tools.</w:t>
      </w:r>
    </w:p>
    <w:p w14:paraId="450B047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Standardized RCA templates capturing causes, evidence, and contributing factors.</w:t>
      </w:r>
    </w:p>
    <w:p w14:paraId="52B6CC2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Checklists ensuring comprehensive investigations.</w:t>
      </w:r>
    </w:p>
    <w:p w14:paraId="49C2D13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RCA procedures.</w:t>
      </w:r>
    </w:p>
    <w:p w14:paraId="51E18ED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5318FB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Data Collection and Documentation of Contributing Factors</w:t>
      </w:r>
    </w:p>
    <w:p w14:paraId="69644A5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Collect and document relevant data, observations, and evidence that identify underlying causes of performance deviation to ensure a thorough understanding of the factors contributing to issues and enable effective resolution.</w:t>
      </w:r>
    </w:p>
    <w:p w14:paraId="4785793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668761D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logs, system logs, and anomaly reports.</w:t>
      </w:r>
    </w:p>
    <w:p w14:paraId="72C10D1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Timeline and process maps linking issues to causes.</w:t>
      </w:r>
    </w:p>
    <w:p w14:paraId="731FBD4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comments or expert reviews highlighting factors.</w:t>
      </w:r>
    </w:p>
    <w:p w14:paraId="23AC9D1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Supporting data analyses, such as statistical or diagnostic results.</w:t>
      </w:r>
    </w:p>
    <w:p w14:paraId="3012540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A2EECA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Analysis of Related Risks and Trustworthiness Issues</w:t>
      </w:r>
    </w:p>
    <w:p w14:paraId="053AC26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Analyze how identified causes impact risks, trustworthiness, compliance, or system security, documenting the relationships and potential consequences to provide clarity on the urgency and importance of addressing these root causes.</w:t>
      </w:r>
    </w:p>
    <w:p w14:paraId="3A3FBDA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A5CB02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assessments linked to root causes.</w:t>
      </w:r>
    </w:p>
    <w:p w14:paraId="10DD956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Impact analysis reports highlighting trustworthiness or safety implications.</w:t>
      </w:r>
    </w:p>
    <w:p w14:paraId="1FB8E80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Cause-and-effect diagrams or fault trees.</w:t>
      </w:r>
    </w:p>
    <w:p w14:paraId="13AA586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Expert review notes.</w:t>
      </w:r>
    </w:p>
    <w:p w14:paraId="090ECEB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81D5E7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Corrective and Improvement Actions</w:t>
      </w:r>
    </w:p>
    <w:p w14:paraId="39BE754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Recommend, plan, and document actions to sustain improvements, prevent recurrence, or mitigate related risks or trust issues to establish a proactive approach toward enhancing system reliability and trustworthiness.</w:t>
      </w:r>
    </w:p>
    <w:p w14:paraId="5AA590B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CAD7C3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plans with detailed steps, responsibilities, and timelines.</w:t>
      </w:r>
    </w:p>
    <w:p w14:paraId="4684467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Implementation logs and change request records.</w:t>
      </w:r>
    </w:p>
    <w:p w14:paraId="5B902B4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Follow-up testing or validation reports verifying effectiveness.</w:t>
      </w:r>
    </w:p>
    <w:p w14:paraId="44DA34A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documentation.</w:t>
      </w:r>
    </w:p>
    <w:p w14:paraId="0222413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72D637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Review, and Continuous Learning</w:t>
      </w:r>
    </w:p>
    <w:p w14:paraId="234E208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comprehensive records of RCA findings and actions, review results regularly, and incorporate lessons learned into policies, practices, and system updates for ongoing improvement to ensure that the organization continually evolves in response to past experiences and emerging threats.</w:t>
      </w:r>
    </w:p>
    <w:p w14:paraId="0741D5E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3B794A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RCA reports with cause analyses, findings, and action summaries.</w:t>
      </w:r>
    </w:p>
    <w:p w14:paraId="34CE71B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meeting minutes discussing RCA outcomes.</w:t>
      </w:r>
    </w:p>
    <w:p w14:paraId="6EECF89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policies, procedures, or system configurations based on insights.</w:t>
      </w:r>
    </w:p>
    <w:p w14:paraId="14093F1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logs from involved teams with improvement suggestions.</w:t>
      </w:r>
    </w:p>
    <w:p w14:paraId="41C598BD"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54816685"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0346F0A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538C206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7E3F1959" w14:textId="77777777" w:rsidTr="005C00A5">
        <w:tc>
          <w:tcPr>
            <w:tcW w:w="1170" w:type="dxa"/>
          </w:tcPr>
          <w:p w14:paraId="41C4A79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305DA92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142F864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5416741E" w14:textId="77777777" w:rsidTr="005C00A5">
        <w:tc>
          <w:tcPr>
            <w:tcW w:w="1170" w:type="dxa"/>
          </w:tcPr>
          <w:p w14:paraId="55BC571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MS-4.3.3</w:t>
            </w:r>
          </w:p>
        </w:tc>
        <w:tc>
          <w:tcPr>
            <w:tcW w:w="2160" w:type="dxa"/>
          </w:tcPr>
          <w:p w14:paraId="35657BE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Knowledge Sharing and Industry Contribution</w:t>
            </w:r>
          </w:p>
        </w:tc>
        <w:tc>
          <w:tcPr>
            <w:tcW w:w="6740" w:type="dxa"/>
          </w:tcPr>
          <w:p w14:paraId="114EF40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shares its findings and receives feedback regarding measurable performance improvements or declines with the broader AI community through publications, conferences, or industry forums, contributing to collective knowledge and best practices in context-specific AI performance management and trustworthiness assurance.</w:t>
            </w:r>
          </w:p>
          <w:p w14:paraId="1CF4A9B4" w14:textId="77777777" w:rsidR="00963E47" w:rsidRPr="00963E47" w:rsidRDefault="00963E47" w:rsidP="004C3837">
            <w:pPr>
              <w:keepNext/>
              <w:rPr>
                <w:rFonts w:ascii="Aptos" w:hAnsi="Aptos" w:cs="Times New Roman"/>
                <w:b/>
                <w:bCs/>
                <w:color w:val="000000"/>
                <w:sz w:val="20"/>
                <w:szCs w:val="20"/>
              </w:rPr>
            </w:pPr>
          </w:p>
          <w:p w14:paraId="711F2D36" w14:textId="77777777" w:rsidR="00963E47" w:rsidRPr="00963E47" w:rsidRDefault="00963E47" w:rsidP="004C3837">
            <w:pPr>
              <w:keepNext/>
              <w:rPr>
                <w:rFonts w:ascii="Aptos" w:hAnsi="Aptos" w:cs="Times New Roman"/>
                <w:b/>
                <w:bCs/>
                <w:color w:val="000000"/>
                <w:sz w:val="20"/>
                <w:szCs w:val="20"/>
              </w:rPr>
            </w:pPr>
            <w:hyperlink r:id="rId200" w:anchor="measure-4-3" w:history="1">
              <w:r w:rsidRPr="00963E47">
                <w:rPr>
                  <w:rFonts w:ascii="Aptos" w:hAnsi="Aptos" w:cs="Times New Roman"/>
                  <w:color w:val="000000"/>
                  <w:sz w:val="20"/>
                  <w:szCs w:val="20"/>
                  <w:u w:val="single"/>
                </w:rPr>
                <w:t>Link to NIST AI RMF Playbook</w:t>
              </w:r>
            </w:hyperlink>
          </w:p>
        </w:tc>
      </w:tr>
    </w:tbl>
    <w:p w14:paraId="7C717458"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7893ED1"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lastRenderedPageBreak/>
        <w:t>Adoption Stage Applicability:</w:t>
      </w:r>
      <w:r w:rsidRPr="00963E47">
        <w:rPr>
          <w:rFonts w:ascii="Aptos" w:eastAsia="Aptos" w:hAnsi="Aptos" w:cs="Times New Roman"/>
          <w:color w:val="C00000"/>
          <w:kern w:val="2"/>
          <w:sz w:val="20"/>
          <w:szCs w:val="20"/>
          <w14:ligatures w14:val="standardContextual"/>
        </w:rPr>
        <w:t xml:space="preserve"> </w:t>
      </w:r>
    </w:p>
    <w:p w14:paraId="573BB2AA"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26A06425" w14:textId="77777777" w:rsidTr="005C00A5">
        <w:trPr>
          <w:tblHeader/>
        </w:trPr>
        <w:tc>
          <w:tcPr>
            <w:tcW w:w="2160" w:type="dxa"/>
            <w:shd w:val="clear" w:color="auto" w:fill="CCDCDC"/>
            <w:vAlign w:val="center"/>
          </w:tcPr>
          <w:p w14:paraId="2841FC53"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0679CA75"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095896DD"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56149622" w14:textId="77777777" w:rsidTr="005C00A5">
        <w:tc>
          <w:tcPr>
            <w:tcW w:w="2160" w:type="dxa"/>
            <w:shd w:val="clear" w:color="auto" w:fill="CCDCDC"/>
          </w:tcPr>
          <w:p w14:paraId="722E9A55"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00E3A63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86D59A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7ADB0DE" w14:textId="77777777" w:rsidTr="005C00A5">
        <w:tc>
          <w:tcPr>
            <w:tcW w:w="2160" w:type="dxa"/>
            <w:shd w:val="clear" w:color="auto" w:fill="CCDCDC"/>
          </w:tcPr>
          <w:p w14:paraId="6ED08C7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51A888B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991C13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share initial experiences and lessons learned with AI, such as presenting a poster at a local tech meetup describing their efforts to improve the accuracy of a simple image classification model, showcasing the challenges and insights gained during the process. This participation can allow the organization to see the results of their project and to see the insights from others.</w:t>
            </w:r>
          </w:p>
        </w:tc>
      </w:tr>
      <w:tr w:rsidR="00963E47" w:rsidRPr="00963E47" w14:paraId="75EAD53B" w14:textId="77777777" w:rsidTr="005C00A5">
        <w:tc>
          <w:tcPr>
            <w:tcW w:w="2160" w:type="dxa"/>
            <w:shd w:val="clear" w:color="auto" w:fill="CCDCDC"/>
          </w:tcPr>
          <w:p w14:paraId="5D6731B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5AEAA65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6FD7E7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might  present use cases at conferences detailing how they improved the fairness of their loan application AI by addressing biases in the training data, providing concrete insights and methodologies that other organizations can learn from. By sharing their findings and receiving feedback, organizations contribute to the collective knowledge but also gain valuable perspectives that can further improve their own AI systems.</w:t>
            </w:r>
          </w:p>
        </w:tc>
      </w:tr>
      <w:tr w:rsidR="00963E47" w:rsidRPr="00963E47" w14:paraId="4FCBE4C4" w14:textId="77777777" w:rsidTr="005C00A5">
        <w:tc>
          <w:tcPr>
            <w:tcW w:w="2160" w:type="dxa"/>
            <w:shd w:val="clear" w:color="auto" w:fill="CCDCDC"/>
          </w:tcPr>
          <w:p w14:paraId="4D03257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0CC0B81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86257B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continuously sharing their findings regarding measurable performance improvements or declines with the broader AI community through publications, conferences, or industry forums, contributing to collective knowledge and best practices in context-specific AI performance management and trustworthiness assurance, with real-time updates based on data-driven insights. These processes are seamlessly integrated into the organization's knowledge management and industry engagement frameworks, ensuring the highest level of proactive finding sharing and contribution to collective knowledge.</w:t>
            </w:r>
          </w:p>
        </w:tc>
      </w:tr>
    </w:tbl>
    <w:p w14:paraId="5C141283"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70AFCB9D" w14:textId="77777777" w:rsidTr="005C00A5">
        <w:tc>
          <w:tcPr>
            <w:tcW w:w="2250" w:type="dxa"/>
          </w:tcPr>
          <w:p w14:paraId="0917073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537D1B8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0195F39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569AE4A3" w14:textId="77777777" w:rsidTr="005C00A5">
        <w:tc>
          <w:tcPr>
            <w:tcW w:w="2250" w:type="dxa"/>
          </w:tcPr>
          <w:p w14:paraId="2323305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1803153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Unshared Performance Findings</w:t>
            </w:r>
          </w:p>
        </w:tc>
        <w:tc>
          <w:tcPr>
            <w:tcW w:w="5300" w:type="dxa"/>
          </w:tcPr>
          <w:p w14:paraId="49517FA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Performance findings are not shared with the broader AI community</w:t>
            </w:r>
          </w:p>
        </w:tc>
      </w:tr>
    </w:tbl>
    <w:p w14:paraId="0F42192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5CCDCF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4F46C99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9B0DDC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 plan for sharing the organization's findings regarding measurable performance improvements or declines in its AI systems with the broader AI community through publications, conferences, or industry forums. Identify relevant outlets and opportunities for sharing these findings, such as academic journals, professional associations, or industry working groups.</w:t>
      </w:r>
    </w:p>
    <w:p w14:paraId="4139FEE7"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68F4C04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a process for preparing and reviewing materials for external sharing, including guidelines for protecting sensitive or proprietary information, ensuring the accuracy and clarity of the content, and obtaining necessary approvals from relevant stakeholders. Document the organization's contributions to collective knowledge and best practices in context-specific AI performance management and trustworthiness assurance, including any feedback, collaborations, or recognition received from the broader AI community. Processes for sharing should also include adjudication and incorporation of received feedback.</w:t>
      </w:r>
    </w:p>
    <w:p w14:paraId="108248C1"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12DD47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lastRenderedPageBreak/>
        <w:t xml:space="preserve">Example Controls and Evidence: </w:t>
      </w:r>
    </w:p>
    <w:p w14:paraId="063D274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318E2C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a Sharing and Outreach Strategy</w:t>
      </w:r>
    </w:p>
    <w:p w14:paraId="1CC0BC2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Formalize a strategy and processes for disseminating insights, findings, and lessons learned via publications, conference presentations, or industry forums to promote transparency and community contribution.</w:t>
      </w:r>
    </w:p>
    <w:p w14:paraId="28FF896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E45F3D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Publication plans, conference submission records, and presentation schedules.</w:t>
      </w:r>
    </w:p>
    <w:p w14:paraId="0CA8D31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Drafts of technical papers, blogs, or articles discussing performance outcomes.</w:t>
      </w:r>
    </w:p>
    <w:p w14:paraId="43B67AD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Outreach calendars and stakeholder communication plans.</w:t>
      </w:r>
    </w:p>
    <w:p w14:paraId="4A94268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dissemination templates.</w:t>
      </w:r>
    </w:p>
    <w:p w14:paraId="30971CB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035E5E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Findings and Feedback Collection</w:t>
      </w:r>
    </w:p>
    <w:p w14:paraId="1EC2DDE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Record the results of performance evaluations, identified issues, and trustworthiness assessments, along with feedback received from external stakeholders or peer reviewers to create a comprehensive database that informs future practices and enhances accountability.</w:t>
      </w:r>
    </w:p>
    <w:p w14:paraId="34C8168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B15F01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Published papers, reports, or articles with detailed findings.</w:t>
      </w:r>
    </w:p>
    <w:p w14:paraId="13A7BC0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Peer review comments and responses.</w:t>
      </w:r>
    </w:p>
    <w:p w14:paraId="24E447B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Conference presentation materials with Q&amp;Asummaries.</w:t>
      </w:r>
    </w:p>
    <w:p w14:paraId="649FC05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Industry forum discussion logs or feedback summaries.</w:t>
      </w:r>
    </w:p>
    <w:p w14:paraId="5FA1F443"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3248C7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Engagement with Broader AI Community</w:t>
      </w:r>
    </w:p>
    <w:p w14:paraId="0C2CF70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Participate actively in community forums, industry groups, or conferences by sharing insights and soliciting feedback to support collective knowledge-building and foster collaboration among industry peers on best practices and innovations.</w:t>
      </w:r>
    </w:p>
    <w:p w14:paraId="340D02C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22FB00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participation in workshops, panels, or industry roundtables.</w:t>
      </w:r>
    </w:p>
    <w:p w14:paraId="2A81F24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Forum or panel presentation attendee lists and feedback forms.</w:t>
      </w:r>
    </w:p>
    <w:p w14:paraId="5638B54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Community project collaborations or open data initiatives.</w:t>
      </w:r>
    </w:p>
    <w:p w14:paraId="588E7D8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Outreach or follow-up communication logs.</w:t>
      </w:r>
    </w:p>
    <w:p w14:paraId="6D730BC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19863D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Incorporation of External Feedback and Lessons Learned</w:t>
      </w:r>
    </w:p>
    <w:p w14:paraId="7E3AAA3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 how external feedback influences ongoing performance management and trustworthiness practices, including updates to models, evaluation protocols, or controls to ensure that the organization remains adaptive and responsive to community insights and changing standards.</w:t>
      </w:r>
    </w:p>
    <w:p w14:paraId="2BA1A12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2AF470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logs and response documentation.</w:t>
      </w:r>
    </w:p>
    <w:p w14:paraId="4944C1C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methodologies or best practices derived from community input.</w:t>
      </w:r>
    </w:p>
    <w:p w14:paraId="6DCB521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Revision histories of evaluation procedures based on external insights.</w:t>
      </w:r>
    </w:p>
    <w:p w14:paraId="2C19829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highlighting community-contributed improvements.</w:t>
      </w:r>
    </w:p>
    <w:p w14:paraId="69B4B2D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43E2BA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 Review and Public Reporting of Performance and Trustworthiness</w:t>
      </w:r>
    </w:p>
    <w:p w14:paraId="701DE3C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Schedule periodic reviews of published findings and community feedback integration, ensuring transparency and continuous improvement aligned with industry standards to reinforce the organization's commitment to accountability and collaboration in AI development.</w:t>
      </w:r>
    </w:p>
    <w:p w14:paraId="45B782D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C2415A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Public-facing performance reports and impact assessments.</w:t>
      </w:r>
    </w:p>
    <w:p w14:paraId="7F5F787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and documentation of community engagement activities.</w:t>
      </w:r>
    </w:p>
    <w:p w14:paraId="0C9C598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documentation shared with internal teams.</w:t>
      </w:r>
    </w:p>
    <w:p w14:paraId="6524293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Continuous improvement logs reflecting community-driven enhancements.</w:t>
      </w:r>
    </w:p>
    <w:p w14:paraId="374F4A7A"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68" w:name="_Toc214874813"/>
      <w:r w:rsidRPr="00963E47">
        <w:rPr>
          <w:rFonts w:ascii="Aptos" w:eastAsia="Aptos" w:hAnsi="Aptos" w:cs="Times New Roman"/>
          <w:b/>
          <w:bCs/>
          <w:noProof/>
          <w:color w:val="35256B"/>
          <w:kern w:val="2"/>
          <w:sz w:val="24"/>
          <w14:ligatures w14:val="standardContextual"/>
        </w:rPr>
        <w:lastRenderedPageBreak/>
        <w:t>MANAGE / Prioritizing and Responding to Risks / Deciding to Deploy</w:t>
      </w:r>
      <w:bookmarkEnd w:id="68"/>
      <w:r w:rsidRPr="00963E47">
        <w:rPr>
          <w:rFonts w:ascii="Aptos" w:eastAsia="Aptos" w:hAnsi="Aptos" w:cs="Times New Roman"/>
          <w:b/>
          <w:bCs/>
          <w:noProof/>
          <w:color w:val="35256B"/>
          <w:kern w:val="2"/>
          <w:sz w:val="24"/>
          <w14:ligatures w14:val="standardContextual"/>
        </w:rPr>
        <w:t xml:space="preserve"> </w:t>
      </w:r>
    </w:p>
    <w:p w14:paraId="77E8F612"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3F3502E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6FBC52C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10D425BC" w14:textId="77777777" w:rsidTr="005C00A5">
        <w:tc>
          <w:tcPr>
            <w:tcW w:w="1170" w:type="dxa"/>
          </w:tcPr>
          <w:p w14:paraId="26C0320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364BDDB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178628B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5903C681" w14:textId="77777777" w:rsidTr="005C00A5">
        <w:tc>
          <w:tcPr>
            <w:tcW w:w="1170" w:type="dxa"/>
          </w:tcPr>
          <w:p w14:paraId="35B8547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MG-1.1.1</w:t>
            </w:r>
          </w:p>
        </w:tc>
        <w:tc>
          <w:tcPr>
            <w:tcW w:w="2160" w:type="dxa"/>
          </w:tcPr>
          <w:p w14:paraId="7B8C674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System Evaluation and Gap Analysis</w:t>
            </w:r>
          </w:p>
        </w:tc>
        <w:tc>
          <w:tcPr>
            <w:tcW w:w="6740" w:type="dxa"/>
          </w:tcPr>
          <w:p w14:paraId="54626AF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establishes a formal evaluation process to determine if the AI system achieves its intended purposes and objectives, assessing performance metrics, stakeholder feedback, alignment with organizational goals and values, and the system's trustworthiness (including fairness, transparency, accountability, privacy), while identifying gaps, risks, and potential improvements.</w:t>
            </w:r>
          </w:p>
          <w:p w14:paraId="5EAED98D" w14:textId="77777777" w:rsidR="00963E47" w:rsidRPr="00963E47" w:rsidRDefault="00963E47" w:rsidP="004C3837">
            <w:pPr>
              <w:keepNext/>
              <w:rPr>
                <w:rFonts w:ascii="Aptos" w:hAnsi="Aptos" w:cs="Times New Roman"/>
                <w:b/>
                <w:bCs/>
                <w:color w:val="000000"/>
                <w:sz w:val="20"/>
                <w:szCs w:val="20"/>
              </w:rPr>
            </w:pPr>
          </w:p>
          <w:p w14:paraId="74DCE32A" w14:textId="77777777" w:rsidR="00963E47" w:rsidRPr="00963E47" w:rsidRDefault="00963E47" w:rsidP="004C3837">
            <w:pPr>
              <w:keepNext/>
              <w:rPr>
                <w:rFonts w:ascii="Aptos" w:hAnsi="Aptos" w:cs="Times New Roman"/>
                <w:b/>
                <w:bCs/>
                <w:color w:val="000000"/>
                <w:sz w:val="20"/>
                <w:szCs w:val="20"/>
              </w:rPr>
            </w:pPr>
            <w:hyperlink r:id="rId201" w:anchor="manage-1-1" w:history="1">
              <w:r w:rsidRPr="00963E47">
                <w:rPr>
                  <w:rFonts w:ascii="Aptos" w:hAnsi="Aptos" w:cs="Times New Roman"/>
                  <w:color w:val="000000"/>
                  <w:sz w:val="20"/>
                  <w:szCs w:val="20"/>
                  <w:u w:val="single"/>
                </w:rPr>
                <w:t>Link to NIST AI RMF Playbook</w:t>
              </w:r>
            </w:hyperlink>
          </w:p>
        </w:tc>
      </w:tr>
    </w:tbl>
    <w:p w14:paraId="00E333A2"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7408F7E"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72CD8CBE"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330A1129" w14:textId="77777777" w:rsidTr="005C00A5">
        <w:trPr>
          <w:tblHeader/>
        </w:trPr>
        <w:tc>
          <w:tcPr>
            <w:tcW w:w="2160" w:type="dxa"/>
            <w:shd w:val="clear" w:color="auto" w:fill="CCDCDC"/>
            <w:vAlign w:val="center"/>
          </w:tcPr>
          <w:p w14:paraId="529D54AA"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78C5D4BF"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587F9F2B"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5FB9E051" w14:textId="77777777" w:rsidTr="005C00A5">
        <w:tc>
          <w:tcPr>
            <w:tcW w:w="2160" w:type="dxa"/>
            <w:shd w:val="clear" w:color="auto" w:fill="CCDCDC"/>
          </w:tcPr>
          <w:p w14:paraId="244111E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6F57E99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AA8FB3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41AA9D3A" w14:textId="77777777" w:rsidTr="005C00A5">
        <w:tc>
          <w:tcPr>
            <w:tcW w:w="2160" w:type="dxa"/>
            <w:shd w:val="clear" w:color="auto" w:fill="CCDCDC"/>
          </w:tcPr>
          <w:p w14:paraId="78DF68E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2DC7575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536E186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2EEC5F8" w14:textId="77777777" w:rsidTr="005C00A5">
        <w:tc>
          <w:tcPr>
            <w:tcW w:w="2160" w:type="dxa"/>
            <w:shd w:val="clear" w:color="auto" w:fill="CCDCDC"/>
          </w:tcPr>
          <w:p w14:paraId="495E9F4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4E120FA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5EF933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have well-defined evaluation processes that assess performance, trustworthiness, stakeholder feedback, and alignment with goals and values. Gaps and risks are systematically identified.</w:t>
            </w:r>
          </w:p>
        </w:tc>
      </w:tr>
      <w:tr w:rsidR="00963E47" w:rsidRPr="00963E47" w14:paraId="536C4CDF" w14:textId="77777777" w:rsidTr="005C00A5">
        <w:tc>
          <w:tcPr>
            <w:tcW w:w="2160" w:type="dxa"/>
            <w:shd w:val="clear" w:color="auto" w:fill="CCDCDC"/>
          </w:tcPr>
          <w:p w14:paraId="4D2DAF0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6C9FB99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69EC15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comprehensive, formalized evaluation processes that are deeply integrated, continuously assessing AI systems. Proactive improvement is driven by rigorous analysis of metrics, feedback, and alignment.</w:t>
            </w:r>
          </w:p>
        </w:tc>
      </w:tr>
    </w:tbl>
    <w:p w14:paraId="7CCDE32C"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0DE12082" w14:textId="77777777" w:rsidTr="005C00A5">
        <w:tc>
          <w:tcPr>
            <w:tcW w:w="2250" w:type="dxa"/>
          </w:tcPr>
          <w:p w14:paraId="0190F8D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31A7DCB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0FCB860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1ACCD485" w14:textId="77777777" w:rsidTr="005C00A5">
        <w:tc>
          <w:tcPr>
            <w:tcW w:w="2250" w:type="dxa"/>
          </w:tcPr>
          <w:p w14:paraId="10A8DD4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Valid &amp; Reliable</w:t>
            </w:r>
          </w:p>
        </w:tc>
        <w:tc>
          <w:tcPr>
            <w:tcW w:w="2520" w:type="dxa"/>
          </w:tcPr>
          <w:p w14:paraId="393DB7E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Insufficient Purpose Achievement Evaluation</w:t>
            </w:r>
          </w:p>
        </w:tc>
        <w:tc>
          <w:tcPr>
            <w:tcW w:w="5300" w:type="dxa"/>
          </w:tcPr>
          <w:p w14:paraId="0FC52FF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Formal evaluation to determine achievement of intended purposes is insufficient</w:t>
            </w:r>
          </w:p>
        </w:tc>
      </w:tr>
    </w:tbl>
    <w:p w14:paraId="3F01ACF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E56220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09634DC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1AB240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a formal evaluation process to determine if the AI system achieves its intended purposes and objectives. This process should assess performance metrics, stakeholder feedback, alignment with organizational goals and values, and the system's trustworthiness, including fairness, transparency, accountability, and privacy. The evaluation should also identify gaps, risks, and potential improvements.</w:t>
      </w:r>
    </w:p>
    <w:p w14:paraId="5D9219DA"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48F69CF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Involve a broad range of stakeholders, such as technical experts, domain specialists, end-users, and impacted communities, in the evaluation process. This promotes a broad assessment of the AI system's performance and potential impacts, ensuring that various perspectives and concerns are considered.</w:t>
      </w:r>
    </w:p>
    <w:p w14:paraId="37F037E6"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59D44A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4D607DA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9C27E7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Formal Evaluation Process Framework</w:t>
      </w:r>
    </w:p>
    <w:p w14:paraId="05795CB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structured framework for evaluating AI systems, encompassing performance metrics, stakeholder feedback, and alignment with organizational goals and values.</w:t>
      </w:r>
    </w:p>
    <w:p w14:paraId="1BE5A92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496EF2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outlining the evaluation framework, including objectives, methodologies, and criteria used.</w:t>
      </w:r>
    </w:p>
    <w:p w14:paraId="3D613E3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Records of evaluation schedules and timelines for conducting assessments of AI systems.</w:t>
      </w:r>
    </w:p>
    <w:p w14:paraId="569C099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Summaries of evaluation outcomes, detailing how the AI system meets its intended purposes and objectives.</w:t>
      </w:r>
    </w:p>
    <w:p w14:paraId="3B2992C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involvement records indicating contributions to the evaluation process.</w:t>
      </w:r>
    </w:p>
    <w:p w14:paraId="44F0550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2FAAFA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Performance Metric Tracking</w:t>
      </w:r>
    </w:p>
    <w:p w14:paraId="7630954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and track performance metrics that reflect the effectiveness of the AI system in achieving its intended goals, ensuring those metrics align with trustworthiness characteristics like fairness and transparency.</w:t>
      </w:r>
    </w:p>
    <w:p w14:paraId="40DB537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91E603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detailing the specific performance metrics chosen and their relevance to organizational goals.</w:t>
      </w:r>
    </w:p>
    <w:p w14:paraId="5D5ED3B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Historical data showing performance metrics over time and correlating them with system changes.</w:t>
      </w:r>
    </w:p>
    <w:p w14:paraId="19EDA96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feedback forms assessing the clarity and relevance of the performance metrics.</w:t>
      </w:r>
    </w:p>
    <w:p w14:paraId="4D882FD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Comparative analysis demonstrating the AI system's performance against established benchmarks.</w:t>
      </w:r>
    </w:p>
    <w:p w14:paraId="7CA0A5D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A064B2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Stakeholder Feedback Collection</w:t>
      </w:r>
    </w:p>
    <w:p w14:paraId="1E7DACF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procedures for collecting and analyzing stakeholder feedback to inform the evaluation process, ensuring multidisciplinary perspectives are considered.</w:t>
      </w:r>
    </w:p>
    <w:p w14:paraId="5661A0D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A63ACB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feedback collection methods, including surveys, interviews, or focus groups conducted with stakeholders.</w:t>
      </w:r>
    </w:p>
    <w:p w14:paraId="5CE6088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Summaries of stakeholder feedback, highlighting key themes and insights related to system performance and trustworthiness.</w:t>
      </w:r>
    </w:p>
    <w:p w14:paraId="7FE1FC4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stakeholder meetings where feedback was discussed and evaluated.</w:t>
      </w:r>
    </w:p>
    <w:p w14:paraId="1B983CD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plans developed in response to stakeholder feedback, outlining changes to be made to the AI system.</w:t>
      </w:r>
    </w:p>
    <w:p w14:paraId="3A61A55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F10FA2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Gap Analysis Methodology</w:t>
      </w:r>
    </w:p>
    <w:p w14:paraId="5958CA0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a gap analysis to identify areas where the AI system falls short of its intended purposes and objectives, as well as potential risks and areas for improvement.</w:t>
      </w:r>
    </w:p>
    <w:p w14:paraId="3E4B936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46207D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Gap analysis reports outlining discrepancies between actual performance and expected outcomes.</w:t>
      </w:r>
    </w:p>
    <w:p w14:paraId="6FD2C85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identified risks related to performance, fairness, transparency, and other trustworthiness characteristics.</w:t>
      </w:r>
    </w:p>
    <w:p w14:paraId="045DD0A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Actionable insights and recommendations for addressing identified gaps, supported by a priority ranking.</w:t>
      </w:r>
    </w:p>
    <w:p w14:paraId="1E19B4E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Follow-up documentation tracking the implementation of identified improvements to the AI system.</w:t>
      </w:r>
    </w:p>
    <w:p w14:paraId="5B3D40B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7E91EB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Improvement Monitoring</w:t>
      </w:r>
    </w:p>
    <w:p w14:paraId="254C826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review evaluation findings and identified gaps to refine and enhance AI system practices, ensuring continuous alignment with best practices and organizational values.</w:t>
      </w:r>
    </w:p>
    <w:p w14:paraId="0333E2D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89327A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Schedules for periodic review meetings to analyze evaluation findings and update practices.</w:t>
      </w:r>
    </w:p>
    <w:p w14:paraId="4064222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changes made to the evaluation process based on previous findings and current developments.</w:t>
      </w:r>
    </w:p>
    <w:p w14:paraId="5C80359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lessons learned from evaluations and their incorporation into future practices or policies.</w:t>
      </w:r>
    </w:p>
    <w:p w14:paraId="3D95F8B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Performance reports showing improvements made post-evaluation as a result of identified gaps and stakeholder feedback.</w:t>
      </w:r>
    </w:p>
    <w:p w14:paraId="3D736A29"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0FBC6D08"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4AAF7FF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49CDA33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1D2EF1FC" w14:textId="77777777" w:rsidTr="005C00A5">
        <w:tc>
          <w:tcPr>
            <w:tcW w:w="1170" w:type="dxa"/>
          </w:tcPr>
          <w:p w14:paraId="70FC39F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1747CA2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382276A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5E66ED0D" w14:textId="77777777" w:rsidTr="005C00A5">
        <w:tc>
          <w:tcPr>
            <w:tcW w:w="1170" w:type="dxa"/>
          </w:tcPr>
          <w:p w14:paraId="2D061A0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MG-1.1.2</w:t>
            </w:r>
          </w:p>
        </w:tc>
        <w:tc>
          <w:tcPr>
            <w:tcW w:w="2160" w:type="dxa"/>
          </w:tcPr>
          <w:p w14:paraId="5E2245D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Go/No-Go Decision Criteria</w:t>
            </w:r>
          </w:p>
        </w:tc>
        <w:tc>
          <w:tcPr>
            <w:tcW w:w="6740" w:type="dxa"/>
          </w:tcPr>
          <w:p w14:paraId="63DDBF7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he organization makes a determination as to whether to proceed using clear criteria and thresholds to guide decisions on whether an AI system's development or deployment should proceed, pause, or be terminated based on evaluation results, its risk tolerance, and confirmation that all identified risks and vulnerabilities have been remediated or formally accepted.</w:t>
            </w:r>
          </w:p>
          <w:p w14:paraId="4D061B55" w14:textId="77777777" w:rsidR="00963E47" w:rsidRPr="00963E47" w:rsidRDefault="00963E47" w:rsidP="004C3837">
            <w:pPr>
              <w:keepNext/>
              <w:rPr>
                <w:rFonts w:ascii="Aptos" w:hAnsi="Aptos" w:cs="Times New Roman"/>
                <w:b/>
                <w:bCs/>
                <w:color w:val="000000"/>
                <w:sz w:val="20"/>
                <w:szCs w:val="20"/>
              </w:rPr>
            </w:pPr>
          </w:p>
          <w:p w14:paraId="7E535814" w14:textId="77777777" w:rsidR="00963E47" w:rsidRPr="00963E47" w:rsidRDefault="00963E47" w:rsidP="004C3837">
            <w:pPr>
              <w:keepNext/>
              <w:rPr>
                <w:rFonts w:ascii="Aptos" w:hAnsi="Aptos" w:cs="Times New Roman"/>
                <w:b/>
                <w:bCs/>
                <w:color w:val="000000"/>
                <w:sz w:val="20"/>
                <w:szCs w:val="20"/>
              </w:rPr>
            </w:pPr>
            <w:hyperlink r:id="rId202" w:anchor="manage-1-1" w:history="1">
              <w:r w:rsidRPr="00963E47">
                <w:rPr>
                  <w:rFonts w:ascii="Aptos" w:hAnsi="Aptos" w:cs="Times New Roman"/>
                  <w:color w:val="000000"/>
                  <w:sz w:val="20"/>
                  <w:szCs w:val="20"/>
                  <w:u w:val="single"/>
                </w:rPr>
                <w:t>Link to NIST AI RMF Playbook</w:t>
              </w:r>
            </w:hyperlink>
          </w:p>
        </w:tc>
      </w:tr>
    </w:tbl>
    <w:p w14:paraId="2DA0FA3E"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3ACF34B"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6CFE44C2"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11407DD0" w14:textId="77777777" w:rsidTr="005C00A5">
        <w:trPr>
          <w:tblHeader/>
        </w:trPr>
        <w:tc>
          <w:tcPr>
            <w:tcW w:w="2160" w:type="dxa"/>
            <w:shd w:val="clear" w:color="auto" w:fill="CCDCDC"/>
            <w:vAlign w:val="center"/>
          </w:tcPr>
          <w:p w14:paraId="71A0AF60"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3C74DB1B"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6A065D91"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16CB5B81" w14:textId="77777777" w:rsidTr="005C00A5">
        <w:tc>
          <w:tcPr>
            <w:tcW w:w="2160" w:type="dxa"/>
            <w:shd w:val="clear" w:color="auto" w:fill="CCDCDC"/>
          </w:tcPr>
          <w:p w14:paraId="72274AE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6870B46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6C5369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19B7D74F" w14:textId="77777777" w:rsidTr="005C00A5">
        <w:tc>
          <w:tcPr>
            <w:tcW w:w="2160" w:type="dxa"/>
            <w:shd w:val="clear" w:color="auto" w:fill="CCDCDC"/>
          </w:tcPr>
          <w:p w14:paraId="12821CE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249AECB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677B71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minimal stage have basic criteria that guide decisions on proceeding with AI systems, but thresholds may not be well-defined, and risk tolerance is considered inconsistently, as AI systems are not yet critical to their operations.</w:t>
            </w:r>
          </w:p>
        </w:tc>
      </w:tr>
      <w:tr w:rsidR="00963E47" w:rsidRPr="00963E47" w14:paraId="50D7ECDA" w14:textId="77777777" w:rsidTr="005C00A5">
        <w:tc>
          <w:tcPr>
            <w:tcW w:w="2160" w:type="dxa"/>
            <w:shd w:val="clear" w:color="auto" w:fill="CCDCDC"/>
          </w:tcPr>
          <w:p w14:paraId="3CCB9F0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6AA0CB9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5B08B2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have clear criteria and thresholds, aligned with risk tolerance, that consistently guide well-documented decisions on proceeding with AI systems.</w:t>
            </w:r>
          </w:p>
        </w:tc>
      </w:tr>
      <w:tr w:rsidR="00963E47" w:rsidRPr="00963E47" w14:paraId="6F183966" w14:textId="77777777" w:rsidTr="005C00A5">
        <w:tc>
          <w:tcPr>
            <w:tcW w:w="2160" w:type="dxa"/>
            <w:shd w:val="clear" w:color="auto" w:fill="CCDCDC"/>
          </w:tcPr>
          <w:p w14:paraId="06A6472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34057D5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1A62CF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robust, formalized decision frameworks, tightly linked to risk tolerance, that are used to make and document decisions. Processes are continually optimized.</w:t>
            </w:r>
          </w:p>
        </w:tc>
      </w:tr>
    </w:tbl>
    <w:p w14:paraId="0F5F024E"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67A82EB5" w14:textId="77777777" w:rsidTr="005C00A5">
        <w:tc>
          <w:tcPr>
            <w:tcW w:w="2250" w:type="dxa"/>
          </w:tcPr>
          <w:p w14:paraId="4AE834B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493C1EA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227117B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10EA81F1" w14:textId="77777777" w:rsidTr="005C00A5">
        <w:tc>
          <w:tcPr>
            <w:tcW w:w="2250" w:type="dxa"/>
          </w:tcPr>
          <w:p w14:paraId="3A14C46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49C047F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Absent Deployment Decision Criteria</w:t>
            </w:r>
          </w:p>
        </w:tc>
        <w:tc>
          <w:tcPr>
            <w:tcW w:w="5300" w:type="dxa"/>
          </w:tcPr>
          <w:p w14:paraId="7094A0D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Clear criteria and thresholds are absent to guide deployment decisions</w:t>
            </w:r>
          </w:p>
        </w:tc>
      </w:tr>
    </w:tbl>
    <w:p w14:paraId="0F87B28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3D88C7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05912CD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D70E5E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clear criteria and thresholds to guide decisions on whether an AI system's development or deployment should proceed, pause, or be terminated based on evaluation results and the organization's risk tolerance. These criteria should be well-defined and documented to ensure consistent and transparent decision-making.</w:t>
      </w:r>
    </w:p>
    <w:p w14:paraId="5F30AD8D"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697EE3D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Make a determination as to whether to proceed with the AI system's development or deployment using the established criteria and thresholds. This decision should be based on a thorough analysis of the evaluation results and a careful consideration of the potential risks and benefits associated with the system.</w:t>
      </w:r>
    </w:p>
    <w:p w14:paraId="43F8C032"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8F2245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3C69FAB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8C3629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Go/No-Go Decision Framework</w:t>
      </w:r>
    </w:p>
    <w:p w14:paraId="0AAB2D1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formal framework that outlines clear criteria and thresholds for making Go/No-Go decisions regarding the development or deployment of AI systems.</w:t>
      </w:r>
    </w:p>
    <w:p w14:paraId="63ED1E6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AB4097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the decision framework, including specific criteria and thresholds for evaluation.</w:t>
      </w:r>
    </w:p>
    <w:p w14:paraId="07DD09D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Records of decision-making meetings where evaluations are discussed, with attendance and agendas documented.</w:t>
      </w:r>
    </w:p>
    <w:p w14:paraId="45CEE8C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Summary reports detailing the rationale for decisions made regarding AI system development or deployment.</w:t>
      </w:r>
    </w:p>
    <w:p w14:paraId="2DC5D1B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acknowledgment forms indicating understanding and agreement with the Go/No-Go criteria.</w:t>
      </w:r>
    </w:p>
    <w:p w14:paraId="190A6F9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068744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Risk Assessment and Remediation Tracking</w:t>
      </w:r>
    </w:p>
    <w:p w14:paraId="0240F7D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a process for assessing risks and vulnerabilities associated with the AI system and tracking remediation efforts to ensure all identified issues are addressed prior to making a Go/No-Go decision.</w:t>
      </w:r>
    </w:p>
    <w:p w14:paraId="1170FA9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649C2D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assessment reports that identify vulnerabilities related to the AI system, including their potential impacts.</w:t>
      </w:r>
    </w:p>
    <w:p w14:paraId="46C41F4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remediation plans, including actions taken, responsible individuals, and timelines for completion.</w:t>
      </w:r>
    </w:p>
    <w:p w14:paraId="6CF1901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Follow-up records indicating whether identified risks have been remediated or accepted.</w:t>
      </w:r>
    </w:p>
    <w:p w14:paraId="0A32526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Communication logs of updates sent to stakeholders regarding risk status and remediation efforts.</w:t>
      </w:r>
    </w:p>
    <w:p w14:paraId="4790C16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757F01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Evaluation Results Documentation</w:t>
      </w:r>
    </w:p>
    <w:p w14:paraId="23A2AF9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 evaluation results rigorously to support Go/No-Go decisions, ensuring that the outcomes are clear, comprehensive, and easily accessible for review.</w:t>
      </w:r>
    </w:p>
    <w:p w14:paraId="3337431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A16BB2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Comprehensive evaluation reports summarizing testing outcomes, performance metrics, and risk assessments.</w:t>
      </w:r>
    </w:p>
    <w:p w14:paraId="0515A3A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evaluations that include any discrepancies or issues found during testing phases.</w:t>
      </w:r>
    </w:p>
    <w:p w14:paraId="2A34F0A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feedback forms assessing the clarity and usefulness of the evaluation reports.</w:t>
      </w:r>
    </w:p>
    <w:p w14:paraId="4C00F11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documentation to track changes and updates made to evaluation results over time.</w:t>
      </w:r>
    </w:p>
    <w:p w14:paraId="5B2EB31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9992CC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Threshold Confirmation Procedures</w:t>
      </w:r>
    </w:p>
    <w:p w14:paraId="7456D92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Define processes for confirming that all criteria thresholds have been met before proceeding with AI system deployment or development, ensuring adherence to organizational risk tolerance.</w:t>
      </w:r>
    </w:p>
    <w:p w14:paraId="42D6973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D74338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Checklists used to confirm that all specified thresholds have been met for Go decisions.</w:t>
      </w:r>
    </w:p>
    <w:p w14:paraId="2DEAC43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confirmations on risk acceptance and mitigation actions taken by responsible parties.</w:t>
      </w:r>
    </w:p>
    <w:p w14:paraId="22769F4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trails showing who approved the Go/No-Go decision and the context of that decision.</w:t>
      </w:r>
    </w:p>
    <w:p w14:paraId="3BC9B8E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Templates for review and confirmation that capture necessary approvals and justifications for moving forward.</w:t>
      </w:r>
    </w:p>
    <w:p w14:paraId="44C6E8F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DE3C89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Monitoring for Ongoing Decisions</w:t>
      </w:r>
    </w:p>
    <w:p w14:paraId="4692E43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protocol for ongoing monitoring of AI systems post-deployment to evaluate performance against thresholds and criteria, ensuring that any emerging risks are promptly addressed.</w:t>
      </w:r>
    </w:p>
    <w:p w14:paraId="0C49843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B613BD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plans that outline the metrics and indicators to be tracked following deployment.</w:t>
      </w:r>
    </w:p>
    <w:p w14:paraId="5C40AFF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surveillance results, including performance trends and identified issues.</w:t>
      </w:r>
    </w:p>
    <w:p w14:paraId="38AB9E6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on actions taken in response to monitoring outcomes, including any adjustments to risk assessments.</w:t>
      </w:r>
    </w:p>
    <w:p w14:paraId="2AE9939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periodic review meetings to assess ongoing system performance against established thresholds.</w:t>
      </w:r>
    </w:p>
    <w:p w14:paraId="5DCEDE97"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69" w:name="_Toc214874814"/>
      <w:r w:rsidRPr="00963E47">
        <w:rPr>
          <w:rFonts w:ascii="Aptos" w:eastAsia="Aptos" w:hAnsi="Aptos" w:cs="Times New Roman"/>
          <w:b/>
          <w:bCs/>
          <w:noProof/>
          <w:color w:val="35256B"/>
          <w:kern w:val="2"/>
          <w:sz w:val="24"/>
          <w14:ligatures w14:val="standardContextual"/>
        </w:rPr>
        <w:lastRenderedPageBreak/>
        <w:t>MANAGE / Prioritizing and Responding to Risks / Prioritizing Risk Responses</w:t>
      </w:r>
      <w:bookmarkEnd w:id="69"/>
      <w:r w:rsidRPr="00963E47">
        <w:rPr>
          <w:rFonts w:ascii="Aptos" w:eastAsia="Aptos" w:hAnsi="Aptos" w:cs="Times New Roman"/>
          <w:b/>
          <w:bCs/>
          <w:noProof/>
          <w:color w:val="35256B"/>
          <w:kern w:val="2"/>
          <w:sz w:val="24"/>
          <w14:ligatures w14:val="standardContextual"/>
        </w:rPr>
        <w:t xml:space="preserve"> </w:t>
      </w:r>
    </w:p>
    <w:p w14:paraId="643E3A8B"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4258D1B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647256E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23E5CEEB" w14:textId="77777777" w:rsidTr="005C00A5">
        <w:tc>
          <w:tcPr>
            <w:tcW w:w="1170" w:type="dxa"/>
          </w:tcPr>
          <w:p w14:paraId="117D050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0436DC5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47AF1C8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49275376" w14:textId="77777777" w:rsidTr="005C00A5">
        <w:tc>
          <w:tcPr>
            <w:tcW w:w="1170" w:type="dxa"/>
          </w:tcPr>
          <w:p w14:paraId="423FD47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MG-1.2.1</w:t>
            </w:r>
          </w:p>
        </w:tc>
        <w:tc>
          <w:tcPr>
            <w:tcW w:w="2160" w:type="dxa"/>
          </w:tcPr>
          <w:p w14:paraId="25C7349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Risk Prioritization and Framework</w:t>
            </w:r>
          </w:p>
        </w:tc>
        <w:tc>
          <w:tcPr>
            <w:tcW w:w="6740" w:type="dxa"/>
          </w:tcPr>
          <w:p w14:paraId="663A8B9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prioritizes AI risks withing the existing enterprise risk framework that takes into account the impact and likelihood of documented AI risks, risk appetite and tolerance, the availability of resources, and options for risk treatment, utilizing methodologies such as risk matrices, risk scores, or multi-criteria decision analysis to ensure a consistent and transparent assessment of AI risks.</w:t>
            </w:r>
          </w:p>
          <w:p w14:paraId="6F0A9CF6" w14:textId="77777777" w:rsidR="00963E47" w:rsidRPr="00963E47" w:rsidRDefault="00963E47" w:rsidP="004C3837">
            <w:pPr>
              <w:keepNext/>
              <w:rPr>
                <w:rFonts w:ascii="Aptos" w:hAnsi="Aptos" w:cs="Times New Roman"/>
                <w:b/>
                <w:bCs/>
                <w:color w:val="000000"/>
                <w:sz w:val="20"/>
                <w:szCs w:val="20"/>
              </w:rPr>
            </w:pPr>
          </w:p>
          <w:p w14:paraId="0534798A" w14:textId="77777777" w:rsidR="00963E47" w:rsidRPr="00963E47" w:rsidRDefault="00963E47" w:rsidP="004C3837">
            <w:pPr>
              <w:keepNext/>
              <w:rPr>
                <w:rFonts w:ascii="Aptos" w:hAnsi="Aptos" w:cs="Times New Roman"/>
                <w:b/>
                <w:bCs/>
                <w:color w:val="000000"/>
                <w:sz w:val="20"/>
                <w:szCs w:val="20"/>
              </w:rPr>
            </w:pPr>
            <w:hyperlink r:id="rId203" w:anchor="manage-1-2" w:history="1">
              <w:r w:rsidRPr="00963E47">
                <w:rPr>
                  <w:rFonts w:ascii="Aptos" w:hAnsi="Aptos" w:cs="Times New Roman"/>
                  <w:color w:val="000000"/>
                  <w:sz w:val="20"/>
                  <w:szCs w:val="20"/>
                  <w:u w:val="single"/>
                </w:rPr>
                <w:t>Link to NIST AI RMF Playbook</w:t>
              </w:r>
            </w:hyperlink>
          </w:p>
        </w:tc>
      </w:tr>
    </w:tbl>
    <w:p w14:paraId="04B9B5C8"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37F59F3"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27AAA422"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77520D6E" w14:textId="77777777" w:rsidTr="005C00A5">
        <w:trPr>
          <w:tblHeader/>
        </w:trPr>
        <w:tc>
          <w:tcPr>
            <w:tcW w:w="2160" w:type="dxa"/>
            <w:shd w:val="clear" w:color="auto" w:fill="CCDCDC"/>
            <w:vAlign w:val="center"/>
          </w:tcPr>
          <w:p w14:paraId="5867728F"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13A2B95C"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64ADB6FE"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1A92BE77" w14:textId="77777777" w:rsidTr="005C00A5">
        <w:tc>
          <w:tcPr>
            <w:tcW w:w="2160" w:type="dxa"/>
            <w:shd w:val="clear" w:color="auto" w:fill="CCDCDC"/>
          </w:tcPr>
          <w:p w14:paraId="21DA290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4964B2F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7322A6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4167D277" w14:textId="77777777" w:rsidTr="005C00A5">
        <w:tc>
          <w:tcPr>
            <w:tcW w:w="2160" w:type="dxa"/>
            <w:shd w:val="clear" w:color="auto" w:fill="CCDCDC"/>
          </w:tcPr>
          <w:p w14:paraId="0AA1A26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75E0856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16B033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08D56409" w14:textId="77777777" w:rsidTr="005C00A5">
        <w:tc>
          <w:tcPr>
            <w:tcW w:w="2160" w:type="dxa"/>
            <w:shd w:val="clear" w:color="auto" w:fill="CCDCDC"/>
          </w:tcPr>
          <w:p w14:paraId="4701E58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2ECEBAF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BE7708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2CFDBCD3" w14:textId="77777777" w:rsidTr="005C00A5">
        <w:tc>
          <w:tcPr>
            <w:tcW w:w="2160" w:type="dxa"/>
            <w:shd w:val="clear" w:color="auto" w:fill="CCDCDC"/>
          </w:tcPr>
          <w:p w14:paraId="7D6B5115"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19128C1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79512C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AI risk assessment seamlessly embedded in the risk framework, with advanced methodologies. Prioritization is highly consistent, transparent, and continuously optimized based on data and insights.</w:t>
            </w:r>
          </w:p>
        </w:tc>
      </w:tr>
    </w:tbl>
    <w:p w14:paraId="1D41B968"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42DAC8D3" w14:textId="77777777" w:rsidTr="005C00A5">
        <w:tc>
          <w:tcPr>
            <w:tcW w:w="2250" w:type="dxa"/>
          </w:tcPr>
          <w:p w14:paraId="7D727A9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2BD5A1F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3DB4242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16B1107F" w14:textId="77777777" w:rsidTr="005C00A5">
        <w:tc>
          <w:tcPr>
            <w:tcW w:w="2250" w:type="dxa"/>
          </w:tcPr>
          <w:p w14:paraId="5E57216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4FA8D1E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Unprioritized AI Risks</w:t>
            </w:r>
          </w:p>
        </w:tc>
        <w:tc>
          <w:tcPr>
            <w:tcW w:w="5300" w:type="dxa"/>
          </w:tcPr>
          <w:p w14:paraId="1A890C7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risks are not prioritized within the enterprise risk framework</w:t>
            </w:r>
          </w:p>
        </w:tc>
      </w:tr>
    </w:tbl>
    <w:p w14:paraId="21D29FF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850B48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3B2A966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BD8D4D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Integrate the AI risk assessment into an existing enterprise risk prioritization framework that considers the impact and likelihood of documented AI risks, risk appetite and tolerance, and the availability of resources and risk treatment options. Utilize methodologies such as risk matrices, risk scores, or multi-criteria decision analysis to ensure a consistent and transparent assessment of AI risks.</w:t>
      </w:r>
    </w:p>
    <w:p w14:paraId="7869493D"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7A2B97F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Align the AI risk prioritization process with the organization's overall risk management strategy and objectives. Ensure that the prioritization framework is well-documented, easily understandable, and accessible to relevant stakeholders, promoting transparency and accountability in the risk management process.</w:t>
      </w:r>
    </w:p>
    <w:p w14:paraId="75724488"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BBC193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3A1FCD3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1106AF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AI Risk Assessment Methodology</w:t>
      </w:r>
    </w:p>
    <w:p w14:paraId="1DE4FB4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and implement a standardized methodology for assessing AI risks, incorporating tools like risk matrices or multi-criteria decision analysis to quantify risks based on impact and likelihood.</w:t>
      </w:r>
    </w:p>
    <w:p w14:paraId="7488690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032C92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the risk assessment methodology, including definitions and calculation methods for risk scores.</w:t>
      </w:r>
    </w:p>
    <w:p w14:paraId="275C98B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Examples of completed risk matrices with documented assessments of various AI risks.</w:t>
      </w:r>
    </w:p>
    <w:p w14:paraId="265A93D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summarizing the application of the assessment methodology across different AI systems.</w:t>
      </w:r>
    </w:p>
    <w:p w14:paraId="7BE7961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training sessions conducted for staff on the risk assessment processes and methodologies.</w:t>
      </w:r>
    </w:p>
    <w:p w14:paraId="7E77015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67C78B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Risk Prioritization Framework</w:t>
      </w:r>
    </w:p>
    <w:p w14:paraId="60310C2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framework for prioritizing AI risks based on their assessment outcomes, aligning them with the organization’s risk appetite and resource availability to target the most critical issues first.</w:t>
      </w:r>
    </w:p>
    <w:p w14:paraId="54AB388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7A4C4D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outlining the risk prioritization framework, including criteria for assessing and ranking risks.</w:t>
      </w:r>
    </w:p>
    <w:p w14:paraId="172093F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prioritized risk lists or dashboards reflecting the latest assessments and rankings of AI risks.</w:t>
      </w:r>
    </w:p>
    <w:p w14:paraId="57D87FF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discussing the prioritization of risks, ensuring stakeholder involvement and alignment with organizational goals.</w:t>
      </w:r>
    </w:p>
    <w:p w14:paraId="27B1BA1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plans derived from prioritized risks detailing specific mitigation strategies and responsible parties.</w:t>
      </w:r>
    </w:p>
    <w:p w14:paraId="683BCC6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91D8E6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Resource Allocation for Risk Treatment</w:t>
      </w:r>
    </w:p>
    <w:p w14:paraId="5DEC7FA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processes to allocate resources effectively for addressing prioritized AI risks, ensuring that resource distribution aligns with the organization’s risk tolerance and treatment options.</w:t>
      </w:r>
    </w:p>
    <w:p w14:paraId="54E9DDA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AE9C53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Resource allocation plans that outline funding, personnel, and technology assigned to risk treatments.</w:t>
      </w:r>
    </w:p>
    <w:p w14:paraId="653F652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resource distribution decisions linked to specific prioritized risks.</w:t>
      </w:r>
    </w:p>
    <w:p w14:paraId="4C18A6B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budget reviews that reflect adjustments made in response to risk prioritization outcomes.</w:t>
      </w:r>
    </w:p>
    <w:p w14:paraId="68C1A07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logs of resource utilization following allocations to measure effectiveness against risk management goals.</w:t>
      </w:r>
    </w:p>
    <w:p w14:paraId="6736B09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821F1F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Monitoring and Review of AI Risks</w:t>
      </w:r>
    </w:p>
    <w:p w14:paraId="094B76E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continuous monitoring mechanisms to regularly review AI risks, ensuring that new risks are identified and existing risks are re-evaluated in light of changes to the systems or operational environment.</w:t>
      </w:r>
    </w:p>
    <w:p w14:paraId="2F1D594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3F6DF1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plans detailing the metrics and indicators used for ongoing risk evaluation.</w:t>
      </w:r>
    </w:p>
    <w:p w14:paraId="00D88D0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Regularly updated risk assessment reports documenting changes in risk levels and the effectiveness of treatment measures.</w:t>
      </w:r>
    </w:p>
    <w:p w14:paraId="0EA831E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stakeholders on the effectiveness of risk management approaches, documented in review meetings.</w:t>
      </w:r>
    </w:p>
    <w:p w14:paraId="658FEA6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periodic review sessions that assess the current risk landscape and the prioritization of treatment efforts.</w:t>
      </w:r>
    </w:p>
    <w:p w14:paraId="5D2125B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BB08BA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Risk Assessment Outcomes</w:t>
      </w:r>
    </w:p>
    <w:p w14:paraId="1EE9C1D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comprehensive documentation of AI risk assessments, including the rationale for prioritization outcomes, methodologies used, and any changes made to the risk framework over time.</w:t>
      </w:r>
    </w:p>
    <w:p w14:paraId="08BEE00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DA439F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assessment reports detailing the outcomes of evaluations and justifications for prioritization decisions.</w:t>
      </w:r>
    </w:p>
    <w:p w14:paraId="40517E8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documentation evidencing updates or changes made to the risk prioritization framework.</w:t>
      </w:r>
    </w:p>
    <w:p w14:paraId="116F857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stakeholder feedback related to risk assessments and prioritization outcomes.</w:t>
      </w:r>
    </w:p>
    <w:p w14:paraId="7E5FF53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Logs of lessons learned from previous risk assessments that inform current practices and improve the assessment process.</w:t>
      </w:r>
    </w:p>
    <w:p w14:paraId="424EB6F7"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60CDEAEF"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56BABE6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552808C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4B357716" w14:textId="77777777" w:rsidTr="005C00A5">
        <w:tc>
          <w:tcPr>
            <w:tcW w:w="1170" w:type="dxa"/>
          </w:tcPr>
          <w:p w14:paraId="7BE5A86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347BAAF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075B0E0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46DEFB09" w14:textId="77777777" w:rsidTr="005C00A5">
        <w:tc>
          <w:tcPr>
            <w:tcW w:w="1170" w:type="dxa"/>
          </w:tcPr>
          <w:p w14:paraId="5D26535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MG-1.2.2</w:t>
            </w:r>
          </w:p>
        </w:tc>
        <w:tc>
          <w:tcPr>
            <w:tcW w:w="2160" w:type="dxa"/>
          </w:tcPr>
          <w:p w14:paraId="2258345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Framework Updates and Performance Monitoring</w:t>
            </w:r>
          </w:p>
        </w:tc>
        <w:tc>
          <w:tcPr>
            <w:tcW w:w="6740" w:type="dxa"/>
          </w:tcPr>
          <w:p w14:paraId="2CDC60C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regularly assesses and updates its risk prioritization framework and risk tolerance based on changes in the AI system's performance, the operational environment, or the availability of new risk response methods and resources.</w:t>
            </w:r>
          </w:p>
          <w:p w14:paraId="1D7A2344" w14:textId="77777777" w:rsidR="00963E47" w:rsidRPr="00963E47" w:rsidRDefault="00963E47" w:rsidP="004C3837">
            <w:pPr>
              <w:keepNext/>
              <w:rPr>
                <w:rFonts w:ascii="Aptos" w:hAnsi="Aptos" w:cs="Times New Roman"/>
                <w:b/>
                <w:bCs/>
                <w:color w:val="000000"/>
                <w:sz w:val="20"/>
                <w:szCs w:val="20"/>
              </w:rPr>
            </w:pPr>
          </w:p>
          <w:p w14:paraId="71A7A12C" w14:textId="77777777" w:rsidR="00963E47" w:rsidRPr="00963E47" w:rsidRDefault="00963E47" w:rsidP="004C3837">
            <w:pPr>
              <w:keepNext/>
              <w:rPr>
                <w:rFonts w:ascii="Aptos" w:hAnsi="Aptos" w:cs="Times New Roman"/>
                <w:b/>
                <w:bCs/>
                <w:color w:val="000000"/>
                <w:sz w:val="20"/>
                <w:szCs w:val="20"/>
              </w:rPr>
            </w:pPr>
            <w:hyperlink r:id="rId204" w:anchor="manage-1-2" w:history="1">
              <w:r w:rsidRPr="00963E47">
                <w:rPr>
                  <w:rFonts w:ascii="Aptos" w:hAnsi="Aptos" w:cs="Times New Roman"/>
                  <w:color w:val="000000"/>
                  <w:sz w:val="20"/>
                  <w:szCs w:val="20"/>
                  <w:u w:val="single"/>
                </w:rPr>
                <w:t>Link to NIST AI RMF Playbook</w:t>
              </w:r>
            </w:hyperlink>
          </w:p>
        </w:tc>
      </w:tr>
    </w:tbl>
    <w:p w14:paraId="73517164"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6780377"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1529A2B5"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78D60B18" w14:textId="77777777" w:rsidTr="005C00A5">
        <w:trPr>
          <w:tblHeader/>
        </w:trPr>
        <w:tc>
          <w:tcPr>
            <w:tcW w:w="2160" w:type="dxa"/>
            <w:shd w:val="clear" w:color="auto" w:fill="CCDCDC"/>
            <w:vAlign w:val="center"/>
          </w:tcPr>
          <w:p w14:paraId="7953AF40"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1A771E9E"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66DE4A52"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521681F8" w14:textId="77777777" w:rsidTr="005C00A5">
        <w:tc>
          <w:tcPr>
            <w:tcW w:w="2160" w:type="dxa"/>
            <w:shd w:val="clear" w:color="auto" w:fill="CCDCDC"/>
          </w:tcPr>
          <w:p w14:paraId="467499B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023A076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0739DE6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DAFAA96" w14:textId="77777777" w:rsidTr="005C00A5">
        <w:tc>
          <w:tcPr>
            <w:tcW w:w="2160" w:type="dxa"/>
            <w:shd w:val="clear" w:color="auto" w:fill="CCDCDC"/>
          </w:tcPr>
          <w:p w14:paraId="4484E26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38EF23E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941002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2E7026CD" w14:textId="77777777" w:rsidTr="005C00A5">
        <w:tc>
          <w:tcPr>
            <w:tcW w:w="2160" w:type="dxa"/>
            <w:shd w:val="clear" w:color="auto" w:fill="CCDCDC"/>
          </w:tcPr>
          <w:p w14:paraId="3730353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4F75D74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6D0419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4C8089B2" w14:textId="77777777" w:rsidTr="005C00A5">
        <w:tc>
          <w:tcPr>
            <w:tcW w:w="2160" w:type="dxa"/>
            <w:shd w:val="clear" w:color="auto" w:fill="CCDCDC"/>
          </w:tcPr>
          <w:p w14:paraId="1F8D591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0CA0BB2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D38863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dynamically adjust risk prioritization and tolerance in real-time based on continuous monitoring of AI system performance, environment, and emerging risk management best practices.</w:t>
            </w:r>
          </w:p>
        </w:tc>
      </w:tr>
    </w:tbl>
    <w:p w14:paraId="7A2F5C95"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74BE7DEC" w14:textId="77777777" w:rsidTr="005C00A5">
        <w:tc>
          <w:tcPr>
            <w:tcW w:w="2250" w:type="dxa"/>
          </w:tcPr>
          <w:p w14:paraId="05FFC80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40AA616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6366AB1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353D42C5" w14:textId="77777777" w:rsidTr="005C00A5">
        <w:tc>
          <w:tcPr>
            <w:tcW w:w="2250" w:type="dxa"/>
          </w:tcPr>
          <w:p w14:paraId="4AF1CE8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398C09C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Outdated Framework &amp; Tolerances</w:t>
            </w:r>
          </w:p>
        </w:tc>
        <w:tc>
          <w:tcPr>
            <w:tcW w:w="5300" w:type="dxa"/>
          </w:tcPr>
          <w:p w14:paraId="4C60B64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Framework and risk tolerances aren't updated to reflect changes in system performance</w:t>
            </w:r>
          </w:p>
        </w:tc>
      </w:tr>
    </w:tbl>
    <w:p w14:paraId="0A3740E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4C1C6B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18F2454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158C85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Regularly assess and update the risk prioritization framework and risk tolerance based on changes in the AI system's performance, the operational environment, or the availability of new risk response methods and resources. Establish a process for monitoring and reviewing these factors on an ongoing basis.</w:t>
      </w:r>
    </w:p>
    <w:p w14:paraId="660A0AF1"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2A52A3E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Assign responsibility for maintaining and updating the risk prioritization framework to a designated team or individual, such as a risk manager or AI governance committee. Ensure that this team has the necessary skills, resources, and authority to effectively carry out their responsibilities and implement changes to the framework as needed.</w:t>
      </w:r>
    </w:p>
    <w:p w14:paraId="3F65D0E5"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00BB91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1CC836F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7F08CF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Framework Assessment Procedure</w:t>
      </w:r>
    </w:p>
    <w:p w14:paraId="725DFD7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standardized procedure for regularly assessing the risk prioritization framework and risk tolerance, ensuring it reflects current system performance and operational conditions.</w:t>
      </w:r>
    </w:p>
    <w:p w14:paraId="1AD258A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29F2FE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the assessment procedure, including methods and criteria used for evaluation.</w:t>
      </w:r>
    </w:p>
    <w:p w14:paraId="7FFE27E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assessment schedules outlining when framework reviews are conducted.</w:t>
      </w:r>
    </w:p>
    <w:p w14:paraId="544CD6F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or reports summarizing discussions and findings from framework assessments.</w:t>
      </w:r>
    </w:p>
    <w:p w14:paraId="22DF1DF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stakeholders involved in the assessment process, documenting their contributions and insights.</w:t>
      </w:r>
    </w:p>
    <w:p w14:paraId="648E5A7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4313BC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Performance Data Integration</w:t>
      </w:r>
    </w:p>
    <w:p w14:paraId="2FCE419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mechanisms for continuous monitoring of AI system performance data to inform updates to the risk prioritization framework and risk tolerance levels.</w:t>
      </w:r>
    </w:p>
    <w:p w14:paraId="16B8107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E5C2BF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Dashboards displaying real-time performance metrics relevant to risk assessment.</w:t>
      </w:r>
    </w:p>
    <w:p w14:paraId="210FD6A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Regular performance reports linking observed data trends to specific risks and mitigation strategies.</w:t>
      </w:r>
    </w:p>
    <w:p w14:paraId="77A9E34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Logs of alerts generated from performance monitoring that indicate deviations requiring review.</w:t>
      </w:r>
    </w:p>
    <w:p w14:paraId="4B80561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discussions on performance data influences on risk frameworks and priorities.</w:t>
      </w:r>
    </w:p>
    <w:p w14:paraId="15734E4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38DD94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Review of Risk Response Methods</w:t>
      </w:r>
    </w:p>
    <w:p w14:paraId="73D60F9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reviews of available risk response methods and resources to ensure that the risk prioritization framework is aligned with the latest options and tools.</w:t>
      </w:r>
    </w:p>
    <w:p w14:paraId="76215C5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8E1385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summarizing evaluations of new risk response methods considered for integration into the framework.</w:t>
      </w:r>
    </w:p>
    <w:p w14:paraId="733A883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consultations with subject matter experts regarding the suitability of new tools and resources.</w:t>
      </w:r>
    </w:p>
    <w:p w14:paraId="27888B8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changes made to the risk response strategies based on the review outcomes.</w:t>
      </w:r>
    </w:p>
    <w:p w14:paraId="3C5CD8D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materials or workshops conducted to inform personnel about new methods integrated into the framework.</w:t>
      </w:r>
    </w:p>
    <w:p w14:paraId="50F85992"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291143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Risk Tolerance Evaluation</w:t>
      </w:r>
    </w:p>
    <w:p w14:paraId="72C1B4E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Periodically evaluate the organization’s risk tolerance levels to ensure they align with current strategic objectives, stakeholder expectations, and operational realities.</w:t>
      </w:r>
    </w:p>
    <w:p w14:paraId="0C461F3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9277ED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risk tolerance statements detailing thresholds and criteria for risk acceptance.</w:t>
      </w:r>
    </w:p>
    <w:p w14:paraId="7B3977A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discussions and decisions made during evaluations of risk tolerance levels.</w:t>
      </w:r>
    </w:p>
    <w:p w14:paraId="66B076E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Analysis reports comparing current risk tolerance against evolving organizational strategies and the external environment.</w:t>
      </w:r>
    </w:p>
    <w:p w14:paraId="1ACEFE3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forms from stakeholders assessing the perceived adequacy of current risk tolerance levels.</w:t>
      </w:r>
    </w:p>
    <w:p w14:paraId="11FAA26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735F66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Improvement Documentation</w:t>
      </w:r>
    </w:p>
    <w:p w14:paraId="4C3AC03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 changes made to the risk prioritization framework and risk tolerance, including rationale, stakeholder input, and the expected impact of these updates.</w:t>
      </w:r>
    </w:p>
    <w:p w14:paraId="04EC959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333574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showing the history of updates to the risk framework and rationale behind modifications.</w:t>
      </w:r>
    </w:p>
    <w:p w14:paraId="63A8636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detailing stakeholder feedback received during the review process and how it influenced decisions.</w:t>
      </w:r>
    </w:p>
    <w:p w14:paraId="4DFA8F7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performance metrics linked to adjustments made in the risk management practices.</w:t>
      </w:r>
    </w:p>
    <w:p w14:paraId="205E63F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summarizing discussions on continuous improvement efforts related to the framework updates.</w:t>
      </w:r>
    </w:p>
    <w:p w14:paraId="602D696C"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70" w:name="_Toc214874815"/>
      <w:r w:rsidRPr="00963E47">
        <w:rPr>
          <w:rFonts w:ascii="Aptos" w:eastAsia="Aptos" w:hAnsi="Aptos" w:cs="Times New Roman"/>
          <w:b/>
          <w:bCs/>
          <w:noProof/>
          <w:color w:val="35256B"/>
          <w:kern w:val="2"/>
          <w:sz w:val="24"/>
          <w14:ligatures w14:val="standardContextual"/>
        </w:rPr>
        <w:t>MANAGE / Prioritizing and Responding to Risks / Responding to High-Priority Risks</w:t>
      </w:r>
      <w:bookmarkEnd w:id="70"/>
      <w:r w:rsidRPr="00963E47">
        <w:rPr>
          <w:rFonts w:ascii="Aptos" w:eastAsia="Aptos" w:hAnsi="Aptos" w:cs="Times New Roman"/>
          <w:b/>
          <w:bCs/>
          <w:noProof/>
          <w:color w:val="35256B"/>
          <w:kern w:val="2"/>
          <w:sz w:val="24"/>
          <w14:ligatures w14:val="standardContextual"/>
        </w:rPr>
        <w:t xml:space="preserve"> </w:t>
      </w:r>
    </w:p>
    <w:p w14:paraId="49322FA6"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255ABDD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2532707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43BBBB58" w14:textId="77777777" w:rsidTr="005C00A5">
        <w:tc>
          <w:tcPr>
            <w:tcW w:w="1170" w:type="dxa"/>
          </w:tcPr>
          <w:p w14:paraId="1B128E3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31E73BF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0EF40DA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5731DBB7" w14:textId="77777777" w:rsidTr="005C00A5">
        <w:tc>
          <w:tcPr>
            <w:tcW w:w="1170" w:type="dxa"/>
          </w:tcPr>
          <w:p w14:paraId="140F015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MG-1.3.1</w:t>
            </w:r>
          </w:p>
        </w:tc>
        <w:tc>
          <w:tcPr>
            <w:tcW w:w="2160" w:type="dxa"/>
          </w:tcPr>
          <w:p w14:paraId="1EB3A02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Risk Response Strategy and Options</w:t>
            </w:r>
          </w:p>
        </w:tc>
        <w:tc>
          <w:tcPr>
            <w:tcW w:w="6740" w:type="dxa"/>
          </w:tcPr>
          <w:p w14:paraId="6C12E1E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responds to high-priority AI risks, considering options such as risk mitigation, transfer, avoidance, or acceptance. These strategies align with risk management policies, risk tolerance, and relevant industry standards.</w:t>
            </w:r>
          </w:p>
          <w:p w14:paraId="2B7286C3" w14:textId="77777777" w:rsidR="00963E47" w:rsidRPr="00963E47" w:rsidRDefault="00963E47" w:rsidP="004C3837">
            <w:pPr>
              <w:keepNext/>
              <w:rPr>
                <w:rFonts w:ascii="Aptos" w:hAnsi="Aptos" w:cs="Times New Roman"/>
                <w:b/>
                <w:bCs/>
                <w:color w:val="000000"/>
                <w:sz w:val="20"/>
                <w:szCs w:val="20"/>
              </w:rPr>
            </w:pPr>
          </w:p>
          <w:p w14:paraId="63A8A0E8" w14:textId="77777777" w:rsidR="00963E47" w:rsidRPr="00963E47" w:rsidRDefault="00963E47" w:rsidP="004C3837">
            <w:pPr>
              <w:keepNext/>
              <w:rPr>
                <w:rFonts w:ascii="Aptos" w:hAnsi="Aptos" w:cs="Times New Roman"/>
                <w:b/>
                <w:bCs/>
                <w:color w:val="000000"/>
                <w:sz w:val="20"/>
                <w:szCs w:val="20"/>
              </w:rPr>
            </w:pPr>
            <w:hyperlink r:id="rId205" w:anchor="manage-1-3" w:history="1">
              <w:r w:rsidRPr="00963E47">
                <w:rPr>
                  <w:rFonts w:ascii="Aptos" w:hAnsi="Aptos" w:cs="Times New Roman"/>
                  <w:color w:val="000000"/>
                  <w:sz w:val="20"/>
                  <w:szCs w:val="20"/>
                  <w:u w:val="single"/>
                </w:rPr>
                <w:t>Link to NIST AI RMF Playbook</w:t>
              </w:r>
            </w:hyperlink>
          </w:p>
        </w:tc>
      </w:tr>
    </w:tbl>
    <w:p w14:paraId="2EC6E9DA"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0061907"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lastRenderedPageBreak/>
        <w:t>Adoption Stage Applicability:</w:t>
      </w:r>
      <w:r w:rsidRPr="00963E47">
        <w:rPr>
          <w:rFonts w:ascii="Aptos" w:eastAsia="Aptos" w:hAnsi="Aptos" w:cs="Times New Roman"/>
          <w:color w:val="C00000"/>
          <w:kern w:val="2"/>
          <w:sz w:val="20"/>
          <w:szCs w:val="20"/>
          <w14:ligatures w14:val="standardContextual"/>
        </w:rPr>
        <w:t xml:space="preserve"> </w:t>
      </w:r>
    </w:p>
    <w:p w14:paraId="24FAEA4D"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32602793" w14:textId="77777777" w:rsidTr="005C00A5">
        <w:trPr>
          <w:tblHeader/>
        </w:trPr>
        <w:tc>
          <w:tcPr>
            <w:tcW w:w="2160" w:type="dxa"/>
            <w:shd w:val="clear" w:color="auto" w:fill="CCDCDC"/>
            <w:vAlign w:val="center"/>
          </w:tcPr>
          <w:p w14:paraId="48FB4DC2"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6BE2F7BF"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7D474648"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079F335C" w14:textId="77777777" w:rsidTr="005C00A5">
        <w:tc>
          <w:tcPr>
            <w:tcW w:w="2160" w:type="dxa"/>
            <w:shd w:val="clear" w:color="auto" w:fill="CCDCDC"/>
          </w:tcPr>
          <w:p w14:paraId="2DDB102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4806F17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D6A71D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01DE7C1C" w14:textId="77777777" w:rsidTr="005C00A5">
        <w:tc>
          <w:tcPr>
            <w:tcW w:w="2160" w:type="dxa"/>
            <w:shd w:val="clear" w:color="auto" w:fill="CCDCDC"/>
          </w:tcPr>
          <w:p w14:paraId="0181FE8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730D698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496A25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4C3AB54D" w14:textId="77777777" w:rsidTr="005C00A5">
        <w:tc>
          <w:tcPr>
            <w:tcW w:w="2160" w:type="dxa"/>
            <w:shd w:val="clear" w:color="auto" w:fill="CCDCDC"/>
          </w:tcPr>
          <w:p w14:paraId="4F4C00D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31C9C4B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48CE50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0BCDACB2" w14:textId="77777777" w:rsidTr="005C00A5">
        <w:tc>
          <w:tcPr>
            <w:tcW w:w="2160" w:type="dxa"/>
            <w:shd w:val="clear" w:color="auto" w:fill="CCDCDC"/>
          </w:tcPr>
          <w:p w14:paraId="034A259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4E8FCFF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E29271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continuously refine and optimize robust, proactive risk response strategies based on real-time data and insights. Seamless alignment with policies, risk tolerance, and industry best practices is maintained.</w:t>
            </w:r>
          </w:p>
        </w:tc>
      </w:tr>
    </w:tbl>
    <w:p w14:paraId="6C66EE92"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57EF78DC" w14:textId="77777777" w:rsidTr="005C00A5">
        <w:tc>
          <w:tcPr>
            <w:tcW w:w="2250" w:type="dxa"/>
          </w:tcPr>
          <w:p w14:paraId="43DB42F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4DA3BA3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1D2CBA3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32426955" w14:textId="77777777" w:rsidTr="005C00A5">
        <w:tc>
          <w:tcPr>
            <w:tcW w:w="2250" w:type="dxa"/>
          </w:tcPr>
          <w:p w14:paraId="18FC7D5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29606DC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Inappropriate Risk Response</w:t>
            </w:r>
          </w:p>
        </w:tc>
        <w:tc>
          <w:tcPr>
            <w:tcW w:w="5300" w:type="dxa"/>
          </w:tcPr>
          <w:p w14:paraId="735F837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High-priority AI risks are not responded to with the appropriate risk strategy</w:t>
            </w:r>
          </w:p>
        </w:tc>
      </w:tr>
    </w:tbl>
    <w:p w14:paraId="38CFAF4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28428F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73251E7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20FA48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Respond strategically to high-priority AI risks, considering options such as risk mitigation, transfer, avoidance, or acceptance. Ensure that these strategies align with the organization's risk management policies, risk tolerance, and relevant industry standards.</w:t>
      </w:r>
    </w:p>
    <w:p w14:paraId="5D27F0D0"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604E3BB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Create a standardized template for documenting risk response strategies, including sections for describing the risk, its potential impact, the selected response option, and the rationale behind the decision. Regularly review and update these strategies as the AI system and its operating environment evolve.</w:t>
      </w:r>
    </w:p>
    <w:p w14:paraId="3454F73A"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A9D449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3E5C0FA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CD103C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Risk Response Strategy Development</w:t>
      </w:r>
    </w:p>
    <w:p w14:paraId="298AFD8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 structured process for evaluating and selecting appropriate risk response strategies for high-priority AI risks, considering options like mitigation, transfer, avoidance, or acceptance.</w:t>
      </w:r>
    </w:p>
    <w:p w14:paraId="542BFC6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67FD52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the risk response strategy framework, outlining criteria and processes for decision-making.</w:t>
      </w:r>
    </w:p>
    <w:p w14:paraId="61207D0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risk assessment meetings where response strategies are discussed and evaluated.</w:t>
      </w:r>
    </w:p>
    <w:p w14:paraId="3668484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Written rationale for selecting specific risk response options based on identified risks and organizational context.</w:t>
      </w:r>
    </w:p>
    <w:p w14:paraId="59AADA5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plans detailing the implementation of chosen risk response strategies.</w:t>
      </w:r>
    </w:p>
    <w:p w14:paraId="0A86F4B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666609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Alignment with Risk Management Policies</w:t>
      </w:r>
    </w:p>
    <w:p w14:paraId="5094CB2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Ensure that all risk response strategies align with the organization’s overall risk management policies, risk tolerance levels, and relevant industry standards.</w:t>
      </w:r>
    </w:p>
    <w:p w14:paraId="7742CE3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8EE0A8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Policy documents that outline the organization’s risk management framework and principles.</w:t>
      </w:r>
    </w:p>
    <w:p w14:paraId="3F16519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Compliance checklists confirming alignment of risk response strategies with established policies and industry regulations.</w:t>
      </w:r>
    </w:p>
    <w:p w14:paraId="56447C9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internal audits assessing the consistency of risk response strategies with organizational policies.</w:t>
      </w:r>
    </w:p>
    <w:p w14:paraId="1C6DC22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compliance reviews indicating the adequacy of alignment with risk management practices.</w:t>
      </w:r>
    </w:p>
    <w:p w14:paraId="39BDCBE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143205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Risk Mitigation Implementation</w:t>
      </w:r>
    </w:p>
    <w:p w14:paraId="473BE2B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identified risk mitigation actions for high-priority AI risks and document their effectiveness in reducing potential adverse impacts.</w:t>
      </w:r>
    </w:p>
    <w:p w14:paraId="5F75B37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4173ABE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logs tracking the implementation of risk mitigation strategies, including timelines and responsible parties.</w:t>
      </w:r>
    </w:p>
    <w:p w14:paraId="0D96D9E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Performance reports demonstrating the impact of implemented mitigation measures on AI system safety or effectiveness.</w:t>
      </w:r>
    </w:p>
    <w:p w14:paraId="6F31EE4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reports showing reductions in risks following the application of mitigation strategies.</w:t>
      </w:r>
    </w:p>
    <w:p w14:paraId="698EC33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feedback on the effectiveness of mitigation actions taken regarding specific AI risks.</w:t>
      </w:r>
    </w:p>
    <w:p w14:paraId="24E4732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B221B9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Risk Transfer and Acceptance Records</w:t>
      </w:r>
    </w:p>
    <w:p w14:paraId="168894A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 decisions related to risk transfer (e.g., insurance) and acceptance, detailing the rationale and implications of these choices on overall risk management.</w:t>
      </w:r>
    </w:p>
    <w:p w14:paraId="10BC3BD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0515BA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agreements with third parties for risk transfer options, such as insurance policies.</w:t>
      </w:r>
    </w:p>
    <w:p w14:paraId="6C363C1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risk acceptance decisions, including evaluation criteria and risk tolerance considerations.</w:t>
      </w:r>
    </w:p>
    <w:p w14:paraId="77ABDBB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outlining the implications of risk acceptance on operational objectives and risk management strategies.</w:t>
      </w:r>
    </w:p>
    <w:p w14:paraId="1719503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communications regarding the organization’s decisions about risk transfer and acceptance.</w:t>
      </w:r>
    </w:p>
    <w:p w14:paraId="4126A87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318D0D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Review and Update of Risk Response Strategies</w:t>
      </w:r>
    </w:p>
    <w:p w14:paraId="6A0FACA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review and update risk response strategies to ensure they remain effective and aligned with changing organizational priorities and emerging industry practices.</w:t>
      </w:r>
    </w:p>
    <w:p w14:paraId="765E7A0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17B36D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Scheduled review reports summarizing the effectiveness of risk response strategies over time.</w:t>
      </w:r>
    </w:p>
    <w:p w14:paraId="0EF435E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changes made to risk response strategies based on reviews and assessments.</w:t>
      </w:r>
    </w:p>
    <w:p w14:paraId="49C5415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from discussions on the adequacy of current strategies and potential updates needed.</w:t>
      </w:r>
    </w:p>
    <w:p w14:paraId="2F68F06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stakeholder input during the review process, highlighting collective assessments of response strategies.</w:t>
      </w:r>
    </w:p>
    <w:p w14:paraId="67DAE5DF"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53B18908"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5CE2DCC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063BEB0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0EEAD214" w14:textId="77777777" w:rsidTr="005C00A5">
        <w:tc>
          <w:tcPr>
            <w:tcW w:w="1170" w:type="dxa"/>
          </w:tcPr>
          <w:p w14:paraId="43B50CC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13B79A2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05A10FE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58C0D298" w14:textId="77777777" w:rsidTr="005C00A5">
        <w:tc>
          <w:tcPr>
            <w:tcW w:w="1170" w:type="dxa"/>
          </w:tcPr>
          <w:p w14:paraId="618A0A9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MG-1.3.2</w:t>
            </w:r>
          </w:p>
        </w:tc>
        <w:tc>
          <w:tcPr>
            <w:tcW w:w="2160" w:type="dxa"/>
          </w:tcPr>
          <w:p w14:paraId="07C59EC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Responsibility and Decision Criteria</w:t>
            </w:r>
          </w:p>
        </w:tc>
        <w:tc>
          <w:tcPr>
            <w:tcW w:w="6740" w:type="dxa"/>
          </w:tcPr>
          <w:p w14:paraId="4368C9D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assigns responsibility to a designated person, group, or role with decision-making authority to establish and document clear criteria for selecting the appropriate risk response option for each high-priority AI risk. The criteria should consider potential impact, risk appetite and tolerance, and the feasibility and effectiveness of available risk response methods. Agreed upon risk responses are tracked and monitored to closure.</w:t>
            </w:r>
          </w:p>
          <w:p w14:paraId="261390D3" w14:textId="77777777" w:rsidR="00963E47" w:rsidRPr="00963E47" w:rsidRDefault="00963E47" w:rsidP="004C3837">
            <w:pPr>
              <w:keepNext/>
              <w:rPr>
                <w:rFonts w:ascii="Aptos" w:hAnsi="Aptos" w:cs="Times New Roman"/>
                <w:b/>
                <w:bCs/>
                <w:color w:val="000000"/>
                <w:sz w:val="20"/>
                <w:szCs w:val="20"/>
              </w:rPr>
            </w:pPr>
          </w:p>
          <w:p w14:paraId="57A7BB14" w14:textId="77777777" w:rsidR="00963E47" w:rsidRPr="00963E47" w:rsidRDefault="00963E47" w:rsidP="004C3837">
            <w:pPr>
              <w:keepNext/>
              <w:rPr>
                <w:rFonts w:ascii="Aptos" w:hAnsi="Aptos" w:cs="Times New Roman"/>
                <w:b/>
                <w:bCs/>
                <w:color w:val="000000"/>
                <w:sz w:val="20"/>
                <w:szCs w:val="20"/>
              </w:rPr>
            </w:pPr>
            <w:hyperlink r:id="rId206" w:anchor="manage-1-3" w:history="1">
              <w:r w:rsidRPr="00963E47">
                <w:rPr>
                  <w:rFonts w:ascii="Aptos" w:hAnsi="Aptos" w:cs="Times New Roman"/>
                  <w:color w:val="000000"/>
                  <w:sz w:val="20"/>
                  <w:szCs w:val="20"/>
                  <w:u w:val="single"/>
                </w:rPr>
                <w:t>Link to NIST AI RMF Playbook</w:t>
              </w:r>
            </w:hyperlink>
          </w:p>
        </w:tc>
      </w:tr>
    </w:tbl>
    <w:p w14:paraId="785BF35F"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A9481C3"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2E431897"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1680A581" w14:textId="77777777" w:rsidTr="005C00A5">
        <w:trPr>
          <w:tblHeader/>
        </w:trPr>
        <w:tc>
          <w:tcPr>
            <w:tcW w:w="2160" w:type="dxa"/>
            <w:shd w:val="clear" w:color="auto" w:fill="CCDCDC"/>
            <w:vAlign w:val="center"/>
          </w:tcPr>
          <w:p w14:paraId="5F133158"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7E58EAA9"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342F529A"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2DAEF2C3" w14:textId="77777777" w:rsidTr="005C00A5">
        <w:tc>
          <w:tcPr>
            <w:tcW w:w="2160" w:type="dxa"/>
            <w:shd w:val="clear" w:color="auto" w:fill="CCDCDC"/>
          </w:tcPr>
          <w:p w14:paraId="605A0B3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796E515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834690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3365EB2A" w14:textId="77777777" w:rsidTr="005C00A5">
        <w:tc>
          <w:tcPr>
            <w:tcW w:w="2160" w:type="dxa"/>
            <w:shd w:val="clear" w:color="auto" w:fill="CCDCDC"/>
          </w:tcPr>
          <w:p w14:paraId="2BA3F0E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4B5E253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5C576A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390CDCF5" w14:textId="77777777" w:rsidTr="005C00A5">
        <w:tc>
          <w:tcPr>
            <w:tcW w:w="2160" w:type="dxa"/>
            <w:shd w:val="clear" w:color="auto" w:fill="CCDCDC"/>
          </w:tcPr>
          <w:p w14:paraId="67FB85E5"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374C81A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0D16A6E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have designated roles that establish and document clear, comprehensive criteria for selecting risk response options, consistently considering impact, risk appetite, and feasibility.</w:t>
            </w:r>
          </w:p>
        </w:tc>
      </w:tr>
      <w:tr w:rsidR="00963E47" w:rsidRPr="00963E47" w14:paraId="164DF09D" w14:textId="77777777" w:rsidTr="005C00A5">
        <w:tc>
          <w:tcPr>
            <w:tcW w:w="2160" w:type="dxa"/>
            <w:shd w:val="clear" w:color="auto" w:fill="CCDCDC"/>
          </w:tcPr>
          <w:p w14:paraId="3D8566F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41CBE1E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5A6426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Organizations at the embedded stage have responsibility for criteria embedded in governance structures. Criteria are continuously refined </w:t>
            </w:r>
            <w:r w:rsidRPr="00963E47">
              <w:rPr>
                <w:rFonts w:ascii="Aptos" w:hAnsi="Aptos" w:cs="Times New Roman"/>
                <w:noProof/>
                <w:color w:val="auto"/>
                <w:sz w:val="20"/>
                <w:szCs w:val="20"/>
              </w:rPr>
              <w:lastRenderedPageBreak/>
              <w:t>based on data and stakeholder input, ensuring optimal risk response selection.</w:t>
            </w:r>
          </w:p>
        </w:tc>
      </w:tr>
    </w:tbl>
    <w:p w14:paraId="47147B4B"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05794B2D" w14:textId="77777777" w:rsidTr="005C00A5">
        <w:tc>
          <w:tcPr>
            <w:tcW w:w="2250" w:type="dxa"/>
          </w:tcPr>
          <w:p w14:paraId="77CAD84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3BD88C3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7D88D5A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59FA9E6E" w14:textId="77777777" w:rsidTr="005C00A5">
        <w:tc>
          <w:tcPr>
            <w:tcW w:w="2250" w:type="dxa"/>
          </w:tcPr>
          <w:p w14:paraId="1945B93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22DF51D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Lack of Decision Authority Criteria</w:t>
            </w:r>
          </w:p>
        </w:tc>
        <w:tc>
          <w:tcPr>
            <w:tcW w:w="5300" w:type="dxa"/>
          </w:tcPr>
          <w:p w14:paraId="6C537D4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Decision authority lacks clear criteria for selecting risk responses</w:t>
            </w:r>
          </w:p>
        </w:tc>
      </w:tr>
    </w:tbl>
    <w:p w14:paraId="7E9CC94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FE2E1D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1DFFCE4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99A32D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Assign responsibility to a designated person, group, or role with decision-making authority to establish and document clear criteria for selecting the appropriate risk response option for each high-priority AI risk. The criteria should consider potential impact, risk appetite and tolerance, and the feasibility and effectiveness of available risk response methods.</w:t>
      </w:r>
    </w:p>
    <w:p w14:paraId="2B9D5E43"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4F36096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Ensure that the designated individual or team has the necessary expertise, resources, and authority to make informed decisions about risk response options. Regularly review and update the criteria for selecting risk response options to ensure they remain relevant and effective.</w:t>
      </w:r>
    </w:p>
    <w:p w14:paraId="671499AD"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C585E1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051E3C7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402B68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Assignment of Risk Responsibility</w:t>
      </w:r>
    </w:p>
    <w:p w14:paraId="27228C8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Clearly assign responsibility for risk management decisions to a designated person, group, or role, ensuring accountability for selecting appropriate risk response options for each high-priority AI risk.</w:t>
      </w:r>
    </w:p>
    <w:p w14:paraId="7375E53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CE673F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outlining the roles and responsibilities of individuals or teams involved in risk decision-making.</w:t>
      </w:r>
    </w:p>
    <w:p w14:paraId="7FFB018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meetings where responsibilities were assigned and agreed upon regarding risk management.</w:t>
      </w:r>
    </w:p>
    <w:p w14:paraId="5B76601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Organizational charts reflecting designated roles related to AI risk management.</w:t>
      </w:r>
    </w:p>
    <w:p w14:paraId="67527B9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Accountability matrices that link specific risks to responsible individuals or groups.</w:t>
      </w:r>
    </w:p>
    <w:p w14:paraId="625B88F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CA298B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Decision-Making Criteria</w:t>
      </w:r>
    </w:p>
    <w:p w14:paraId="34CA742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and document clear criteria for selecting the appropriate risk response option for high-priority AI risks, considering impact, risk appetite, tolerance, and feasibility.</w:t>
      </w:r>
    </w:p>
    <w:p w14:paraId="55D7192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7EC688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Written criteria documents outlining the parameters for decision-making in risk response options.</w:t>
      </w:r>
    </w:p>
    <w:p w14:paraId="0372AC7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Sample risk assessments showing how the established criteria were applied to specific high-priority risks.</w:t>
      </w:r>
    </w:p>
    <w:p w14:paraId="614FAF5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stakeholder discussions regarding the formulation of decision-making criteria.</w:t>
      </w:r>
    </w:p>
    <w:p w14:paraId="49059EF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Flowcharts or decision trees illustrating the process of determining risk responses based on established criteria.</w:t>
      </w:r>
    </w:p>
    <w:p w14:paraId="77AFB90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B5A18D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Tracking Risk Response Decisions</w:t>
      </w:r>
    </w:p>
    <w:p w14:paraId="3A7794B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Track and monitor agreed-upon risk responses to ensure implementation and resolution of high-priority risks, documenting the status and outcomes of each action taken.</w:t>
      </w:r>
    </w:p>
    <w:p w14:paraId="1892366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C3E178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response action logs detailing agreed-upon actions, responsible parties, and completion status.</w:t>
      </w:r>
    </w:p>
    <w:p w14:paraId="3518CD5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Progress reports summarizing the implementation of risk responses and any challenges encountered.</w:t>
      </w:r>
    </w:p>
    <w:p w14:paraId="138B3B4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Closure documents for each risk response, indicating successful resolution and any lessons learned.</w:t>
      </w:r>
    </w:p>
    <w:p w14:paraId="5F6E127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Regularly updated dashboards displaying the status of risk responses and pending actions.</w:t>
      </w:r>
    </w:p>
    <w:p w14:paraId="1CC7733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A9BD4DB"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Review of Effectiveness and Outcomes</w:t>
      </w:r>
    </w:p>
    <w:p w14:paraId="3741A12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regular reviews of the effectiveness of implemented risk responses against the established criteria, ensuring continuous alignment with organizational goals and risk management practices.</w:t>
      </w:r>
    </w:p>
    <w:p w14:paraId="6BD0864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9BCFAB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review meetings where the effectiveness of risk responses is assessed.</w:t>
      </w:r>
    </w:p>
    <w:p w14:paraId="21EBD22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Evaluation reports detailing successes and areas for improvement in implemented risk responses.</w:t>
      </w:r>
    </w:p>
    <w:p w14:paraId="6EE992B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feedback forms assessing the perceived effectiveness of risk mitigation efforts.</w:t>
      </w:r>
    </w:p>
    <w:p w14:paraId="11AF001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adjustments made to risk response strategies based on review outcomes.</w:t>
      </w:r>
    </w:p>
    <w:p w14:paraId="01A3BC2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1756AA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Risk Response Rationale</w:t>
      </w:r>
    </w:p>
    <w:p w14:paraId="108842C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 the rationale for selected risk response options, including considerations of potential impact, risk appetite, feasibility, and effectiveness, to ensure transparency and accountability in decision-making.</w:t>
      </w:r>
    </w:p>
    <w:p w14:paraId="5676E30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9EFA7F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Decision rationale reports providing justifications for chosen risk responses for high-priority risks.</w:t>
      </w:r>
    </w:p>
    <w:p w14:paraId="6A0AB36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risk analysis that demonstrate the application of established criteria in decision-making.</w:t>
      </w:r>
    </w:p>
    <w:p w14:paraId="37912AA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documenting discussions around rationale and decision processes for risk responses.</w:t>
      </w:r>
    </w:p>
    <w:p w14:paraId="571DC69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trails showing how decisions were made and the evidence supporting those decisions, ensuring traceability.</w:t>
      </w:r>
    </w:p>
    <w:p w14:paraId="2C57A595"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71" w:name="_Toc214874816"/>
      <w:r w:rsidRPr="00963E47">
        <w:rPr>
          <w:rFonts w:ascii="Aptos" w:eastAsia="Aptos" w:hAnsi="Aptos" w:cs="Times New Roman"/>
          <w:b/>
          <w:bCs/>
          <w:noProof/>
          <w:color w:val="35256B"/>
          <w:kern w:val="2"/>
          <w:sz w:val="24"/>
          <w14:ligatures w14:val="standardContextual"/>
        </w:rPr>
        <w:t>MANAGE / Prioritizing and Responding to Risks / Managing Residual Risk</w:t>
      </w:r>
      <w:bookmarkEnd w:id="71"/>
      <w:r w:rsidRPr="00963E47">
        <w:rPr>
          <w:rFonts w:ascii="Aptos" w:eastAsia="Aptos" w:hAnsi="Aptos" w:cs="Times New Roman"/>
          <w:b/>
          <w:bCs/>
          <w:noProof/>
          <w:color w:val="35256B"/>
          <w:kern w:val="2"/>
          <w:sz w:val="24"/>
          <w14:ligatures w14:val="standardContextual"/>
        </w:rPr>
        <w:t xml:space="preserve"> </w:t>
      </w:r>
    </w:p>
    <w:p w14:paraId="3978171A"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4F1B0F5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5C28871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1D0CBE40" w14:textId="77777777" w:rsidTr="005C00A5">
        <w:tc>
          <w:tcPr>
            <w:tcW w:w="1170" w:type="dxa"/>
          </w:tcPr>
          <w:p w14:paraId="19D2B12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42E3096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1AED4F6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26199A95" w14:textId="77777777" w:rsidTr="005C00A5">
        <w:tc>
          <w:tcPr>
            <w:tcW w:w="1170" w:type="dxa"/>
          </w:tcPr>
          <w:p w14:paraId="0CEB52D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MG-1.4.1</w:t>
            </w:r>
          </w:p>
        </w:tc>
        <w:tc>
          <w:tcPr>
            <w:tcW w:w="2160" w:type="dxa"/>
          </w:tcPr>
          <w:p w14:paraId="3AD53D9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Residual Risk Documentation and Management</w:t>
            </w:r>
          </w:p>
        </w:tc>
        <w:tc>
          <w:tcPr>
            <w:tcW w:w="6740" w:type="dxa"/>
          </w:tcPr>
          <w:p w14:paraId="21A9D5D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identifies and documents negative risks associated with its AI systems, including risks that have been accepted, transferred, or mitigated to the extent possible. For partially mitigated risks, the organization documents both the mitigated and unmitigated aspects of the risk to maintain a comprehensive view of the system's risk landscape.</w:t>
            </w:r>
          </w:p>
          <w:p w14:paraId="0B7DE4EA" w14:textId="77777777" w:rsidR="00963E47" w:rsidRPr="00963E47" w:rsidRDefault="00963E47" w:rsidP="004C3837">
            <w:pPr>
              <w:keepNext/>
              <w:rPr>
                <w:rFonts w:ascii="Aptos" w:hAnsi="Aptos" w:cs="Times New Roman"/>
                <w:b/>
                <w:bCs/>
                <w:color w:val="000000"/>
                <w:sz w:val="20"/>
                <w:szCs w:val="20"/>
              </w:rPr>
            </w:pPr>
          </w:p>
          <w:p w14:paraId="77C39AE1" w14:textId="77777777" w:rsidR="00963E47" w:rsidRPr="00963E47" w:rsidRDefault="00963E47" w:rsidP="004C3837">
            <w:pPr>
              <w:keepNext/>
              <w:rPr>
                <w:rFonts w:ascii="Aptos" w:hAnsi="Aptos" w:cs="Times New Roman"/>
                <w:b/>
                <w:bCs/>
                <w:color w:val="000000"/>
                <w:sz w:val="20"/>
                <w:szCs w:val="20"/>
              </w:rPr>
            </w:pPr>
            <w:hyperlink r:id="rId207" w:anchor="manage-1-4" w:history="1">
              <w:r w:rsidRPr="00963E47">
                <w:rPr>
                  <w:rFonts w:ascii="Aptos" w:hAnsi="Aptos" w:cs="Times New Roman"/>
                  <w:color w:val="000000"/>
                  <w:sz w:val="20"/>
                  <w:szCs w:val="20"/>
                  <w:u w:val="single"/>
                </w:rPr>
                <w:t>Link to NIST AI RMF Playbook</w:t>
              </w:r>
            </w:hyperlink>
          </w:p>
        </w:tc>
      </w:tr>
    </w:tbl>
    <w:p w14:paraId="3F4C0EE2"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3E3DC40"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37856F86"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5198843F" w14:textId="77777777" w:rsidTr="005C00A5">
        <w:trPr>
          <w:tblHeader/>
        </w:trPr>
        <w:tc>
          <w:tcPr>
            <w:tcW w:w="2160" w:type="dxa"/>
            <w:shd w:val="clear" w:color="auto" w:fill="CCDCDC"/>
            <w:vAlign w:val="center"/>
          </w:tcPr>
          <w:p w14:paraId="15142D37"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42176009"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15CC16EF"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6EB98A27" w14:textId="77777777" w:rsidTr="005C00A5">
        <w:tc>
          <w:tcPr>
            <w:tcW w:w="2160" w:type="dxa"/>
            <w:shd w:val="clear" w:color="auto" w:fill="CCDCDC"/>
          </w:tcPr>
          <w:p w14:paraId="6316524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6A5F757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B2B146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7ACBFAF" w14:textId="77777777" w:rsidTr="005C00A5">
        <w:tc>
          <w:tcPr>
            <w:tcW w:w="2160" w:type="dxa"/>
            <w:shd w:val="clear" w:color="auto" w:fill="CCDCDC"/>
          </w:tcPr>
          <w:p w14:paraId="5EF5EDE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1BB5B5B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5097A7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1E587AE7" w14:textId="77777777" w:rsidTr="005C00A5">
        <w:tc>
          <w:tcPr>
            <w:tcW w:w="2160" w:type="dxa"/>
            <w:shd w:val="clear" w:color="auto" w:fill="CCDCDC"/>
          </w:tcPr>
          <w:p w14:paraId="39429835"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4AD5F80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0D98148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0B5BEBA" w14:textId="77777777" w:rsidTr="005C00A5">
        <w:tc>
          <w:tcPr>
            <w:tcW w:w="2160" w:type="dxa"/>
            <w:shd w:val="clear" w:color="auto" w:fill="CCDCDC"/>
          </w:tcPr>
          <w:p w14:paraId="436FAD0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2E4EFAA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6F3C41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that continuously identify and document negative risks in real-time. Seamless integration of risk data provides a dynamic, holistic view of the AI system's risk landscape.</w:t>
            </w:r>
          </w:p>
        </w:tc>
      </w:tr>
    </w:tbl>
    <w:p w14:paraId="0762DDC2"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59104A9B" w14:textId="77777777" w:rsidTr="005C00A5">
        <w:tc>
          <w:tcPr>
            <w:tcW w:w="2250" w:type="dxa"/>
          </w:tcPr>
          <w:p w14:paraId="76E21C7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5B69E10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07EAE2E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42EACF78" w14:textId="77777777" w:rsidTr="005C00A5">
        <w:tc>
          <w:tcPr>
            <w:tcW w:w="2250" w:type="dxa"/>
          </w:tcPr>
          <w:p w14:paraId="610AF21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7BF6A87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Incomplete Risk Identification</w:t>
            </w:r>
          </w:p>
        </w:tc>
        <w:tc>
          <w:tcPr>
            <w:tcW w:w="5300" w:type="dxa"/>
          </w:tcPr>
          <w:p w14:paraId="40A9889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Negative AI risks are not comprehensively identified and documented</w:t>
            </w:r>
          </w:p>
        </w:tc>
      </w:tr>
    </w:tbl>
    <w:p w14:paraId="4525FFA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DCE0B2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448DB9D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C1E760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Identify and document negative risks associated with the organization's AI systems, including risks that have been accepted, transferred, or mitigated to the extent possible. For partially mitigated risks, document both the mitigated and unmitigated aspects of the risk to maintain a comprehensive view of the system's risk landscape.</w:t>
      </w:r>
    </w:p>
    <w:p w14:paraId="07A36C26"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2378B3B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 standardized template for documenting negative residual risks, including sections for describing the risk, its potential impact, the chosen risk treatment approach, and the rationale behind the decision. Ensure that this documentation is easily accessible to relevant stakeholders and regularly updated as the AI system and its operating environment evolve.</w:t>
      </w:r>
    </w:p>
    <w:p w14:paraId="68933903"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2FF178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3F35B3E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A42E76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Residual Risk Identification</w:t>
      </w:r>
    </w:p>
    <w:p w14:paraId="43B42F6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processes for identifying and documenting negative risks associated with AI systems, including those that have been accepted, transferred, or mitigated.</w:t>
      </w:r>
    </w:p>
    <w:p w14:paraId="728AC20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0436BC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identification records detailing the specific negative risks associated with each AI system.</w:t>
      </w:r>
    </w:p>
    <w:p w14:paraId="458B73B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accepted, transferred, or mitigated risks, including their impact assessments.</w:t>
      </w:r>
    </w:p>
    <w:p w14:paraId="11E2D79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or reports from risk assessment discussions highlighting identified risks.</w:t>
      </w:r>
    </w:p>
    <w:p w14:paraId="4675D13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registers or lists that capture the status of all documented risks and the rationale for their categorization.</w:t>
      </w:r>
    </w:p>
    <w:p w14:paraId="30E6F8A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7DDECD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Comprehensive Risk Documentation</w:t>
      </w:r>
    </w:p>
    <w:p w14:paraId="07D2F91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 both the mitigated and unmitigated aspects of partially mitigated risks to maintain a comprehensive view of the risk landscape associated with AI systems.</w:t>
      </w:r>
    </w:p>
    <w:p w14:paraId="43AA1E0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04DC68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assessment documents that detail the extent of mitigation for identified risks and any remaining vulnerabilities.</w:t>
      </w:r>
    </w:p>
    <w:p w14:paraId="72C5414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Comprehensive risk profiles for AI systems, including both the mitigated and unmitigated components.</w:t>
      </w:r>
    </w:p>
    <w:p w14:paraId="1465B80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outlining mitigation strategies employed and the effectiveness of those strategies in reducing risk.</w:t>
      </w:r>
    </w:p>
    <w:p w14:paraId="1D51B4C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Revision logs showing updates to risk documentation that reflect changes in risk status or mitigation effectiveness.</w:t>
      </w:r>
    </w:p>
    <w:p w14:paraId="629197D3"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67A6FD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 Review of Residual Risks</w:t>
      </w:r>
    </w:p>
    <w:p w14:paraId="2220699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a process for regularly reviewing residual risks to ensure that the organization remains aware of any unmitigated aspects and their potential impacts on the AI system.</w:t>
      </w:r>
    </w:p>
    <w:p w14:paraId="507E7B7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F53B9B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Scheduled review meeting agendas focused on residual risk assessments and updates.</w:t>
      </w:r>
    </w:p>
    <w:p w14:paraId="6A082C0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discussions during review meetings regarding the status of residual risks and potential actions.</w:t>
      </w:r>
    </w:p>
    <w:p w14:paraId="568E934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summarizing findings from residual risk reviews, including any recommended actions or adjustments.</w:t>
      </w:r>
    </w:p>
    <w:p w14:paraId="36B549F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stakeholder feedback on the management of residual risks.</w:t>
      </w:r>
    </w:p>
    <w:p w14:paraId="63E23DA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964E63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of Residual Risk in Decision-Making</w:t>
      </w:r>
    </w:p>
    <w:p w14:paraId="2EE1D4E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Ensure that documented residual risks are considered in organizational decision-making processes and risk management strategies to inform risk appetite and tolerance levels.</w:t>
      </w:r>
    </w:p>
    <w:p w14:paraId="28B18FD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EE7F07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Decision-making documents indicating how residual risks were considered in strategic planning and resource allocation.</w:t>
      </w:r>
    </w:p>
    <w:p w14:paraId="6301CCE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risk discussions as part of project proposals or major decision reviews.</w:t>
      </w:r>
    </w:p>
    <w:p w14:paraId="571E2CB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forms from stakeholders reflecting their understanding and consideration of residual risks in their decisions.</w:t>
      </w:r>
    </w:p>
    <w:p w14:paraId="3BA6DCF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risk tolerance statements that reflect the organization’s acceptance of specific residual risks.</w:t>
      </w:r>
    </w:p>
    <w:p w14:paraId="0B780A8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738E79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Training and Awareness Programs</w:t>
      </w:r>
    </w:p>
    <w:p w14:paraId="7D1939B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training programs to raise awareness among stakeholders about the importance of residual risks and how they are managed within the organization's AI systems.</w:t>
      </w:r>
    </w:p>
    <w:p w14:paraId="4BC7DB4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4D3301E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materials highlighting the concept of residual risks and their management.</w:t>
      </w:r>
    </w:p>
    <w:p w14:paraId="38DC40E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Attendance records of personnel participating in risk management training sessions.</w:t>
      </w:r>
    </w:p>
    <w:p w14:paraId="74B3874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Surveys measuring the effectiveness of training programs in enhancing understanding of residual risks.</w:t>
      </w:r>
    </w:p>
    <w:p w14:paraId="265AB8E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logs indicating participant insights and suggestions for improving risk management training.</w:t>
      </w:r>
    </w:p>
    <w:p w14:paraId="0174D356"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79DC340D"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0FC5BE3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301E8A1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3300217C" w14:textId="77777777" w:rsidTr="005C00A5">
        <w:tc>
          <w:tcPr>
            <w:tcW w:w="1170" w:type="dxa"/>
          </w:tcPr>
          <w:p w14:paraId="1EA351F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7A8D505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1A5110D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7DDB3BDB" w14:textId="77777777" w:rsidTr="005C00A5">
        <w:tc>
          <w:tcPr>
            <w:tcW w:w="1170" w:type="dxa"/>
          </w:tcPr>
          <w:p w14:paraId="271164E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MG-1.4.2</w:t>
            </w:r>
          </w:p>
        </w:tc>
        <w:tc>
          <w:tcPr>
            <w:tcW w:w="2160" w:type="dxa"/>
          </w:tcPr>
          <w:p w14:paraId="6159612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Guidance for Downstream Stakeholders</w:t>
            </w:r>
          </w:p>
        </w:tc>
        <w:tc>
          <w:tcPr>
            <w:tcW w:w="6740" w:type="dxa"/>
          </w:tcPr>
          <w:p w14:paraId="3CF1614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provides downstream acquirers and end users with guidance on the proper use, limitations, and potential risks of its AI systems, including any requirements for safe operation, decision-making considerations, or monitoring to mitigate negative residual risks.</w:t>
            </w:r>
          </w:p>
          <w:p w14:paraId="132D8C2E" w14:textId="77777777" w:rsidR="00963E47" w:rsidRPr="00963E47" w:rsidRDefault="00963E47" w:rsidP="004C3837">
            <w:pPr>
              <w:keepNext/>
              <w:rPr>
                <w:rFonts w:ascii="Aptos" w:hAnsi="Aptos" w:cs="Times New Roman"/>
                <w:b/>
                <w:bCs/>
                <w:color w:val="000000"/>
                <w:sz w:val="20"/>
                <w:szCs w:val="20"/>
              </w:rPr>
            </w:pPr>
          </w:p>
          <w:p w14:paraId="55677AB4" w14:textId="77777777" w:rsidR="00963E47" w:rsidRPr="00963E47" w:rsidRDefault="00963E47" w:rsidP="004C3837">
            <w:pPr>
              <w:keepNext/>
              <w:rPr>
                <w:rFonts w:ascii="Aptos" w:hAnsi="Aptos" w:cs="Times New Roman"/>
                <w:b/>
                <w:bCs/>
                <w:color w:val="000000"/>
                <w:sz w:val="20"/>
                <w:szCs w:val="20"/>
              </w:rPr>
            </w:pPr>
            <w:hyperlink r:id="rId208" w:anchor="manage-1-4" w:history="1">
              <w:r w:rsidRPr="00963E47">
                <w:rPr>
                  <w:rFonts w:ascii="Aptos" w:hAnsi="Aptos" w:cs="Times New Roman"/>
                  <w:color w:val="000000"/>
                  <w:sz w:val="20"/>
                  <w:szCs w:val="20"/>
                  <w:u w:val="single"/>
                </w:rPr>
                <w:t>Link to NIST AI RMF Playbook</w:t>
              </w:r>
            </w:hyperlink>
          </w:p>
        </w:tc>
      </w:tr>
    </w:tbl>
    <w:p w14:paraId="5E94330C"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677422D"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5832AAFD"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70FE0F6E" w14:textId="77777777" w:rsidTr="005C00A5">
        <w:trPr>
          <w:tblHeader/>
        </w:trPr>
        <w:tc>
          <w:tcPr>
            <w:tcW w:w="2160" w:type="dxa"/>
            <w:shd w:val="clear" w:color="auto" w:fill="CCDCDC"/>
            <w:vAlign w:val="center"/>
          </w:tcPr>
          <w:p w14:paraId="2AD68274"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02576E1E"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6F281D6F"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303495E2" w14:textId="77777777" w:rsidTr="005C00A5">
        <w:tc>
          <w:tcPr>
            <w:tcW w:w="2160" w:type="dxa"/>
            <w:shd w:val="clear" w:color="auto" w:fill="CCDCDC"/>
          </w:tcPr>
          <w:p w14:paraId="5DA2D34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4A90A01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95B576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076C1A7C" w14:textId="77777777" w:rsidTr="005C00A5">
        <w:tc>
          <w:tcPr>
            <w:tcW w:w="2160" w:type="dxa"/>
            <w:shd w:val="clear" w:color="auto" w:fill="CCDCDC"/>
          </w:tcPr>
          <w:p w14:paraId="6C66D0E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3F69D51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A1F8CD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provide guidance to ensure that any limited use of AI, even if not integrated into critical tasks, is properly understood by users. Proper guidance helps prevent misuse and ensures that any isolated AI applications operate within safe parameters, even if the systems do not yet handle sensitive data or contribute to broader business processes.</w:t>
            </w:r>
          </w:p>
        </w:tc>
      </w:tr>
      <w:tr w:rsidR="00963E47" w:rsidRPr="00963E47" w14:paraId="75AB544F" w14:textId="77777777" w:rsidTr="005C00A5">
        <w:tc>
          <w:tcPr>
            <w:tcW w:w="2160" w:type="dxa"/>
            <w:shd w:val="clear" w:color="auto" w:fill="CCDCDC"/>
          </w:tcPr>
          <w:p w14:paraId="5940C7D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2540215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84B8EA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consistently provide comprehensive, clear guidance to downstream acquirers and end users, covering proper use, limitations, risks, and mitigation requirements.</w:t>
            </w:r>
          </w:p>
        </w:tc>
      </w:tr>
      <w:tr w:rsidR="00963E47" w:rsidRPr="00963E47" w14:paraId="7DFB7A99" w14:textId="77777777" w:rsidTr="005C00A5">
        <w:tc>
          <w:tcPr>
            <w:tcW w:w="2160" w:type="dxa"/>
            <w:shd w:val="clear" w:color="auto" w:fill="CCDCDC"/>
          </w:tcPr>
          <w:p w14:paraId="48CE3FC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2B71907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EC09AB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proactively deliver dynamic, personalized guidance to acquirers and users, continuously updated based on real-time system data and user feedback. Seamless integration with user workflows ensures effective risk mitigation.</w:t>
            </w:r>
          </w:p>
        </w:tc>
      </w:tr>
    </w:tbl>
    <w:p w14:paraId="339B3AEA"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461F324B" w14:textId="77777777" w:rsidTr="005C00A5">
        <w:tc>
          <w:tcPr>
            <w:tcW w:w="2250" w:type="dxa"/>
          </w:tcPr>
          <w:p w14:paraId="652FFC3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7CECE38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26E1F92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518A5231" w14:textId="77777777" w:rsidTr="005C00A5">
        <w:tc>
          <w:tcPr>
            <w:tcW w:w="2250" w:type="dxa"/>
          </w:tcPr>
          <w:p w14:paraId="35D92FC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680AB88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Lack of Downstream User Guidance</w:t>
            </w:r>
          </w:p>
        </w:tc>
        <w:tc>
          <w:tcPr>
            <w:tcW w:w="5300" w:type="dxa"/>
          </w:tcPr>
          <w:p w14:paraId="7E56586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Downstream users lack guidance on safe use and limitations</w:t>
            </w:r>
          </w:p>
        </w:tc>
      </w:tr>
    </w:tbl>
    <w:p w14:paraId="427FF57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1F9DED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29E7499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8FF952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Provide downstream acquirers and end users with guidance on the proper use, limitations, and potential risks of the organization's AI systems. This guidance should include any requirements for safe operation, decision-making considerations, or monitoring to mitigate negative residual risks.</w:t>
      </w:r>
    </w:p>
    <w:p w14:paraId="700ABF54"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675AED8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user manuals, training materials, and other resources that clearly communicate the capabilities and limitations of the AI system, as well as any potential risks associated with its use. Ensure that these materials are easily understandable and accessible to the intended audience, and regularly review and update them to ensure accuracy and relevance.</w:t>
      </w:r>
    </w:p>
    <w:p w14:paraId="26564E99"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8120A2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471CCB2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6AA14C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User Guidance Materials</w:t>
      </w:r>
    </w:p>
    <w:p w14:paraId="35EBAA9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Create comprehensive guidance materials detailing the proper use, limitations, and potential risks of AI systems for downstream acquirers and end users, ensuring clear communication of safety and operational requirements.</w:t>
      </w:r>
    </w:p>
    <w:p w14:paraId="2CFC920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07B570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User manuals and guidance documents outlining operational procedures and safety measures for AI systems.</w:t>
      </w:r>
    </w:p>
    <w:p w14:paraId="46C6C01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materials designed for downstream stakeholders that highlight use limitations and decision-making considerations.</w:t>
      </w:r>
    </w:p>
    <w:p w14:paraId="51C4520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Examples of visual aids or infographics that summarize key points regarding the AI system's use and associated risks.</w:t>
      </w:r>
    </w:p>
    <w:p w14:paraId="738BB34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initial users on the clarity and utility of provided guidance materials.</w:t>
      </w:r>
    </w:p>
    <w:p w14:paraId="516A8C3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F9285A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Communication of Limitations and Risks</w:t>
      </w:r>
    </w:p>
    <w:p w14:paraId="331D554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Ensure that guidance materials explicitly communicate the limitations and potential risks associated with AI systems to empower end users to make informed decisions.</w:t>
      </w:r>
    </w:p>
    <w:p w14:paraId="075DF5F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AB2B94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Sections within user manuals specifically addressing limitations and risks, detailing real-world implications.</w:t>
      </w:r>
    </w:p>
    <w:p w14:paraId="757AFF3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Assurance statements or disclaimers acknowledging known risks and potential impacts on decision-making processes.</w:t>
      </w:r>
    </w:p>
    <w:p w14:paraId="0A9D7E5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consultations with domain experts to confirm the accuracy of risk communication.</w:t>
      </w:r>
    </w:p>
    <w:p w14:paraId="5705245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stakeholder feedback that indicate their understanding of the outlined limitations and risks.</w:t>
      </w:r>
    </w:p>
    <w:p w14:paraId="7B4F77F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2BB1E1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Monitoring and feedback Mechanisms</w:t>
      </w:r>
    </w:p>
    <w:p w14:paraId="4F7D677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monitoring and feedback mechanisms that enable downstream stakeholders to report challenges, concerns, or incidents related to AI system usage, fostering an environment of continuous improvement.</w:t>
      </w:r>
    </w:p>
    <w:p w14:paraId="18F617C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3FB940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monitoring protocols that outline how user feedback is collected and analyzed.</w:t>
      </w:r>
    </w:p>
    <w:p w14:paraId="556981E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feedback received from users regarding their experiences, including challenges and suggestions for improvement.</w:t>
      </w:r>
    </w:p>
    <w:p w14:paraId="4BA8E30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logs showing how user feedback has led to specific changes or updates in guidance materials.</w:t>
      </w:r>
    </w:p>
    <w:p w14:paraId="2919EC7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summarizing discussions with downstream stakeholders focused on incident reports and response strategies.</w:t>
      </w:r>
    </w:p>
    <w:p w14:paraId="62916D2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015DF9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Safety Operation Requirements</w:t>
      </w:r>
    </w:p>
    <w:p w14:paraId="622F7CF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clear requirements for safe AI system operation, ensuring downstream stakeholders understand necessary precautions and monitoring responsibilities to mitigate residual risks.</w:t>
      </w:r>
    </w:p>
    <w:p w14:paraId="52D928A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FF8925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Safety operation checklists outlining essential practices and precautions for users when operating AI systems.</w:t>
      </w:r>
    </w:p>
    <w:p w14:paraId="2E13C68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session records that include discussions on safety requirements and procedures.</w:t>
      </w:r>
    </w:p>
    <w:p w14:paraId="47B3696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Compliance documents that reflect adherence to safety operational guidelines by end users.</w:t>
      </w:r>
    </w:p>
    <w:p w14:paraId="48E072A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reports detailing any safety breaches and the resultant adjustments made to operational guidelines.</w:t>
      </w:r>
    </w:p>
    <w:p w14:paraId="659A8A3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4B63AB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Periodic Review of Guidance and Support</w:t>
      </w:r>
    </w:p>
    <w:p w14:paraId="0DF8A38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review and update the guidance provided to downstream stakeholders based on user feedback, evolving industry standards, and emerging best practices to ensure continued relevance and effectiveness.</w:t>
      </w:r>
    </w:p>
    <w:p w14:paraId="16A557E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02A93D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documenting when guidance materials are evaluated for updates and relevance.</w:t>
      </w:r>
    </w:p>
    <w:p w14:paraId="5C772F5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Documentation of changes made to user guidance based on findings from periodic reviews.</w:t>
      </w:r>
    </w:p>
    <w:p w14:paraId="635F32C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training sessions that introduce updates to guidance materials and address user questions.</w:t>
      </w:r>
    </w:p>
    <w:p w14:paraId="562CF6C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surveys assessing the effectiveness of the guidance materials post-update and the usability of the AI systems.</w:t>
      </w:r>
    </w:p>
    <w:p w14:paraId="160335DD"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14361A68"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7A9FC75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5EAE6FD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45392D3F" w14:textId="77777777" w:rsidTr="005C00A5">
        <w:tc>
          <w:tcPr>
            <w:tcW w:w="1170" w:type="dxa"/>
          </w:tcPr>
          <w:p w14:paraId="6504E62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07FEC46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53C199E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22DADA86" w14:textId="77777777" w:rsidTr="005C00A5">
        <w:tc>
          <w:tcPr>
            <w:tcW w:w="1170" w:type="dxa"/>
          </w:tcPr>
          <w:p w14:paraId="3D89A1E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MG-1.4.3</w:t>
            </w:r>
          </w:p>
        </w:tc>
        <w:tc>
          <w:tcPr>
            <w:tcW w:w="2160" w:type="dxa"/>
          </w:tcPr>
          <w:p w14:paraId="6415EB5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Regular Residual Risk Reviews</w:t>
            </w:r>
          </w:p>
        </w:tc>
        <w:tc>
          <w:tcPr>
            <w:tcW w:w="6740" w:type="dxa"/>
          </w:tcPr>
          <w:p w14:paraId="37F27E8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regularly reviews and updates its assessment and documentation of negative residual risks to ensure accuracy and relevance, considering changes in the AI system, operational environment, or risk landscape.</w:t>
            </w:r>
          </w:p>
          <w:p w14:paraId="6CED395D" w14:textId="77777777" w:rsidR="00963E47" w:rsidRPr="00963E47" w:rsidRDefault="00963E47" w:rsidP="004C3837">
            <w:pPr>
              <w:keepNext/>
              <w:rPr>
                <w:rFonts w:ascii="Aptos" w:hAnsi="Aptos" w:cs="Times New Roman"/>
                <w:b/>
                <w:bCs/>
                <w:color w:val="000000"/>
                <w:sz w:val="20"/>
                <w:szCs w:val="20"/>
              </w:rPr>
            </w:pPr>
          </w:p>
          <w:p w14:paraId="63BE9EB1" w14:textId="77777777" w:rsidR="00963E47" w:rsidRPr="00963E47" w:rsidRDefault="00963E47" w:rsidP="004C3837">
            <w:pPr>
              <w:keepNext/>
              <w:rPr>
                <w:rFonts w:ascii="Aptos" w:hAnsi="Aptos" w:cs="Times New Roman"/>
                <w:b/>
                <w:bCs/>
                <w:color w:val="000000"/>
                <w:sz w:val="20"/>
                <w:szCs w:val="20"/>
              </w:rPr>
            </w:pPr>
            <w:hyperlink r:id="rId209" w:anchor="manage-1-4" w:history="1">
              <w:r w:rsidRPr="00963E47">
                <w:rPr>
                  <w:rFonts w:ascii="Aptos" w:hAnsi="Aptos" w:cs="Times New Roman"/>
                  <w:color w:val="000000"/>
                  <w:sz w:val="20"/>
                  <w:szCs w:val="20"/>
                  <w:u w:val="single"/>
                </w:rPr>
                <w:t>Link to NIST AI RMF Playbook</w:t>
              </w:r>
            </w:hyperlink>
          </w:p>
        </w:tc>
      </w:tr>
    </w:tbl>
    <w:p w14:paraId="40FE0193"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B8F3566"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70007174"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3DF5AF56" w14:textId="77777777" w:rsidTr="005C00A5">
        <w:trPr>
          <w:tblHeader/>
        </w:trPr>
        <w:tc>
          <w:tcPr>
            <w:tcW w:w="2160" w:type="dxa"/>
            <w:shd w:val="clear" w:color="auto" w:fill="CCDCDC"/>
            <w:vAlign w:val="center"/>
          </w:tcPr>
          <w:p w14:paraId="5C0D6274"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0886EAF7"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3AF0ABA5"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5CF30901" w14:textId="77777777" w:rsidTr="005C00A5">
        <w:tc>
          <w:tcPr>
            <w:tcW w:w="2160" w:type="dxa"/>
            <w:shd w:val="clear" w:color="auto" w:fill="CCDCDC"/>
          </w:tcPr>
          <w:p w14:paraId="15543A4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5B4C8CE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2C7902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33428974" w14:textId="77777777" w:rsidTr="005C00A5">
        <w:tc>
          <w:tcPr>
            <w:tcW w:w="2160" w:type="dxa"/>
            <w:shd w:val="clear" w:color="auto" w:fill="CCDCDC"/>
          </w:tcPr>
          <w:p w14:paraId="72AD527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7E4176A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0727D6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D5F9056" w14:textId="77777777" w:rsidTr="005C00A5">
        <w:tc>
          <w:tcPr>
            <w:tcW w:w="2160" w:type="dxa"/>
            <w:shd w:val="clear" w:color="auto" w:fill="CCDCDC"/>
          </w:tcPr>
          <w:p w14:paraId="1A9FEC3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043632A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E430D3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conduct regular, proactive reviews and updates to ensure the accuracy and relevance of negative residual risk assessments, consistently considering system and environmental changes.</w:t>
            </w:r>
          </w:p>
        </w:tc>
      </w:tr>
      <w:tr w:rsidR="00963E47" w:rsidRPr="00963E47" w14:paraId="61E79B4B" w14:textId="77777777" w:rsidTr="005C00A5">
        <w:tc>
          <w:tcPr>
            <w:tcW w:w="2160" w:type="dxa"/>
            <w:shd w:val="clear" w:color="auto" w:fill="CCDCDC"/>
          </w:tcPr>
          <w:p w14:paraId="36310F6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1328CC4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F3225F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continuous, automated monitoring that drives real-time updates to negative residual risk assessments. Dynamic documentation ensures up-to-date accuracy and relevance in the face of constant change.</w:t>
            </w:r>
          </w:p>
        </w:tc>
      </w:tr>
    </w:tbl>
    <w:p w14:paraId="0D3D8449"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707A8A5D" w14:textId="77777777" w:rsidTr="005C00A5">
        <w:tc>
          <w:tcPr>
            <w:tcW w:w="2250" w:type="dxa"/>
          </w:tcPr>
          <w:p w14:paraId="0C08978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40AAA41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6D65ABB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068D5316" w14:textId="77777777" w:rsidTr="005C00A5">
        <w:tc>
          <w:tcPr>
            <w:tcW w:w="2250" w:type="dxa"/>
          </w:tcPr>
          <w:p w14:paraId="281AF2D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2CE21E7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Outdated Residual Risk Assessments</w:t>
            </w:r>
          </w:p>
        </w:tc>
        <w:tc>
          <w:tcPr>
            <w:tcW w:w="5300" w:type="dxa"/>
          </w:tcPr>
          <w:p w14:paraId="79B742D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Residual risk assessments remain outdated or are insufficiently reviewed</w:t>
            </w:r>
          </w:p>
        </w:tc>
      </w:tr>
    </w:tbl>
    <w:p w14:paraId="76B9200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70E666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3E7AC67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71DCA8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Regularly review and update the assessment and documentation of negative residual risks to ensure accuracy and relevance. Consider changes in the AI system, operational environment, or risk landscape when conducting these reviews.</w:t>
      </w:r>
    </w:p>
    <w:p w14:paraId="1CEEA4EF"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A3A382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a schedule for reviewing and updating risk documentation, taking into account the complexity and criticality of the AI system, as well as the pace of change in its operating environment. Assign responsibility for conducting these reviews to a designated individual or team, and ensure that they have the necessary expertise and resources to effectively carry out this task.</w:t>
      </w:r>
    </w:p>
    <w:p w14:paraId="7688BCAE"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6BB45D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0974036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2B46C3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Scheduled Residual Risk Review Process</w:t>
      </w:r>
    </w:p>
    <w:p w14:paraId="1EA7C72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formal schedule for conducting regular reviews of residual risk assessments and documentation, ensuring that these assessments remain current and comprehensive.</w:t>
      </w:r>
    </w:p>
    <w:p w14:paraId="259103B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474801F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the review schedule, including dates and timelines for each residual risk assessment.</w:t>
      </w:r>
    </w:p>
    <w:p w14:paraId="3080E21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review meeting minutes, outlining discussions and decisions made regarding residual risks.</w:t>
      </w:r>
    </w:p>
    <w:p w14:paraId="5B6F238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Approval logs indicating that stakeholders have confirmed the assessments during review sessions.</w:t>
      </w:r>
    </w:p>
    <w:p w14:paraId="51B3370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Archive of previous assessments for comparison with current reviews, demonstrating continuous progression.</w:t>
      </w:r>
    </w:p>
    <w:p w14:paraId="6352F5D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0ADFAF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Change Impact Analysis</w:t>
      </w:r>
    </w:p>
    <w:p w14:paraId="2D81C8F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processes for analyzing the impact of changes in the AI system, operational environment, or risk landscape on identified residual risks.</w:t>
      </w:r>
    </w:p>
    <w:p w14:paraId="6707B9D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E7274F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Impact analysis reports that detail how recent changes have affected existing residual risks and their management.</w:t>
      </w:r>
    </w:p>
    <w:p w14:paraId="77FD2A4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changes in operational environments and how they relate to identified risks.</w:t>
      </w:r>
    </w:p>
    <w:p w14:paraId="464CA34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notes capturing discussions around the implications of system updates on residual risk assessments.</w:t>
      </w:r>
    </w:p>
    <w:p w14:paraId="052032B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plans developed in response to new insights or risks identified through impact analysis.</w:t>
      </w:r>
    </w:p>
    <w:p w14:paraId="3F461CC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FCABBA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Comprehensive Risk Documentation</w:t>
      </w:r>
    </w:p>
    <w:p w14:paraId="1F8E132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comprehensive documentation of residual risks, including current assessments, underlying assumptions, and any updates made during reviews.</w:t>
      </w:r>
    </w:p>
    <w:p w14:paraId="28822B4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4C2B6F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documentation files that include detailed descriptions and evaluations of all identified residual risks.</w:t>
      </w:r>
    </w:p>
    <w:p w14:paraId="5CF1940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Revision history logs showing updates made to risk documentation over time, including the rationale for changes.</w:t>
      </w:r>
    </w:p>
    <w:p w14:paraId="3AC8547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review records indicating that appropriate personnel have contributed to the documentation process.</w:t>
      </w:r>
    </w:p>
    <w:p w14:paraId="325C379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profiles that summarize both mitigated and unmitigated aspects of residual risks for transparency.</w:t>
      </w:r>
    </w:p>
    <w:p w14:paraId="16CE3D3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10FC6F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Stakeholder Engagement</w:t>
      </w:r>
    </w:p>
    <w:p w14:paraId="554FE27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Engage relevant stakeholders in the review process of residual risks to gather insights and ensure a comprehensive understanding of current risk factors.</w:t>
      </w:r>
    </w:p>
    <w:p w14:paraId="74AFE40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ACC661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stakeholder engagement sessions, including agendas and participant lists.</w:t>
      </w:r>
    </w:p>
    <w:p w14:paraId="2E766AE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forms collected from stakeholders regarding their perception of residual risks and the adequacy of controls.</w:t>
      </w:r>
    </w:p>
    <w:p w14:paraId="0FF12B1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stakeholder contributions and recommendations during review sessions.</w:t>
      </w:r>
    </w:p>
    <w:p w14:paraId="320EEA2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Summary reports reflecting how stakeholder insights were incorporated into updated residual risk assessments.</w:t>
      </w:r>
    </w:p>
    <w:p w14:paraId="013970A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3A356A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Improvement Measures</w:t>
      </w:r>
    </w:p>
    <w:p w14:paraId="7C4080B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Utilize findings from regular reviews of residual risks to inform continuous improvement measures in risk management practices, adapting strategies as necessary.</w:t>
      </w:r>
    </w:p>
    <w:p w14:paraId="5197B4D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401FDD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Continuous improvement action plans that articulate changes driven by recent residual risk reviews.</w:t>
      </w:r>
    </w:p>
    <w:p w14:paraId="1B74EBF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training sessions held to address updated practices based on residual risk findings.</w:t>
      </w:r>
    </w:p>
    <w:p w14:paraId="6F8E278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Assessment reports documenting the effectiveness of implemented improvements over time.</w:t>
      </w:r>
    </w:p>
    <w:p w14:paraId="3B8FE92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Comparison metrics showing the impact of improvements on residual risk levels before and after implementation.</w:t>
      </w:r>
    </w:p>
    <w:p w14:paraId="1AF00EC7"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0673B613"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201C98D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04207B2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667F8470" w14:textId="77777777" w:rsidTr="005C00A5">
        <w:tc>
          <w:tcPr>
            <w:tcW w:w="1170" w:type="dxa"/>
          </w:tcPr>
          <w:p w14:paraId="6D22259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520A080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65E392B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38EF85DE" w14:textId="77777777" w:rsidTr="005C00A5">
        <w:tc>
          <w:tcPr>
            <w:tcW w:w="1170" w:type="dxa"/>
          </w:tcPr>
          <w:p w14:paraId="4508AB5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MG-1.4.4</w:t>
            </w:r>
          </w:p>
        </w:tc>
        <w:tc>
          <w:tcPr>
            <w:tcW w:w="2160" w:type="dxa"/>
          </w:tcPr>
          <w:p w14:paraId="78A2A6C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Residual Risk Reporting and Feedback</w:t>
            </w:r>
          </w:p>
        </w:tc>
        <w:tc>
          <w:tcPr>
            <w:tcW w:w="6740" w:type="dxa"/>
          </w:tcPr>
          <w:p w14:paraId="12E4657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maintains documentation of residual risks, including descriptions of each risk, their potential impact on downstream acquirers and end users, and the rationale and remediation status for the chosen risk treatment approach. The organization also engages with these stakeholders to gather feedback on their experiences with residual risks, using this information to support ongoing risk management and system enhancements.</w:t>
            </w:r>
          </w:p>
          <w:p w14:paraId="5F15BCAE" w14:textId="77777777" w:rsidR="00963E47" w:rsidRPr="00963E47" w:rsidRDefault="00963E47" w:rsidP="004C3837">
            <w:pPr>
              <w:keepNext/>
              <w:rPr>
                <w:rFonts w:ascii="Aptos" w:hAnsi="Aptos" w:cs="Times New Roman"/>
                <w:b/>
                <w:bCs/>
                <w:color w:val="000000"/>
                <w:sz w:val="20"/>
                <w:szCs w:val="20"/>
              </w:rPr>
            </w:pPr>
          </w:p>
          <w:p w14:paraId="5FF4445D" w14:textId="77777777" w:rsidR="00963E47" w:rsidRPr="00963E47" w:rsidRDefault="00963E47" w:rsidP="004C3837">
            <w:pPr>
              <w:keepNext/>
              <w:rPr>
                <w:rFonts w:ascii="Aptos" w:hAnsi="Aptos" w:cs="Times New Roman"/>
                <w:b/>
                <w:bCs/>
                <w:color w:val="000000"/>
                <w:sz w:val="20"/>
                <w:szCs w:val="20"/>
              </w:rPr>
            </w:pPr>
            <w:hyperlink r:id="rId210" w:anchor="manage-1-4" w:history="1">
              <w:r w:rsidRPr="00963E47">
                <w:rPr>
                  <w:rFonts w:ascii="Aptos" w:hAnsi="Aptos" w:cs="Times New Roman"/>
                  <w:color w:val="000000"/>
                  <w:sz w:val="20"/>
                  <w:szCs w:val="20"/>
                  <w:u w:val="single"/>
                </w:rPr>
                <w:t>Link to NIST AI RMF Playbook</w:t>
              </w:r>
            </w:hyperlink>
          </w:p>
        </w:tc>
      </w:tr>
    </w:tbl>
    <w:p w14:paraId="57EF6692"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63ECF7A"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02AA2609"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2188A15F" w14:textId="77777777" w:rsidTr="005C00A5">
        <w:trPr>
          <w:tblHeader/>
        </w:trPr>
        <w:tc>
          <w:tcPr>
            <w:tcW w:w="2160" w:type="dxa"/>
            <w:shd w:val="clear" w:color="auto" w:fill="CCDCDC"/>
            <w:vAlign w:val="center"/>
          </w:tcPr>
          <w:p w14:paraId="5481C8E9"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120581D8"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7852F4DC"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5EF3D8DB" w14:textId="77777777" w:rsidTr="005C00A5">
        <w:tc>
          <w:tcPr>
            <w:tcW w:w="2160" w:type="dxa"/>
            <w:shd w:val="clear" w:color="auto" w:fill="CCDCDC"/>
          </w:tcPr>
          <w:p w14:paraId="11A3805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487E963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B55A04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64467765" w14:textId="77777777" w:rsidTr="005C00A5">
        <w:tc>
          <w:tcPr>
            <w:tcW w:w="2160" w:type="dxa"/>
            <w:shd w:val="clear" w:color="auto" w:fill="CCDCDC"/>
          </w:tcPr>
          <w:p w14:paraId="4BD3217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7DB7151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3B0E4C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2D89E616" w14:textId="77777777" w:rsidTr="005C00A5">
        <w:tc>
          <w:tcPr>
            <w:tcW w:w="2160" w:type="dxa"/>
            <w:shd w:val="clear" w:color="auto" w:fill="CCDCDC"/>
          </w:tcPr>
          <w:p w14:paraId="7E5F3F5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270D20A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DA9936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350D7974" w14:textId="77777777" w:rsidTr="005C00A5">
        <w:tc>
          <w:tcPr>
            <w:tcW w:w="2160" w:type="dxa"/>
            <w:shd w:val="clear" w:color="auto" w:fill="CCDCDC"/>
          </w:tcPr>
          <w:p w14:paraId="1E4CAEE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7EDE0C9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795B35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maintain comprehensive, dynamic documentation of negative residual risks, with impacts and rationale continuously updated based on real-time data. Stakeholder engagement and feedback is deeply embedded, driving proactive, data-driven optimization of risk management and system performance.</w:t>
            </w:r>
          </w:p>
        </w:tc>
      </w:tr>
    </w:tbl>
    <w:p w14:paraId="60F92C1C"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048399A3" w14:textId="77777777" w:rsidTr="005C00A5">
        <w:tc>
          <w:tcPr>
            <w:tcW w:w="2250" w:type="dxa"/>
          </w:tcPr>
          <w:p w14:paraId="521E074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65096E0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35CFEB5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68C3016B" w14:textId="77777777" w:rsidTr="005C00A5">
        <w:tc>
          <w:tcPr>
            <w:tcW w:w="2250" w:type="dxa"/>
          </w:tcPr>
          <w:p w14:paraId="47A9A47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5216F6B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Inaccurate Risk Documentation</w:t>
            </w:r>
          </w:p>
        </w:tc>
        <w:tc>
          <w:tcPr>
            <w:tcW w:w="5300" w:type="dxa"/>
          </w:tcPr>
          <w:p w14:paraId="5603BEF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Residual risk assessments and documentation become outdated or inaccurate</w:t>
            </w:r>
          </w:p>
        </w:tc>
      </w:tr>
    </w:tbl>
    <w:p w14:paraId="1C1A5C5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A55096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6B55F30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B58579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Keep records of residual risks, including descriptions, potential impacts, and reasons for the risk treatment approach. Engage with downstream acquirers and end users to gather their feedback on residual risks and consider this information for continuous risk management and system enhancement. Establish channels like feedback forms, user forums, or surveys for stakeholders to share their experiences, and use this feedback to identify opportunities for improvement.</w:t>
      </w:r>
    </w:p>
    <w:p w14:paraId="6725EB63"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4C42E8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6538AFC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ABD3A5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Comprehensive Residual Risk Documentation</w:t>
      </w:r>
    </w:p>
    <w:p w14:paraId="5874FB6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detailed documentation for each identified residual risk, including its description, potential impact on downstream acquirers and end users, and the rationale for the selected risk treatment approach.</w:t>
      </w:r>
    </w:p>
    <w:p w14:paraId="1ADD23F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0B97F2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Residual risk registers containing comprehensive details for each risk, including descriptions and potential impacts.</w:t>
      </w:r>
    </w:p>
    <w:p w14:paraId="574F5BB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outlining the rationale for chosen risk treatment strategies, including any assumptions made.</w:t>
      </w:r>
    </w:p>
    <w:p w14:paraId="1A7DB0C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remediation status indicating whether residual risks have been mitigated, transferred, accepted, or remedied.</w:t>
      </w:r>
    </w:p>
    <w:p w14:paraId="62F3987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Audit logs tracking changes made to residual risk documentation over time, ensuring accuracy and completeness.</w:t>
      </w:r>
    </w:p>
    <w:p w14:paraId="362CBC5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D42F8E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Stakeholder Engagement and Feedback Mechanisms</w:t>
      </w:r>
    </w:p>
    <w:p w14:paraId="3D547E5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mechanisms for engaging downstream acquirers and end users to gather feedback on their experiences with residual risks, supporting continuous improvement efforts.</w:t>
      </w:r>
    </w:p>
    <w:p w14:paraId="6D7F3B7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51889F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feedback collection methods, such as surveys, interviews, or focus groups conducted with stakeholders.</w:t>
      </w:r>
    </w:p>
    <w:p w14:paraId="59708A0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Summaries of stakeholder feedback highlighting their experiences with residual risks and any concerns raised.</w:t>
      </w:r>
    </w:p>
    <w:p w14:paraId="4D6C70E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discussions or meetings with stakeholders where their input was solicited on residual risks.</w:t>
      </w:r>
    </w:p>
    <w:p w14:paraId="543454D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plans developed in response to stakeholder feedback, detailing specific improvements to be implemented.</w:t>
      </w:r>
    </w:p>
    <w:p w14:paraId="76A8814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975006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Residual Risk Analysis Reports</w:t>
      </w:r>
    </w:p>
    <w:p w14:paraId="589C2C8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Generate regular reports analyzing the status of residual risks and their impacts, incorporating stakeholder feedback to inform ongoing risk management strategies.</w:t>
      </w:r>
    </w:p>
    <w:p w14:paraId="7A65261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572FB2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summarizing the current status of each documented residual risk, including any changes since the last evaluation.</w:t>
      </w:r>
    </w:p>
    <w:p w14:paraId="771AB77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how stakeholder feedback has influenced assessments or modifications of residual risks.</w:t>
      </w:r>
    </w:p>
    <w:p w14:paraId="56FCA94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Trend analysis reports identifying patterns in residual risks based on the feedback collected from stakeholders.</w:t>
      </w:r>
    </w:p>
    <w:p w14:paraId="35F6848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decisions made regarding risk management strategies based on analysis findings.</w:t>
      </w:r>
    </w:p>
    <w:p w14:paraId="4D46D4F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164916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Training and Awareness on Residual Risks</w:t>
      </w:r>
    </w:p>
    <w:p w14:paraId="7A2ABA1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Provide training to internal teams on the documentation and management of residual risks to ensure that all personnel are aware of their implications and treatment approaches.</w:t>
      </w:r>
    </w:p>
    <w:p w14:paraId="5431DB7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7BE7A9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materials that cover the importance of understanding and managing residual risks.</w:t>
      </w:r>
    </w:p>
    <w:p w14:paraId="0170E7F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Attendance records showing participation of relevant personnel in residual risk training sessions.</w:t>
      </w:r>
    </w:p>
    <w:p w14:paraId="637EC52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surveys from training participants evaluating their understanding of residual risks post-training.</w:t>
      </w:r>
    </w:p>
    <w:p w14:paraId="115EDA7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competency assessments that demonstrate personnel knowledge of residual risk management practices.</w:t>
      </w:r>
    </w:p>
    <w:p w14:paraId="7EEEDB7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C6764B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Improvement of Risk Management Practices</w:t>
      </w:r>
    </w:p>
    <w:p w14:paraId="158E8DC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insights from residual risk documentation and stakeholder feedback to refine and enhance risk management practices continuously.</w:t>
      </w:r>
    </w:p>
    <w:p w14:paraId="18E1DCF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BE6C91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Policy documents reflecting changes made to risk management practices based on insights gathered from risk assessments and stakeholder feedback.</w:t>
      </w:r>
    </w:p>
    <w:p w14:paraId="4FBE787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item logs tracking recommendations for improving residual risk management and their implementation status.</w:t>
      </w:r>
    </w:p>
    <w:p w14:paraId="59211F2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revision histories for risk management practices reflecting improvements made.</w:t>
      </w:r>
    </w:p>
    <w:p w14:paraId="66B55A3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periodic review sessions assessing the effectiveness of implemented changes and gathering input for further refinement.</w:t>
      </w:r>
    </w:p>
    <w:p w14:paraId="565390AE"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72" w:name="_Toc214874817"/>
      <w:r w:rsidRPr="00963E47">
        <w:rPr>
          <w:rFonts w:ascii="Aptos" w:eastAsia="Aptos" w:hAnsi="Aptos" w:cs="Times New Roman"/>
          <w:b/>
          <w:bCs/>
          <w:noProof/>
          <w:color w:val="35256B"/>
          <w:kern w:val="2"/>
          <w:sz w:val="24"/>
          <w14:ligatures w14:val="standardContextual"/>
        </w:rPr>
        <w:lastRenderedPageBreak/>
        <w:t>MANAGE / Maximizing Benefits / Allocating Resources</w:t>
      </w:r>
      <w:bookmarkEnd w:id="72"/>
      <w:r w:rsidRPr="00963E47">
        <w:rPr>
          <w:rFonts w:ascii="Aptos" w:eastAsia="Aptos" w:hAnsi="Aptos" w:cs="Times New Roman"/>
          <w:b/>
          <w:bCs/>
          <w:noProof/>
          <w:color w:val="35256B"/>
          <w:kern w:val="2"/>
          <w:sz w:val="24"/>
          <w14:ligatures w14:val="standardContextual"/>
        </w:rPr>
        <w:t xml:space="preserve"> </w:t>
      </w:r>
    </w:p>
    <w:p w14:paraId="5EE237BA"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2780D69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14B4B6D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3285438D" w14:textId="77777777" w:rsidTr="005C00A5">
        <w:tc>
          <w:tcPr>
            <w:tcW w:w="1170" w:type="dxa"/>
          </w:tcPr>
          <w:p w14:paraId="73D7567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271CA61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111D77B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68DEFA33" w14:textId="77777777" w:rsidTr="005C00A5">
        <w:tc>
          <w:tcPr>
            <w:tcW w:w="1170" w:type="dxa"/>
          </w:tcPr>
          <w:p w14:paraId="3D7D3CE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MG-2.1.1</w:t>
            </w:r>
          </w:p>
        </w:tc>
        <w:tc>
          <w:tcPr>
            <w:tcW w:w="2160" w:type="dxa"/>
          </w:tcPr>
          <w:p w14:paraId="089765F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Risk Management Resource Planning</w:t>
            </w:r>
          </w:p>
        </w:tc>
        <w:tc>
          <w:tcPr>
            <w:tcW w:w="6740" w:type="dxa"/>
          </w:tcPr>
          <w:p w14:paraId="332F264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determines resource needs—such as personnel, budget, and technical capabilities—into its established risk management framework to effectively manage AI risks in alignment with organizational risk tolerance, while regularly reviewing these needs based on changes in the AI system's performance, risk profile, operational context, and evolving industry standards.</w:t>
            </w:r>
          </w:p>
          <w:p w14:paraId="32DBFCBC" w14:textId="77777777" w:rsidR="00963E47" w:rsidRPr="00963E47" w:rsidRDefault="00963E47" w:rsidP="004C3837">
            <w:pPr>
              <w:keepNext/>
              <w:rPr>
                <w:rFonts w:ascii="Aptos" w:hAnsi="Aptos" w:cs="Times New Roman"/>
                <w:b/>
                <w:bCs/>
                <w:color w:val="000000"/>
                <w:sz w:val="20"/>
                <w:szCs w:val="20"/>
              </w:rPr>
            </w:pPr>
          </w:p>
          <w:p w14:paraId="3C7B7FB4" w14:textId="77777777" w:rsidR="00963E47" w:rsidRPr="00963E47" w:rsidRDefault="00963E47" w:rsidP="004C3837">
            <w:pPr>
              <w:keepNext/>
              <w:rPr>
                <w:rFonts w:ascii="Aptos" w:hAnsi="Aptos" w:cs="Times New Roman"/>
                <w:b/>
                <w:bCs/>
                <w:color w:val="000000"/>
                <w:sz w:val="20"/>
                <w:szCs w:val="20"/>
              </w:rPr>
            </w:pPr>
            <w:hyperlink r:id="rId211" w:anchor="manage-2-1" w:history="1">
              <w:r w:rsidRPr="00963E47">
                <w:rPr>
                  <w:rFonts w:ascii="Aptos" w:hAnsi="Aptos" w:cs="Times New Roman"/>
                  <w:color w:val="000000"/>
                  <w:sz w:val="20"/>
                  <w:szCs w:val="20"/>
                  <w:u w:val="single"/>
                </w:rPr>
                <w:t>Link to NIST AI RMF Playbook</w:t>
              </w:r>
            </w:hyperlink>
          </w:p>
        </w:tc>
      </w:tr>
    </w:tbl>
    <w:p w14:paraId="4D316040"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A465C66"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7853BD7F"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4E881C43" w14:textId="77777777" w:rsidTr="005C00A5">
        <w:trPr>
          <w:tblHeader/>
        </w:trPr>
        <w:tc>
          <w:tcPr>
            <w:tcW w:w="2160" w:type="dxa"/>
            <w:shd w:val="clear" w:color="auto" w:fill="CCDCDC"/>
            <w:vAlign w:val="center"/>
          </w:tcPr>
          <w:p w14:paraId="3F99A87F"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04E1F79E"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6BE515F4"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7EECEDF8" w14:textId="77777777" w:rsidTr="005C00A5">
        <w:tc>
          <w:tcPr>
            <w:tcW w:w="2160" w:type="dxa"/>
            <w:shd w:val="clear" w:color="auto" w:fill="CCDCDC"/>
          </w:tcPr>
          <w:p w14:paraId="56B1227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6483E6D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33B245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08ABEE50" w14:textId="77777777" w:rsidTr="005C00A5">
        <w:tc>
          <w:tcPr>
            <w:tcW w:w="2160" w:type="dxa"/>
            <w:shd w:val="clear" w:color="auto" w:fill="CCDCDC"/>
          </w:tcPr>
          <w:p w14:paraId="62724C4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55E57CD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5FF3024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2C81F5B8" w14:textId="77777777" w:rsidTr="005C00A5">
        <w:tc>
          <w:tcPr>
            <w:tcW w:w="2160" w:type="dxa"/>
            <w:shd w:val="clear" w:color="auto" w:fill="CCDCDC"/>
          </w:tcPr>
          <w:p w14:paraId="46E2183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6AC8468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045B01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FF19726" w14:textId="77777777" w:rsidTr="005C00A5">
        <w:tc>
          <w:tcPr>
            <w:tcW w:w="2160" w:type="dxa"/>
            <w:shd w:val="clear" w:color="auto" w:fill="CCDCDC"/>
          </w:tcPr>
          <w:p w14:paraId="10BC5BA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2513E36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7082EA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seamlessly integrated processes for monitoring and determining AI risk management resource needs, with real-time alignment with risk tolerance and continuous review based on AI system changes and industry best practices. Resource allocation for AI risk management is dynamically optimized within budgeting processes, ensuring optimal alignment with organizational priorities and strategies.</w:t>
            </w:r>
          </w:p>
        </w:tc>
      </w:tr>
    </w:tbl>
    <w:p w14:paraId="524083A4"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547A1248" w14:textId="77777777" w:rsidTr="005C00A5">
        <w:tc>
          <w:tcPr>
            <w:tcW w:w="2250" w:type="dxa"/>
          </w:tcPr>
          <w:p w14:paraId="1007079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78BA091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13FC634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0493C554" w14:textId="77777777" w:rsidTr="005C00A5">
        <w:tc>
          <w:tcPr>
            <w:tcW w:w="2250" w:type="dxa"/>
          </w:tcPr>
          <w:p w14:paraId="6A1C2C6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55E10406" w14:textId="77777777" w:rsidR="00963E47" w:rsidRPr="00963E47" w:rsidRDefault="00963E47" w:rsidP="004C3837">
            <w:pPr>
              <w:keepNext/>
              <w:rPr>
                <w:rFonts w:ascii="Aptos" w:hAnsi="Aptos" w:cs="Times New Roman"/>
                <w:color w:val="000000"/>
                <w:sz w:val="20"/>
                <w:szCs w:val="20"/>
                <w:lang w:val="fr-CA"/>
              </w:rPr>
            </w:pPr>
            <w:r w:rsidRPr="00963E47">
              <w:rPr>
                <w:rFonts w:ascii="Aptos" w:hAnsi="Aptos" w:cs="Times New Roman"/>
                <w:noProof/>
                <w:color w:val="000000"/>
                <w:sz w:val="20"/>
                <w:szCs w:val="20"/>
                <w:lang w:val="fr-CA"/>
              </w:rPr>
              <w:t>Insufficient AI Risk Management Resources</w:t>
            </w:r>
          </w:p>
        </w:tc>
        <w:tc>
          <w:tcPr>
            <w:tcW w:w="5300" w:type="dxa"/>
          </w:tcPr>
          <w:p w14:paraId="34643D6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Resources  for AI risk management are insufficient or not regularly reviewed</w:t>
            </w:r>
          </w:p>
        </w:tc>
      </w:tr>
    </w:tbl>
    <w:p w14:paraId="3405CA2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D28510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6EB9F2E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EA874F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Monitor and determine resource needs, such as personnel, budget, and technical capabilities, into the organization's established risk management framework. This ensures that the necessary resources are allocated to effectively manage AI risks in alignment with organizational risk tolerance.</w:t>
      </w:r>
    </w:p>
    <w:p w14:paraId="4F9B001E"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8604C2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Regularly review these resource needs based on changes in the AI system's performance, risk profile, operational context, and evolving industry standards. Establish a process for assessing the adequacy of allocated resources and making adjustments as necessary to ensure the continued effectiveness of AI risk management efforts.</w:t>
      </w:r>
    </w:p>
    <w:p w14:paraId="7156320E"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2CB44A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1B14FD4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F4655E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Resource Planning and Integration Framework</w:t>
      </w:r>
    </w:p>
    <w:p w14:paraId="1859699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 formal process that identifies, documents, and integrates AI risk management resource needs into the overall risk framework and budgeting cycle.</w:t>
      </w:r>
    </w:p>
    <w:p w14:paraId="393478F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D11243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Resource planning templates linked to risk assessments and system performance metrics.</w:t>
      </w:r>
    </w:p>
    <w:p w14:paraId="05A6802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Integration of AI risk management resource estimates into the organization’s risk management plan.</w:t>
      </w:r>
    </w:p>
    <w:p w14:paraId="5F8F713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Resource requirement documentation aligned with organizational risk appetite.</w:t>
      </w:r>
    </w:p>
    <w:p w14:paraId="1CF85B4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resource planning procedures.</w:t>
      </w:r>
    </w:p>
    <w:p w14:paraId="7ED1662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24930C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 Review and Adjustment of Resource Needs</w:t>
      </w:r>
    </w:p>
    <w:p w14:paraId="0CE0FBC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periodic assessments of resource adequacy considering system performance, evolving risks, operational changes, and industry benchmarks, updating plans as necessary to ensure that the organization can effectively manage AI risks and adapt to dynamic conditions.</w:t>
      </w:r>
    </w:p>
    <w:p w14:paraId="2E274DE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4E40CC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with documented evaluations and adjustments.</w:t>
      </w:r>
    </w:p>
    <w:p w14:paraId="2BCC00A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resource estimates reflecting recent system or risk profile changes.</w:t>
      </w:r>
    </w:p>
    <w:p w14:paraId="4C42850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on resource utilization and gaps.</w:t>
      </w:r>
    </w:p>
    <w:p w14:paraId="2EF710E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request records for reallocations.</w:t>
      </w:r>
    </w:p>
    <w:p w14:paraId="575024D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8A22B6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Incorporation into Budgeting and Investment Processes</w:t>
      </w:r>
    </w:p>
    <w:p w14:paraId="40685D2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Embed resource requirements for AI risk management into budgeting processes, aligning them with organizational priorities, and securing necessary funding and capabilities to ensure that risk management efforts are adequately supported and integrated into the overall financial strategy.</w:t>
      </w:r>
    </w:p>
    <w:p w14:paraId="7ECA33E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E35E82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Budget plans, resource requests, and approval documents linked to AI risk activities.</w:t>
      </w:r>
    </w:p>
    <w:p w14:paraId="6517114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Funding allocations specifically designated for AI risk mitigation.</w:t>
      </w:r>
    </w:p>
    <w:p w14:paraId="40FEC21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Investment proposals with risk management resource justifications.</w:t>
      </w:r>
    </w:p>
    <w:p w14:paraId="0868920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Strategic planning documents reflecting resource alignment.</w:t>
      </w:r>
    </w:p>
    <w:p w14:paraId="2EB797D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449303B"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Stakeholder Involvement and Approval</w:t>
      </w:r>
    </w:p>
    <w:p w14:paraId="16CC1D7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Ensure relevant stakeholders—including risk, finance, and operational leaders—review and approve resource plans to support organizational goals and risk appetite to foster collaboration and ensure that resource allocation decisions align with strategic objectives.</w:t>
      </w:r>
    </w:p>
    <w:p w14:paraId="2F92B2B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9DE426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and approval signatures from key stakeholders.</w:t>
      </w:r>
    </w:p>
    <w:p w14:paraId="4EA697A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Resource allocation sign-off records.</w:t>
      </w:r>
    </w:p>
    <w:p w14:paraId="6813BB0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stakeholder discussions and feedback.</w:t>
      </w:r>
    </w:p>
    <w:p w14:paraId="57FAD69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on resource prioritization aligned with strategic objectives.</w:t>
      </w:r>
    </w:p>
    <w:p w14:paraId="4D06E03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BD40F1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and Continuous Improvement of Resource Allocation Processes</w:t>
      </w:r>
    </w:p>
    <w:p w14:paraId="3152F9C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 resource planning practices, review outcomes, lessons learned, and refine processes to enhance effectiveness and responsiveness to system or risk profile changes to maintain a proactive approach in managing AI risks and ensure continuous improvement in resource management.</w:t>
      </w:r>
    </w:p>
    <w:p w14:paraId="5744679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647A73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summarizing lessons learned from resource reviews.</w:t>
      </w:r>
    </w:p>
    <w:p w14:paraId="35E7814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resource planning procedures and templates.</w:t>
      </w:r>
    </w:p>
    <w:p w14:paraId="0D57BB4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process improvements and related training.</w:t>
      </w:r>
    </w:p>
    <w:p w14:paraId="79B8E3B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Periodic review schedules with documented adjustments.</w:t>
      </w:r>
    </w:p>
    <w:p w14:paraId="4503E706"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41C2B668"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65DC9CD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5B79642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2CB4E35D" w14:textId="77777777" w:rsidTr="005C00A5">
        <w:tc>
          <w:tcPr>
            <w:tcW w:w="1170" w:type="dxa"/>
          </w:tcPr>
          <w:p w14:paraId="5B05198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6DB0D0D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3349AE6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3A70C3EB" w14:textId="77777777" w:rsidTr="005C00A5">
        <w:tc>
          <w:tcPr>
            <w:tcW w:w="1170" w:type="dxa"/>
          </w:tcPr>
          <w:p w14:paraId="32832BD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MG-2.1.2</w:t>
            </w:r>
          </w:p>
        </w:tc>
        <w:tc>
          <w:tcPr>
            <w:tcW w:w="2160" w:type="dxa"/>
          </w:tcPr>
          <w:p w14:paraId="6D36CF9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Resource Allocation and Budgeting</w:t>
            </w:r>
          </w:p>
        </w:tc>
        <w:tc>
          <w:tcPr>
            <w:tcW w:w="6740" w:type="dxa"/>
          </w:tcPr>
          <w:p w14:paraId="6AC7D6C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allocates resources for AI risk management into its existing budgeting processes, ensuring that adequate resources are dedicated to managing AI risks effectively. This integration ensures that AI risk management resource needs are aligned with overall organizational priorities and strategies, and are considered as part of the regular budgeting cycle</w:t>
            </w:r>
          </w:p>
          <w:p w14:paraId="0F87B690" w14:textId="77777777" w:rsidR="00963E47" w:rsidRPr="00963E47" w:rsidRDefault="00963E47" w:rsidP="004C3837">
            <w:pPr>
              <w:keepNext/>
              <w:rPr>
                <w:rFonts w:ascii="Aptos" w:hAnsi="Aptos" w:cs="Times New Roman"/>
                <w:b/>
                <w:bCs/>
                <w:color w:val="000000"/>
                <w:sz w:val="20"/>
                <w:szCs w:val="20"/>
              </w:rPr>
            </w:pPr>
          </w:p>
          <w:p w14:paraId="6473682F" w14:textId="77777777" w:rsidR="00963E47" w:rsidRPr="00963E47" w:rsidRDefault="00963E47" w:rsidP="004C3837">
            <w:pPr>
              <w:keepNext/>
              <w:rPr>
                <w:rFonts w:ascii="Aptos" w:hAnsi="Aptos" w:cs="Times New Roman"/>
                <w:b/>
                <w:bCs/>
                <w:color w:val="000000"/>
                <w:sz w:val="20"/>
                <w:szCs w:val="20"/>
              </w:rPr>
            </w:pPr>
            <w:hyperlink r:id="rId212" w:anchor="manage-2-1" w:history="1">
              <w:r w:rsidRPr="00963E47">
                <w:rPr>
                  <w:rFonts w:ascii="Aptos" w:hAnsi="Aptos" w:cs="Times New Roman"/>
                  <w:color w:val="000000"/>
                  <w:sz w:val="20"/>
                  <w:szCs w:val="20"/>
                  <w:u w:val="single"/>
                </w:rPr>
                <w:t>Link to NIST AI RMF Playbook</w:t>
              </w:r>
            </w:hyperlink>
          </w:p>
        </w:tc>
      </w:tr>
    </w:tbl>
    <w:p w14:paraId="1318D6FB"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AFC0F09"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72D99A6B"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39E3C5ED" w14:textId="77777777" w:rsidTr="005C00A5">
        <w:trPr>
          <w:tblHeader/>
        </w:trPr>
        <w:tc>
          <w:tcPr>
            <w:tcW w:w="2160" w:type="dxa"/>
            <w:shd w:val="clear" w:color="auto" w:fill="CCDCDC"/>
            <w:vAlign w:val="center"/>
          </w:tcPr>
          <w:p w14:paraId="2105E605"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7A561E10"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54CC3A42"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1BA1E27E" w14:textId="77777777" w:rsidTr="005C00A5">
        <w:tc>
          <w:tcPr>
            <w:tcW w:w="2160" w:type="dxa"/>
            <w:shd w:val="clear" w:color="auto" w:fill="CCDCDC"/>
          </w:tcPr>
          <w:p w14:paraId="722CE7A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3FC06B6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53E537F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4D19488" w14:textId="77777777" w:rsidTr="005C00A5">
        <w:tc>
          <w:tcPr>
            <w:tcW w:w="2160" w:type="dxa"/>
            <w:shd w:val="clear" w:color="auto" w:fill="CCDCDC"/>
          </w:tcPr>
          <w:p w14:paraId="2C7ABFB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7C1A5F7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ACD661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442EC01C" w14:textId="77777777" w:rsidTr="005C00A5">
        <w:tc>
          <w:tcPr>
            <w:tcW w:w="2160" w:type="dxa"/>
            <w:shd w:val="clear" w:color="auto" w:fill="CCDCDC"/>
          </w:tcPr>
          <w:p w14:paraId="073C170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274B1C9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079397A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1E89AF33" w14:textId="77777777" w:rsidTr="005C00A5">
        <w:tc>
          <w:tcPr>
            <w:tcW w:w="2160" w:type="dxa"/>
            <w:shd w:val="clear" w:color="auto" w:fill="CCDCDC"/>
          </w:tcPr>
          <w:p w14:paraId="508CBA1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41CC5FA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87F165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resource allocation for AI risk management dynamically integrated into their budgeting processes, with continuous optimization based on real-time risk data and seamless alignment with organizational priorities and strategies.</w:t>
            </w:r>
          </w:p>
        </w:tc>
      </w:tr>
    </w:tbl>
    <w:p w14:paraId="231300F6"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6E0A10A1" w14:textId="77777777" w:rsidTr="005C00A5">
        <w:tc>
          <w:tcPr>
            <w:tcW w:w="2250" w:type="dxa"/>
          </w:tcPr>
          <w:p w14:paraId="2B18912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6884FF9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514F660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162BD4B6" w14:textId="77777777" w:rsidTr="005C00A5">
        <w:tc>
          <w:tcPr>
            <w:tcW w:w="2250" w:type="dxa"/>
          </w:tcPr>
          <w:p w14:paraId="132CD48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39E1B8A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Unbudgeted Risk Management Needs</w:t>
            </w:r>
          </w:p>
        </w:tc>
        <w:tc>
          <w:tcPr>
            <w:tcW w:w="5300" w:type="dxa"/>
          </w:tcPr>
          <w:p w14:paraId="23768DD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Resource needs for AI risk management are not adequately funded in organizational budgets</w:t>
            </w:r>
          </w:p>
        </w:tc>
      </w:tr>
    </w:tbl>
    <w:p w14:paraId="2A8C03A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875576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28A7625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8754FF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Incorporate resource allocation for AI risk management into the organization's existing budgeting processes. This ensures that adequate resources are dedicated to managing AI risks effectively and that these resource needs are aligned with overall organizational priorities and strategies.</w:t>
      </w:r>
    </w:p>
    <w:p w14:paraId="078AA4AF"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6CDC862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Consider AI risk management resource requirements as part of the regular budgeting cycle, and establish a process for requesting and approving additional resources when needed. Ensure that the budgeting process is transparent and that all relevant stakeholders are involved in the decision-making process.</w:t>
      </w:r>
    </w:p>
    <w:p w14:paraId="63131899"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EA399C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154FF66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7ABEE5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Embedding AI Risk Resources into Budget Planning</w:t>
      </w:r>
    </w:p>
    <w:p w14:paraId="59E31FD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Incorporate specific resource requirements for AI risk management into the standard organizational budgeting process to promote alignment with strategic priorities.</w:t>
      </w:r>
    </w:p>
    <w:p w14:paraId="7948BF8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6E8DB7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Budget proposals including dedicated funds for AI risk activities.</w:t>
      </w:r>
    </w:p>
    <w:p w14:paraId="5E381EE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Cost estimates and resource requests linked explicitly to AI risk management needs.</w:t>
      </w:r>
    </w:p>
    <w:p w14:paraId="2A06401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Inclusion of AI risk considerations in strategic planning documents.</w:t>
      </w:r>
    </w:p>
    <w:p w14:paraId="4CD5605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budget templates reflecting AI resource allocations.</w:t>
      </w:r>
    </w:p>
    <w:p w14:paraId="30DE977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666901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Alignment of AI Risk Management Resources with Organizational Strategies</w:t>
      </w:r>
    </w:p>
    <w:p w14:paraId="07B2C1F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Ensure resource allocations are consistent with the organization’s overall risk appetite, strategic goals, and operational priorities to promote a cohesive approach to risk management that aligns with broader organizational objectives.</w:t>
      </w:r>
    </w:p>
    <w:p w14:paraId="6FC7BAA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C50930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Resource planning documents showing linkage to risk management strategies.</w:t>
      </w:r>
    </w:p>
    <w:p w14:paraId="1A253ED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Approvals from senior leadership confirming alignment.</w:t>
      </w:r>
    </w:p>
    <w:p w14:paraId="21E8D35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appetite statements referenced in resource allocation plans.</w:t>
      </w:r>
    </w:p>
    <w:p w14:paraId="7C016A0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Metrics or dashboards tracking allocation alignment.</w:t>
      </w:r>
    </w:p>
    <w:p w14:paraId="5D4D872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247B44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Review and Adjustment within the Budget Cycle</w:t>
      </w:r>
    </w:p>
    <w:p w14:paraId="13DB9CA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review resource needs against emerging risks, system changes, and operational feedback, adjusting allocations as part of the annual or cycle-based budgeting process to ensure that resources remain sufficient to address current and anticipated AI risks effectively.</w:t>
      </w:r>
    </w:p>
    <w:p w14:paraId="6B146CA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99870C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meeting minutes discussing adjustments.</w:t>
      </w:r>
    </w:p>
    <w:p w14:paraId="382B216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Revisions to resource requests based on new risk assessments.</w:t>
      </w:r>
    </w:p>
    <w:p w14:paraId="69ACBB6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Annual resource allocation reports.</w:t>
      </w:r>
    </w:p>
    <w:p w14:paraId="229EB34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request records for reallocations.</w:t>
      </w:r>
    </w:p>
    <w:p w14:paraId="3D50F94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678A32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Documented Decision-Making and Approvals</w:t>
      </w:r>
    </w:p>
    <w:p w14:paraId="3D1851D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Record all resource allocation decisions related to AI risk management, including rationale, responsible parties, and approval authorization to maintain transparency and accountability in resource management practices.</w:t>
      </w:r>
    </w:p>
    <w:p w14:paraId="69082E7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9EBA67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Resource allocation approval forms or sign-offs.</w:t>
      </w:r>
    </w:p>
    <w:p w14:paraId="605EA44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Decision logs linking resource needs to risk assessments.</w:t>
      </w:r>
    </w:p>
    <w:p w14:paraId="29D24CA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sign-off records.</w:t>
      </w:r>
    </w:p>
    <w:p w14:paraId="03D2A5D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trails for resource allocation approvals.</w:t>
      </w:r>
    </w:p>
    <w:p w14:paraId="4330EB6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6C4383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Monitoring and Iterative Reallocation Process</w:t>
      </w:r>
    </w:p>
    <w:p w14:paraId="70ACA53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Monitor resource utilization and risk mitigation effectiveness throughout the cycle, making adjustments to resource allocations as needed to maintain effectiveness and alignment with evolving risks and priorities to ensure that the organization remains responsive to changes in the risk landscape and continues to manage AI risks effectively.</w:t>
      </w:r>
    </w:p>
    <w:p w14:paraId="2A4AFAA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97EEA8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Resource utilization dashboards and review reports.</w:t>
      </w:r>
    </w:p>
    <w:p w14:paraId="34F9162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risk and operational teams.</w:t>
      </w:r>
    </w:p>
    <w:p w14:paraId="52D4152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Reallocation records and updated budgets.</w:t>
      </w:r>
    </w:p>
    <w:p w14:paraId="2D3C9FC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logs from resource adjustments.</w:t>
      </w:r>
    </w:p>
    <w:p w14:paraId="09CBA0D8"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63E62D5F"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10678A7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6F38328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5AF12959" w14:textId="77777777" w:rsidTr="005C00A5">
        <w:tc>
          <w:tcPr>
            <w:tcW w:w="1170" w:type="dxa"/>
          </w:tcPr>
          <w:p w14:paraId="59F828F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204821D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0A46D8A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4A48AC36" w14:textId="77777777" w:rsidTr="005C00A5">
        <w:tc>
          <w:tcPr>
            <w:tcW w:w="1170" w:type="dxa"/>
          </w:tcPr>
          <w:p w14:paraId="70CC102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MG-2.1.3</w:t>
            </w:r>
          </w:p>
        </w:tc>
        <w:tc>
          <w:tcPr>
            <w:tcW w:w="2160" w:type="dxa"/>
          </w:tcPr>
          <w:p w14:paraId="5F94735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Resource Effectiveness Monitoring</w:t>
            </w:r>
          </w:p>
        </w:tc>
        <w:tc>
          <w:tcPr>
            <w:tcW w:w="6740" w:type="dxa"/>
          </w:tcPr>
          <w:p w14:paraId="5D18F1D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establishes mechanisms to monitor the effectiveness of AI risk management resource allocation, including metrics for evaluating risk reduction, impact mitigation, benefits realization, and stakeholder satisfaction.</w:t>
            </w:r>
          </w:p>
          <w:p w14:paraId="2101E7BF" w14:textId="77777777" w:rsidR="00963E47" w:rsidRPr="00963E47" w:rsidRDefault="00963E47" w:rsidP="004C3837">
            <w:pPr>
              <w:keepNext/>
              <w:rPr>
                <w:rFonts w:ascii="Aptos" w:hAnsi="Aptos" w:cs="Times New Roman"/>
                <w:b/>
                <w:bCs/>
                <w:color w:val="000000"/>
                <w:sz w:val="20"/>
                <w:szCs w:val="20"/>
              </w:rPr>
            </w:pPr>
          </w:p>
          <w:p w14:paraId="612457C9" w14:textId="77777777" w:rsidR="00963E47" w:rsidRPr="00963E47" w:rsidRDefault="00963E47" w:rsidP="004C3837">
            <w:pPr>
              <w:keepNext/>
              <w:rPr>
                <w:rFonts w:ascii="Aptos" w:hAnsi="Aptos" w:cs="Times New Roman"/>
                <w:b/>
                <w:bCs/>
                <w:color w:val="000000"/>
                <w:sz w:val="20"/>
                <w:szCs w:val="20"/>
              </w:rPr>
            </w:pPr>
            <w:hyperlink r:id="rId213" w:anchor="manage-2-1" w:history="1">
              <w:r w:rsidRPr="00963E47">
                <w:rPr>
                  <w:rFonts w:ascii="Aptos" w:hAnsi="Aptos" w:cs="Times New Roman"/>
                  <w:color w:val="000000"/>
                  <w:sz w:val="20"/>
                  <w:szCs w:val="20"/>
                  <w:u w:val="single"/>
                </w:rPr>
                <w:t>Link to NIST AI RMF Playbook</w:t>
              </w:r>
            </w:hyperlink>
          </w:p>
        </w:tc>
      </w:tr>
    </w:tbl>
    <w:p w14:paraId="61036690"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A827F13"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5B51D0CB"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4C6E9A55" w14:textId="77777777" w:rsidTr="005C00A5">
        <w:trPr>
          <w:tblHeader/>
        </w:trPr>
        <w:tc>
          <w:tcPr>
            <w:tcW w:w="2160" w:type="dxa"/>
            <w:shd w:val="clear" w:color="auto" w:fill="CCDCDC"/>
            <w:vAlign w:val="center"/>
          </w:tcPr>
          <w:p w14:paraId="6CC3F43A"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347D5845"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47B02B01"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3A5B852B" w14:textId="77777777" w:rsidTr="005C00A5">
        <w:tc>
          <w:tcPr>
            <w:tcW w:w="2160" w:type="dxa"/>
            <w:shd w:val="clear" w:color="auto" w:fill="CCDCDC"/>
          </w:tcPr>
          <w:p w14:paraId="4A2387F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50240DC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2329A7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4B6E6B45" w14:textId="77777777" w:rsidTr="005C00A5">
        <w:tc>
          <w:tcPr>
            <w:tcW w:w="2160" w:type="dxa"/>
            <w:shd w:val="clear" w:color="auto" w:fill="CCDCDC"/>
          </w:tcPr>
          <w:p w14:paraId="64108B3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69BA0A4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12960A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608010D8" w14:textId="77777777" w:rsidTr="005C00A5">
        <w:tc>
          <w:tcPr>
            <w:tcW w:w="2160" w:type="dxa"/>
            <w:shd w:val="clear" w:color="auto" w:fill="CCDCDC"/>
          </w:tcPr>
          <w:p w14:paraId="6616062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75F759C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D3B8C3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have robust mechanisms to monitor the effectiveness of AI risk management resources and processes, with well-defined metrics for evaluating risk reduction, impact mitigation, and stakeholder satisfaction, consistently applied and used to inform improvements.</w:t>
            </w:r>
          </w:p>
        </w:tc>
      </w:tr>
      <w:tr w:rsidR="00963E47" w:rsidRPr="00963E47" w14:paraId="0D531ACE" w14:textId="77777777" w:rsidTr="005C00A5">
        <w:tc>
          <w:tcPr>
            <w:tcW w:w="2160" w:type="dxa"/>
            <w:shd w:val="clear" w:color="auto" w:fill="CCDCDC"/>
          </w:tcPr>
          <w:p w14:paraId="2C13250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757F7ED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731D20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mechanisms to monitor the effectiveness of AI risk management resources and processes in real-time, with dynamic, data-driven metrics for evaluating risk reduction, impact mitigation, and stakeholder satisfaction, continuously informing proactive optimization.</w:t>
            </w:r>
          </w:p>
        </w:tc>
      </w:tr>
    </w:tbl>
    <w:p w14:paraId="48381685"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1C7872AE" w14:textId="77777777" w:rsidTr="005C00A5">
        <w:tc>
          <w:tcPr>
            <w:tcW w:w="2250" w:type="dxa"/>
          </w:tcPr>
          <w:p w14:paraId="2AC4C34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5985831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7203F26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737FBC03" w14:textId="77777777" w:rsidTr="005C00A5">
        <w:tc>
          <w:tcPr>
            <w:tcW w:w="2250" w:type="dxa"/>
          </w:tcPr>
          <w:p w14:paraId="53D4357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0F14995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Unincorporated Resource Allocation</w:t>
            </w:r>
          </w:p>
        </w:tc>
        <w:tc>
          <w:tcPr>
            <w:tcW w:w="5300" w:type="dxa"/>
          </w:tcPr>
          <w:p w14:paraId="244B301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risk resource allocation is not incorporated into regular budgeting</w:t>
            </w:r>
          </w:p>
        </w:tc>
      </w:tr>
    </w:tbl>
    <w:p w14:paraId="065CB60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DBF020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13BDB33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F9020C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mechanisms to monitor the effectiveness of AI risk management resource allocation, including metrics for evaluating risk reduction, impact mitigation, and stakeholder satisfaction. Develop a set of key performance indicators (KPIs) that are aligned with the organization's overall risk management objectives and that can be easily measured and tracked over time.</w:t>
      </w:r>
    </w:p>
    <w:p w14:paraId="0747A661"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62C6906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Regularly collect and analyze data related to these KPIs, and use this information to identify areas for improvement and to make necessary adjustments to AI risk management resources and processes. Engage with relevant stakeholders, such as end-users, domain experts, and impacted communities, to gather feedback on the effectiveness of AI risk management efforts and to ensure that their needs and concerns are being addressed.</w:t>
      </w:r>
    </w:p>
    <w:p w14:paraId="769ED652"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691013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43E9B8A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85DFF0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Monitoring Metrics and Indicators</w:t>
      </w:r>
    </w:p>
    <w:p w14:paraId="490D0B3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Define clear metrics and KPIs to evaluate how effectively resources are reducing risks, mitigating impacts, and satisfying stakeholder needs.</w:t>
      </w:r>
    </w:p>
    <w:p w14:paraId="1473A02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32D314D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Metrics dashboards displaying risk mitigation progress and residual risk levels.</w:t>
      </w:r>
    </w:p>
    <w:p w14:paraId="66D24EF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KPI reports measuring stakeholder satisfaction and engagement levels.</w:t>
      </w:r>
    </w:p>
    <w:p w14:paraId="2D2B7C8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Impact assessment charts correlating resource deployment with risk outcomes.</w:t>
      </w:r>
    </w:p>
    <w:p w14:paraId="7854D5A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Benchmarking metrics comparing planned versus actual resource effectiveness.</w:t>
      </w:r>
    </w:p>
    <w:p w14:paraId="6995519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068EE3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Implementation of Monitoring Tools and Data Collection</w:t>
      </w:r>
    </w:p>
    <w:p w14:paraId="7488A42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Deploy automated dashboards, surveys, and data collection tools to continuously record and analyze resource utilization, impact mitigation progress, and stakeholder feedback to facilitate real-time monitoring and ensure data-driven decision-making.</w:t>
      </w:r>
    </w:p>
    <w:p w14:paraId="390F428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97798A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dashboards tracking resource input and risk indicators over time.</w:t>
      </w:r>
    </w:p>
    <w:p w14:paraId="1C27D1D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feedback surveys and response logs.</w:t>
      </w:r>
    </w:p>
    <w:p w14:paraId="3EAA5ED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and risk event logs showing resource-related responses.</w:t>
      </w:r>
    </w:p>
    <w:p w14:paraId="2905B60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Automated alerts triggered by metric deviations.</w:t>
      </w:r>
    </w:p>
    <w:p w14:paraId="5B25D6E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5B349D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 Evaluation and Reporting</w:t>
      </w:r>
    </w:p>
    <w:p w14:paraId="5A25A89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periodic reviews of the collected data to assess the impact of resource allocation on risk reduction and stakeholder satisfaction, and generate reports for decision-makers to provide insights that inform future resource management strategies.</w:t>
      </w:r>
    </w:p>
    <w:p w14:paraId="71C13B4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D0C539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Evaluation reports highlighting performance against KPIs.</w:t>
      </w:r>
    </w:p>
    <w:p w14:paraId="7CEF62E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from reviews discussing effectiveness and adjustments.</w:t>
      </w:r>
    </w:p>
    <w:p w14:paraId="06B227B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Variance analyses between target and actual outcomes.</w:t>
      </w:r>
    </w:p>
    <w:p w14:paraId="7BAA4B4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reporting summaries.</w:t>
      </w:r>
    </w:p>
    <w:p w14:paraId="4F15EA2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6C4EFF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Feedback-Driven Improvements and Adjustments</w:t>
      </w:r>
    </w:p>
    <w:p w14:paraId="1C361AF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evaluation outcomes to refine resource deployment, improve mitigation strategies, and enhance stakeholder engagement, documenting adjustments and their rationale to ensure clarity and foster accountability in the resource management process.</w:t>
      </w:r>
    </w:p>
    <w:p w14:paraId="62B444F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8C6F1D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plans and change logs for resource reallocations.</w:t>
      </w:r>
    </w:p>
    <w:p w14:paraId="4339198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strategies based on performance metrics.</w:t>
      </w:r>
    </w:p>
    <w:p w14:paraId="0095280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input influencing resource or process changes.</w:t>
      </w:r>
    </w:p>
    <w:p w14:paraId="752CB80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reports.</w:t>
      </w:r>
    </w:p>
    <w:p w14:paraId="4F9BF20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CA1D37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Monitoring and Improvement Cycle</w:t>
      </w:r>
    </w:p>
    <w:p w14:paraId="573B121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ongoing cycles of measurement, evaluation, and process refinement to maintain resource effectiveness aligned with evolving risks and stakeholder expectations to guarantee that the organization remains proactive in managing AI risks while optimizing resource utilization.</w:t>
      </w:r>
    </w:p>
    <w:p w14:paraId="1030DDB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DB73AA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Schedule and records of continuous improvement meetings.</w:t>
      </w:r>
    </w:p>
    <w:p w14:paraId="395306B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Revisions of KPIs and metrics reflecting lessons learned.</w:t>
      </w:r>
    </w:p>
    <w:p w14:paraId="41349A3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periodic stakeholder surveys.</w:t>
      </w:r>
    </w:p>
    <w:p w14:paraId="1A0C97E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dashboards with trend analyses and insights.</w:t>
      </w:r>
    </w:p>
    <w:p w14:paraId="702D5389"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73" w:name="_Toc214874818"/>
      <w:r w:rsidRPr="00963E47">
        <w:rPr>
          <w:rFonts w:ascii="Aptos" w:eastAsia="Aptos" w:hAnsi="Aptos" w:cs="Times New Roman"/>
          <w:b/>
          <w:bCs/>
          <w:noProof/>
          <w:color w:val="35256B"/>
          <w:kern w:val="2"/>
          <w:sz w:val="24"/>
          <w14:ligatures w14:val="standardContextual"/>
        </w:rPr>
        <w:lastRenderedPageBreak/>
        <w:t>MANAGE / Maximizing Benefits / Ensuring Sustained Value</w:t>
      </w:r>
      <w:bookmarkEnd w:id="73"/>
      <w:r w:rsidRPr="00963E47">
        <w:rPr>
          <w:rFonts w:ascii="Aptos" w:eastAsia="Aptos" w:hAnsi="Aptos" w:cs="Times New Roman"/>
          <w:b/>
          <w:bCs/>
          <w:noProof/>
          <w:color w:val="35256B"/>
          <w:kern w:val="2"/>
          <w:sz w:val="24"/>
          <w14:ligatures w14:val="standardContextual"/>
        </w:rPr>
        <w:t xml:space="preserve"> </w:t>
      </w:r>
    </w:p>
    <w:p w14:paraId="15EA92F4"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6314489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1C30F02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495AF7C7" w14:textId="77777777" w:rsidTr="005C00A5">
        <w:tc>
          <w:tcPr>
            <w:tcW w:w="1170" w:type="dxa"/>
          </w:tcPr>
          <w:p w14:paraId="1C796C8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7945032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6797E5E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7639365C" w14:textId="77777777" w:rsidTr="005C00A5">
        <w:tc>
          <w:tcPr>
            <w:tcW w:w="1170" w:type="dxa"/>
          </w:tcPr>
          <w:p w14:paraId="41E05D9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MG-2.2.1</w:t>
            </w:r>
          </w:p>
        </w:tc>
        <w:tc>
          <w:tcPr>
            <w:tcW w:w="2160" w:type="dxa"/>
          </w:tcPr>
          <w:p w14:paraId="5774457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Ongoing AI Performance and Trustworthiness Monitoring</w:t>
            </w:r>
          </w:p>
        </w:tc>
        <w:tc>
          <w:tcPr>
            <w:tcW w:w="6740" w:type="dxa"/>
          </w:tcPr>
          <w:p w14:paraId="2299187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implements and applies mechanisms to sustain the performance, trustworthiness, and alignment of deployed AI systems with organizational values, norms, and risk tolerances, ensuring their continued value delivery.</w:t>
            </w:r>
          </w:p>
          <w:p w14:paraId="664C0583" w14:textId="77777777" w:rsidR="00963E47" w:rsidRPr="00963E47" w:rsidRDefault="00963E47" w:rsidP="004C3837">
            <w:pPr>
              <w:keepNext/>
              <w:rPr>
                <w:rFonts w:ascii="Aptos" w:hAnsi="Aptos" w:cs="Times New Roman"/>
                <w:b/>
                <w:bCs/>
                <w:color w:val="000000"/>
                <w:sz w:val="20"/>
                <w:szCs w:val="20"/>
              </w:rPr>
            </w:pPr>
          </w:p>
          <w:p w14:paraId="0D7C5799" w14:textId="77777777" w:rsidR="00963E47" w:rsidRPr="00963E47" w:rsidRDefault="00963E47" w:rsidP="004C3837">
            <w:pPr>
              <w:keepNext/>
              <w:rPr>
                <w:rFonts w:ascii="Aptos" w:hAnsi="Aptos" w:cs="Times New Roman"/>
                <w:b/>
                <w:bCs/>
                <w:color w:val="000000"/>
                <w:sz w:val="20"/>
                <w:szCs w:val="20"/>
              </w:rPr>
            </w:pPr>
            <w:hyperlink r:id="rId214" w:anchor="manage-2-2" w:history="1">
              <w:r w:rsidRPr="00963E47">
                <w:rPr>
                  <w:rFonts w:ascii="Aptos" w:hAnsi="Aptos" w:cs="Times New Roman"/>
                  <w:color w:val="000000"/>
                  <w:sz w:val="20"/>
                  <w:szCs w:val="20"/>
                  <w:u w:val="single"/>
                </w:rPr>
                <w:t>Link to NIST AI RMF Playbook</w:t>
              </w:r>
            </w:hyperlink>
          </w:p>
        </w:tc>
      </w:tr>
    </w:tbl>
    <w:p w14:paraId="0BE766F4"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765581C"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15F2103A"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6CD0024A" w14:textId="77777777" w:rsidTr="005C00A5">
        <w:trPr>
          <w:tblHeader/>
        </w:trPr>
        <w:tc>
          <w:tcPr>
            <w:tcW w:w="2160" w:type="dxa"/>
            <w:shd w:val="clear" w:color="auto" w:fill="CCDCDC"/>
            <w:vAlign w:val="center"/>
          </w:tcPr>
          <w:p w14:paraId="026543B0"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01E25669"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6319B8B6"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1A39F7EC" w14:textId="77777777" w:rsidTr="005C00A5">
        <w:tc>
          <w:tcPr>
            <w:tcW w:w="2160" w:type="dxa"/>
            <w:shd w:val="clear" w:color="auto" w:fill="CCDCDC"/>
          </w:tcPr>
          <w:p w14:paraId="02F4C3D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030941B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52A7E3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08A54FE" w14:textId="77777777" w:rsidTr="005C00A5">
        <w:tc>
          <w:tcPr>
            <w:tcW w:w="2160" w:type="dxa"/>
            <w:shd w:val="clear" w:color="auto" w:fill="CCDCDC"/>
          </w:tcPr>
          <w:p w14:paraId="3CE8DE1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4C9BDE7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2B2CDB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48911FEE" w14:textId="77777777" w:rsidTr="005C00A5">
        <w:tc>
          <w:tcPr>
            <w:tcW w:w="2160" w:type="dxa"/>
            <w:shd w:val="clear" w:color="auto" w:fill="CCDCDC"/>
          </w:tcPr>
          <w:p w14:paraId="05EB95F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39E55B7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EF3585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have well-established and documented processes for sustaining the performance, trustworthiness, and alignment of deployed AI systems with organizational values, norms, and risk tolerances.</w:t>
            </w:r>
          </w:p>
        </w:tc>
      </w:tr>
      <w:tr w:rsidR="00963E47" w:rsidRPr="00963E47" w14:paraId="28635B1C" w14:textId="77777777" w:rsidTr="005C00A5">
        <w:tc>
          <w:tcPr>
            <w:tcW w:w="2160" w:type="dxa"/>
            <w:shd w:val="clear" w:color="auto" w:fill="CCDCDC"/>
          </w:tcPr>
          <w:p w14:paraId="0282BFE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6D08137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9DEEE2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sustaining the performance, trustworthiness, and alignment of deployed AI systems in real-time, with seamless integration into organizational values, norms, and risk tolerances.</w:t>
            </w:r>
          </w:p>
        </w:tc>
      </w:tr>
    </w:tbl>
    <w:p w14:paraId="06AB0E34"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265974DE" w14:textId="77777777" w:rsidTr="005C00A5">
        <w:tc>
          <w:tcPr>
            <w:tcW w:w="2250" w:type="dxa"/>
          </w:tcPr>
          <w:p w14:paraId="6B4C89E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72523DE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581E882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10DC2712" w14:textId="77777777" w:rsidTr="005C00A5">
        <w:tc>
          <w:tcPr>
            <w:tcW w:w="2250" w:type="dxa"/>
          </w:tcPr>
          <w:p w14:paraId="50E52D6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030CCB6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Unmonitored Allocation Effectiveness</w:t>
            </w:r>
          </w:p>
        </w:tc>
        <w:tc>
          <w:tcPr>
            <w:tcW w:w="5300" w:type="dxa"/>
          </w:tcPr>
          <w:p w14:paraId="1CE4CEB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Resource allocation effectiveness for AI risk management is unmonitored</w:t>
            </w:r>
          </w:p>
        </w:tc>
      </w:tr>
    </w:tbl>
    <w:p w14:paraId="68D3921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797565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23D7277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012938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and document processes to ensure the ongoing performance, trustworthiness, and alignment of deployed AI systems with organizational values, norms, and risk tolerances. Processes should include active risk management activities such as continuous monitoring of AI system behavior and performance, implementing guardrails and controls to mitigate identified risks, and allocating appropriate resources for maintaining system integrity over time. Establish governance structures and clear accountability mechanisms to oversee these activities, ensuring that roles and responsibilities are well-defined and that there is transparency in decision-making related to AI system performance and trustworthiness.</w:t>
      </w:r>
    </w:p>
    <w:p w14:paraId="33B21621"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207CE6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Implement mechanisms for risk transfer, such as acquiring appropriate insurance—cyber, AI-specific, or others—as a means to mitigate potential residual risks associated with deployed AI systems. This transfer should be based on a thorough assessment of the residual risk profile, and the rationale for risk transfer decisions should be well documented, including the scope and coverage of insurance policies or other transfer mechanisms.</w:t>
      </w:r>
    </w:p>
    <w:p w14:paraId="1085F3CD"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7DE6C3A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clear guidance for acceptable risks, emphasizing the importance of documenting key risks and the rationale for their acceptance. Avoid implicit or ungoverned acceptance of risk by technical teams; instead, residual risks should be explicitly identified, documented, and reviewed by governance bodies.</w:t>
      </w:r>
    </w:p>
    <w:p w14:paraId="18ECE91D"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3B7B25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lastRenderedPageBreak/>
        <w:t xml:space="preserve">Example Controls and Evidence: </w:t>
      </w:r>
    </w:p>
    <w:p w14:paraId="49424F6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FEE314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System Sustainment and Alignment Processes</w:t>
      </w:r>
    </w:p>
    <w:p w14:paraId="3FE4AC4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formal procedures for ongoing monitoring, evaluation, and adjustment of AI systems to maintain performance, trustworthiness, and alignment with organizational standards.</w:t>
      </w:r>
    </w:p>
    <w:p w14:paraId="42B32BC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EA3BD1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Continual performance and trustworthiness monitoring protocols.</w:t>
      </w:r>
    </w:p>
    <w:p w14:paraId="1A9A445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Scheduled review and re-alignment processes tied to system updates and operational feedback.</w:t>
      </w:r>
    </w:p>
    <w:p w14:paraId="2B3BC85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Policies defining acceptable variations and thresholds.</w:t>
      </w:r>
    </w:p>
    <w:p w14:paraId="2F81A78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process documentation.</w:t>
      </w:r>
    </w:p>
    <w:p w14:paraId="1C05559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3B1506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Performance and Trustworthiness Monitoring and Reporting</w:t>
      </w:r>
    </w:p>
    <w:p w14:paraId="146580D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automated dashboards, regular audits, and stakeholder feedback to evaluate ongoing system performance and fidelity to organizational values to ensure that AI systems continually meet the expected standards and fulfill their intended purposes.</w:t>
      </w:r>
    </w:p>
    <w:p w14:paraId="150D802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1F9C77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dashboards with trustworthiness and performance KPIs.</w:t>
      </w:r>
    </w:p>
    <w:p w14:paraId="2665C04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reports confirming compliance with standards.</w:t>
      </w:r>
    </w:p>
    <w:p w14:paraId="288F19E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surveys from users and impacted communities.</w:t>
      </w:r>
    </w:p>
    <w:p w14:paraId="14E2454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and anomaly logs highlighting deviations.</w:t>
      </w:r>
    </w:p>
    <w:p w14:paraId="4789A19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60A13E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Adjustment and Calibration Based on Monitoring Outcomes</w:t>
      </w:r>
    </w:p>
    <w:p w14:paraId="4BAA2EC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corrective actions, retraining, or system recalibrations in response to monitoring findings to sustain desired system behavior and mitigate any identified deviations from performance or trustworthiness benchmarks.</w:t>
      </w:r>
    </w:p>
    <w:p w14:paraId="5AD25CE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343732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management records for system updates or retraining.</w:t>
      </w:r>
    </w:p>
    <w:p w14:paraId="5DA6239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Impact assessments demonstrating adjustments' effectiveness.</w:t>
      </w:r>
    </w:p>
    <w:p w14:paraId="49B14CE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Re-evaluation reports confirming ongoing alignment.</w:t>
      </w:r>
    </w:p>
    <w:p w14:paraId="31E0E27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communication on system improvements.</w:t>
      </w:r>
    </w:p>
    <w:p w14:paraId="1B5D865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DF7828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Policy and Standard Updates Incorporating Lessons Learned</w:t>
      </w:r>
    </w:p>
    <w:p w14:paraId="4B578DD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update organizational policies, standards, and risk tolerances based on insights from system monitoring, stakeholder feedback, and evolving norms to ensure that the framework remains relevant and effective in guiding the responsible use of AI technologies.</w:t>
      </w:r>
    </w:p>
    <w:p w14:paraId="78E8993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E4AAA5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Policy revision logs with documented rationale.</w:t>
      </w:r>
    </w:p>
    <w:p w14:paraId="6175EA6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captured from operational reviews.</w:t>
      </w:r>
    </w:p>
    <w:p w14:paraId="03AD611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risk and performance standards.</w:t>
      </w:r>
    </w:p>
    <w:p w14:paraId="2D7328C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 histories of organizational norms and policies.</w:t>
      </w:r>
    </w:p>
    <w:p w14:paraId="35F0C15F"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0373A3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Ongoing Stakeholder Engagement and Transparency</w:t>
      </w:r>
    </w:p>
    <w:p w14:paraId="11C2497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transparent communication with stakeholders regarding system performance, trustworthiness, and alignment efforts, and incorporate their feedback into sustainment processes to foster trust and collaboration between the organization and its stakeholders in managing AI systems.</w:t>
      </w:r>
    </w:p>
    <w:p w14:paraId="65895EA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2001EC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reports on system performance and trustworthiness.</w:t>
      </w:r>
    </w:p>
    <w:p w14:paraId="39A8AAE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Regular stakeholder consultation sessions or feedback channels.</w:t>
      </w:r>
    </w:p>
    <w:p w14:paraId="16B1432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actions taken based on stakeholder input.</w:t>
      </w:r>
    </w:p>
    <w:p w14:paraId="2968E8F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Transparency reports aligned with organizational norms.</w:t>
      </w:r>
    </w:p>
    <w:p w14:paraId="38BED487"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0BEC15BD"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7B0AAD3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63A390E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0167E009" w14:textId="77777777" w:rsidTr="005C00A5">
        <w:tc>
          <w:tcPr>
            <w:tcW w:w="1170" w:type="dxa"/>
          </w:tcPr>
          <w:p w14:paraId="14FB1F9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00F7179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2250660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39DD40B8" w14:textId="77777777" w:rsidTr="005C00A5">
        <w:tc>
          <w:tcPr>
            <w:tcW w:w="1170" w:type="dxa"/>
          </w:tcPr>
          <w:p w14:paraId="090A7A0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MG-2.2.2</w:t>
            </w:r>
          </w:p>
        </w:tc>
        <w:tc>
          <w:tcPr>
            <w:tcW w:w="2160" w:type="dxa"/>
          </w:tcPr>
          <w:p w14:paraId="71F8E61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Feedback-Driven System Optimization</w:t>
            </w:r>
          </w:p>
        </w:tc>
        <w:tc>
          <w:tcPr>
            <w:tcW w:w="6740" w:type="dxa"/>
          </w:tcPr>
          <w:p w14:paraId="74A068E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incorporates insights gained from performance measurements, stakeholder consultations, and root cause analyses into ongoing efforts to optimize AI system performance and trustworthiness, documenting how these insights are used to inform system updates, process improvements, or risk management strategies.</w:t>
            </w:r>
          </w:p>
          <w:p w14:paraId="48E66B78" w14:textId="77777777" w:rsidR="00963E47" w:rsidRPr="00963E47" w:rsidRDefault="00963E47" w:rsidP="004C3837">
            <w:pPr>
              <w:keepNext/>
              <w:rPr>
                <w:rFonts w:ascii="Aptos" w:hAnsi="Aptos" w:cs="Times New Roman"/>
                <w:b/>
                <w:bCs/>
                <w:color w:val="000000"/>
                <w:sz w:val="20"/>
                <w:szCs w:val="20"/>
              </w:rPr>
            </w:pPr>
          </w:p>
          <w:p w14:paraId="4AB5C1EB" w14:textId="77777777" w:rsidR="00963E47" w:rsidRPr="00963E47" w:rsidRDefault="00963E47" w:rsidP="004C3837">
            <w:pPr>
              <w:keepNext/>
              <w:rPr>
                <w:rFonts w:ascii="Aptos" w:hAnsi="Aptos" w:cs="Times New Roman"/>
                <w:b/>
                <w:bCs/>
                <w:color w:val="000000"/>
                <w:sz w:val="20"/>
                <w:szCs w:val="20"/>
              </w:rPr>
            </w:pPr>
            <w:hyperlink r:id="rId215" w:anchor="manage-2-2" w:history="1">
              <w:r w:rsidRPr="00963E47">
                <w:rPr>
                  <w:rFonts w:ascii="Aptos" w:hAnsi="Aptos" w:cs="Times New Roman"/>
                  <w:color w:val="000000"/>
                  <w:sz w:val="20"/>
                  <w:szCs w:val="20"/>
                  <w:u w:val="single"/>
                </w:rPr>
                <w:t>Link to NIST AI RMF Playbook</w:t>
              </w:r>
            </w:hyperlink>
          </w:p>
        </w:tc>
      </w:tr>
    </w:tbl>
    <w:p w14:paraId="78089F58"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DD5DE43"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10BCB4BE"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0AC3CA0C" w14:textId="77777777" w:rsidTr="005C00A5">
        <w:trPr>
          <w:tblHeader/>
        </w:trPr>
        <w:tc>
          <w:tcPr>
            <w:tcW w:w="2160" w:type="dxa"/>
            <w:shd w:val="clear" w:color="auto" w:fill="CCDCDC"/>
            <w:vAlign w:val="center"/>
          </w:tcPr>
          <w:p w14:paraId="326E8F00"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5670D2C2"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41523B90"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7E600571" w14:textId="77777777" w:rsidTr="005C00A5">
        <w:tc>
          <w:tcPr>
            <w:tcW w:w="2160" w:type="dxa"/>
            <w:shd w:val="clear" w:color="auto" w:fill="CCDCDC"/>
          </w:tcPr>
          <w:p w14:paraId="142AF3D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4ED8816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2E821A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3B1E4566" w14:textId="77777777" w:rsidTr="005C00A5">
        <w:tc>
          <w:tcPr>
            <w:tcW w:w="2160" w:type="dxa"/>
            <w:shd w:val="clear" w:color="auto" w:fill="CCDCDC"/>
          </w:tcPr>
          <w:p w14:paraId="44BDB0F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3C3AE9B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B25FB1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documented feedback loops and incorporation of performance measurements and stakeholder input help ensure isolated AI uses remain reliable and non-harmful; formalizing how insights drive updates mitigates risk as the organization begins to expand use. Establishing root-cause analysis and change documentation at this stage builds governance habits and creates repeatable processes needed before broader deployment.</w:t>
            </w:r>
          </w:p>
        </w:tc>
      </w:tr>
      <w:tr w:rsidR="00963E47" w:rsidRPr="00963E47" w14:paraId="3FEBF594" w14:textId="77777777" w:rsidTr="005C00A5">
        <w:tc>
          <w:tcPr>
            <w:tcW w:w="2160" w:type="dxa"/>
            <w:shd w:val="clear" w:color="auto" w:fill="CCDCDC"/>
          </w:tcPr>
          <w:p w14:paraId="13591BB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5C8833A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031C1F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AI touches external users and sensitive data, so actively using performance metrics, stakeholder consultations, and root-cause findings to refine models and controls is essential to maintain trust and comply with higher scrutiny. Recording how insights inform system updates and risk mitigations supports reproducibility and prepares the organization for scaling and cross-functional integration.</w:t>
            </w:r>
          </w:p>
        </w:tc>
      </w:tr>
      <w:tr w:rsidR="00963E47" w:rsidRPr="00963E47" w14:paraId="654A3C3B" w14:textId="77777777" w:rsidTr="005C00A5">
        <w:tc>
          <w:tcPr>
            <w:tcW w:w="2160" w:type="dxa"/>
            <w:shd w:val="clear" w:color="auto" w:fill="CCDCDC"/>
          </w:tcPr>
          <w:p w14:paraId="5A39138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5AAFA11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EC4219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AI is integrated into critical decisions and internal development, so continuous incorporation of measurement insights and stakeholder feedback into change processes is mandatory to preserve safety, accountability, and regulatory compliance. Thorough documentation of how analyses drive updates ensures governance transparency, supports incident response, and enables enterprise-wide coordination of improvements.</w:t>
            </w:r>
          </w:p>
        </w:tc>
      </w:tr>
    </w:tbl>
    <w:p w14:paraId="6BF5861D"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730A0463" w14:textId="77777777" w:rsidTr="005C00A5">
        <w:tc>
          <w:tcPr>
            <w:tcW w:w="2250" w:type="dxa"/>
          </w:tcPr>
          <w:p w14:paraId="4526E8D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00BF65F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49B655E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1E2BE282" w14:textId="77777777" w:rsidTr="005C00A5">
        <w:tc>
          <w:tcPr>
            <w:tcW w:w="2250" w:type="dxa"/>
          </w:tcPr>
          <w:p w14:paraId="6257393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473B829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Undetected Performance Deviations</w:t>
            </w:r>
          </w:p>
        </w:tc>
        <w:tc>
          <w:tcPr>
            <w:tcW w:w="5300" w:type="dxa"/>
          </w:tcPr>
          <w:p w14:paraId="510DEC3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Deviations in AI performance (drift, decay) are undetected or unaddressed</w:t>
            </w:r>
          </w:p>
        </w:tc>
      </w:tr>
    </w:tbl>
    <w:p w14:paraId="149D579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336F95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1F07D67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ABA9F7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a process for incorporating insights gained from performance measurements, stakeholder consultations, and root cause analyses into ongoing efforts to optimize AI system performance and trustworthiness. Develop a standardized approach for prioritizing and implementing system updates, process improvements, or risk management strategies based on these insights.</w:t>
      </w:r>
    </w:p>
    <w:p w14:paraId="34848015"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A32760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Document how these insights are used to inform specific actions or decisions related to the AI system, including the rationale for each action, the expected benefits and challenges, and the timeline for implementation. Regularly review and update this documentation to ensure it remains accurate and relevant as the AI system and its operating environment evolve.</w:t>
      </w:r>
    </w:p>
    <w:p w14:paraId="5CE6C08F"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B761BD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1D17FF6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CADA72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Establishment of an Insights Integration Process</w:t>
      </w:r>
    </w:p>
    <w:p w14:paraId="6CF328E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formal procedures for capturing, analyzing, and integrating insights from performance data, stakeholder feedback, and root cause analyses into system improvements and risk strategies.</w:t>
      </w:r>
    </w:p>
    <w:p w14:paraId="4774678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7B38E0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Process manuals outlining steps for insight collection and decision-making.</w:t>
      </w:r>
    </w:p>
    <w:p w14:paraId="1E5BF43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Templates for documenting insights, actions taken, and impact on system or process updates.</w:t>
      </w:r>
    </w:p>
    <w:p w14:paraId="48B5984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protocols for integrating lessons learned.</w:t>
      </w:r>
    </w:p>
    <w:p w14:paraId="799EFC7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Defined roles responsible for insights review and implementation.</w:t>
      </w:r>
    </w:p>
    <w:p w14:paraId="6348F91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188AB5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Insights and Their Use in System and Process Updates</w:t>
      </w:r>
    </w:p>
    <w:p w14:paraId="7321129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Record how insights are analyzed and used to inform system modifications, process improvements, and risk mitigation activities, ensuring traceability to provide a clear record of decision-making processes and the rationale for changes made.</w:t>
      </w:r>
    </w:p>
    <w:p w14:paraId="56D35F0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5F2A1F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and action logs documenting analysis outcomes.</w:t>
      </w:r>
    </w:p>
    <w:p w14:paraId="483D0AB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requests or system enhancement records citing insights as rationale.</w:t>
      </w:r>
    </w:p>
    <w:p w14:paraId="68D154A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process or system documentation reflecting improvements.</w:t>
      </w:r>
    </w:p>
    <w:p w14:paraId="41A9E87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Impact assessment reports demonstrating effect of insights on performance/trustworthiness.</w:t>
      </w:r>
    </w:p>
    <w:p w14:paraId="2E479D2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C64DA6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Stakeholder and Root Cause Analysis Reporting</w:t>
      </w:r>
    </w:p>
    <w:p w14:paraId="141B773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 stakeholder feedback and root cause findings, including analysis results, conclusions, and recommendations for improvement to create a comprehensive repository that supports transparency and iterative enhancement of AI systems.</w:t>
      </w:r>
    </w:p>
    <w:p w14:paraId="7CB92BA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6CBB79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feedback logs with analysis summaries.</w:t>
      </w:r>
    </w:p>
    <w:p w14:paraId="304F490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Root cause analysis reports with identified issues and corrective actions.</w:t>
      </w:r>
    </w:p>
    <w:p w14:paraId="6CB0EF8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Decision documentation leading to process or system adjustments.</w:t>
      </w:r>
    </w:p>
    <w:p w14:paraId="5AE1D60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Follow-up reports verifying implementation of recommendations.</w:t>
      </w:r>
    </w:p>
    <w:p w14:paraId="24DD79A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F8FE53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Monitoring and Verification of Impact of Changes</w:t>
      </w:r>
    </w:p>
    <w:p w14:paraId="2E592CA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Track the effectiveness of system and process updates driven by insights, evaluating whether performance and trustworthiness have improved to measure the impact of changes and validate their efficacy in enhancing the AI system's reliability.</w:t>
      </w:r>
    </w:p>
    <w:p w14:paraId="2E12A29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BF43CD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Performance dashboards pre- and post-implementation.</w:t>
      </w:r>
    </w:p>
    <w:p w14:paraId="03CFEB7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reports showing trend improvements.</w:t>
      </w:r>
    </w:p>
    <w:p w14:paraId="5A88ED6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collection on perceived system or process improvements.</w:t>
      </w:r>
    </w:p>
    <w:p w14:paraId="5208529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Reassessment results confirming issues have been addressed.</w:t>
      </w:r>
    </w:p>
    <w:p w14:paraId="24558AA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0B5F98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 Review and Refinement of Insight-Driven Practices</w:t>
      </w:r>
    </w:p>
    <w:p w14:paraId="60333C8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Schedule periodic reviews of how insights are utilized, ensuring methods remain effective, reflect emerging risks, and incorporate lessons learned for continuous improvement to foster a culture of adaptability and responsiveness within the organization’s AI governance framework.</w:t>
      </w:r>
    </w:p>
    <w:p w14:paraId="28A5407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66A6D01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with documented review outcomes.</w:t>
      </w:r>
    </w:p>
    <w:p w14:paraId="288B2CA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logs from previous improvement cycles.</w:t>
      </w:r>
    </w:p>
    <w:p w14:paraId="7E3BB72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procedures and protocols reflecting best practices.</w:t>
      </w:r>
    </w:p>
    <w:p w14:paraId="53EE933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summaries from stakeholders and process owners.</w:t>
      </w:r>
    </w:p>
    <w:p w14:paraId="02924714"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40BD702E"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3E856B1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1F6AC5D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1D6B1A21" w14:textId="77777777" w:rsidTr="005C00A5">
        <w:tc>
          <w:tcPr>
            <w:tcW w:w="1170" w:type="dxa"/>
          </w:tcPr>
          <w:p w14:paraId="5E34E3E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2E181F7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6E7BC61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404357ED" w14:textId="77777777" w:rsidTr="005C00A5">
        <w:tc>
          <w:tcPr>
            <w:tcW w:w="1170" w:type="dxa"/>
          </w:tcPr>
          <w:p w14:paraId="30D6194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MG-2.2.3</w:t>
            </w:r>
          </w:p>
        </w:tc>
        <w:tc>
          <w:tcPr>
            <w:tcW w:w="2160" w:type="dxa"/>
          </w:tcPr>
          <w:p w14:paraId="2093FEC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Risk Control Effectiveness Review</w:t>
            </w:r>
          </w:p>
        </w:tc>
        <w:tc>
          <w:tcPr>
            <w:tcW w:w="6740" w:type="dxa"/>
          </w:tcPr>
          <w:p w14:paraId="68A2C1A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regularly assess and updates its AI system risk controls across trustworthiness principles as needed to maintain system value and trustworthiness.</w:t>
            </w:r>
          </w:p>
          <w:p w14:paraId="46ED2DCA" w14:textId="77777777" w:rsidR="00963E47" w:rsidRPr="00963E47" w:rsidRDefault="00963E47" w:rsidP="004C3837">
            <w:pPr>
              <w:keepNext/>
              <w:rPr>
                <w:rFonts w:ascii="Aptos" w:hAnsi="Aptos" w:cs="Times New Roman"/>
                <w:b/>
                <w:bCs/>
                <w:color w:val="000000"/>
                <w:sz w:val="20"/>
                <w:szCs w:val="20"/>
              </w:rPr>
            </w:pPr>
          </w:p>
          <w:p w14:paraId="140288B6" w14:textId="77777777" w:rsidR="00963E47" w:rsidRPr="00963E47" w:rsidRDefault="00963E47" w:rsidP="004C3837">
            <w:pPr>
              <w:keepNext/>
              <w:rPr>
                <w:rFonts w:ascii="Aptos" w:hAnsi="Aptos" w:cs="Times New Roman"/>
                <w:b/>
                <w:bCs/>
                <w:color w:val="000000"/>
                <w:sz w:val="20"/>
                <w:szCs w:val="20"/>
              </w:rPr>
            </w:pPr>
            <w:hyperlink r:id="rId216" w:anchor="manage-2-2" w:history="1">
              <w:r w:rsidRPr="00963E47">
                <w:rPr>
                  <w:rFonts w:ascii="Aptos" w:hAnsi="Aptos" w:cs="Times New Roman"/>
                  <w:color w:val="000000"/>
                  <w:sz w:val="20"/>
                  <w:szCs w:val="20"/>
                  <w:u w:val="single"/>
                </w:rPr>
                <w:t>Link to NIST AI RMF Playbook</w:t>
              </w:r>
            </w:hyperlink>
          </w:p>
        </w:tc>
      </w:tr>
    </w:tbl>
    <w:p w14:paraId="72910692"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0B60953"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2290796A"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3BAEF3CB" w14:textId="77777777" w:rsidTr="005C00A5">
        <w:trPr>
          <w:tblHeader/>
        </w:trPr>
        <w:tc>
          <w:tcPr>
            <w:tcW w:w="2160" w:type="dxa"/>
            <w:shd w:val="clear" w:color="auto" w:fill="CCDCDC"/>
            <w:vAlign w:val="center"/>
          </w:tcPr>
          <w:p w14:paraId="1B8E9D32"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493137CB"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00363C2B"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6835E766" w14:textId="77777777" w:rsidTr="005C00A5">
        <w:tc>
          <w:tcPr>
            <w:tcW w:w="2160" w:type="dxa"/>
            <w:shd w:val="clear" w:color="auto" w:fill="CCDCDC"/>
          </w:tcPr>
          <w:p w14:paraId="41CB991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3ABD40F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0971A79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27D1CB66" w14:textId="77777777" w:rsidTr="005C00A5">
        <w:tc>
          <w:tcPr>
            <w:tcW w:w="2160" w:type="dxa"/>
            <w:shd w:val="clear" w:color="auto" w:fill="CCDCDC"/>
          </w:tcPr>
          <w:p w14:paraId="76FB14B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1956701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4172AC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2C4AB71A" w14:textId="77777777" w:rsidTr="005C00A5">
        <w:tc>
          <w:tcPr>
            <w:tcW w:w="2160" w:type="dxa"/>
            <w:shd w:val="clear" w:color="auto" w:fill="CCDCDC"/>
          </w:tcPr>
          <w:p w14:paraId="3674C22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384816B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09B990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regularly and proactively assess the effectiveness of AI system risk controls, considering a comprehensive set of factors, and consistently update controls as needed to maintain system value and trustworthiness.</w:t>
            </w:r>
          </w:p>
        </w:tc>
      </w:tr>
      <w:tr w:rsidR="00963E47" w:rsidRPr="00963E47" w14:paraId="30C5F8CC" w14:textId="77777777" w:rsidTr="005C00A5">
        <w:tc>
          <w:tcPr>
            <w:tcW w:w="2160" w:type="dxa"/>
            <w:shd w:val="clear" w:color="auto" w:fill="CCDCDC"/>
          </w:tcPr>
          <w:p w14:paraId="495F293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62BC71A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261E61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continuous, automated processes for assessing the effectiveness of AI system risk controls in real-time, dynamically updating controls based on data-driven insights to optimize system value and trustworthiness.</w:t>
            </w:r>
          </w:p>
        </w:tc>
      </w:tr>
    </w:tbl>
    <w:p w14:paraId="35E6732A"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53C05A6E" w14:textId="77777777" w:rsidTr="005C00A5">
        <w:tc>
          <w:tcPr>
            <w:tcW w:w="2250" w:type="dxa"/>
          </w:tcPr>
          <w:p w14:paraId="64DCEFE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0AECE62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3D4679E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4E8AB589" w14:textId="77777777" w:rsidTr="005C00A5">
        <w:tc>
          <w:tcPr>
            <w:tcW w:w="2250" w:type="dxa"/>
          </w:tcPr>
          <w:p w14:paraId="155A05E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Secure &amp; Resilient</w:t>
            </w:r>
          </w:p>
        </w:tc>
        <w:tc>
          <w:tcPr>
            <w:tcW w:w="2520" w:type="dxa"/>
          </w:tcPr>
          <w:p w14:paraId="39A2386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Unincorporated Performance Insights</w:t>
            </w:r>
          </w:p>
        </w:tc>
        <w:tc>
          <w:tcPr>
            <w:tcW w:w="5300" w:type="dxa"/>
          </w:tcPr>
          <w:p w14:paraId="1F59AE9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Performance insights are not incorporated into system improvements</w:t>
            </w:r>
          </w:p>
        </w:tc>
      </w:tr>
    </w:tbl>
    <w:p w14:paraId="3A631FD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7C9312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4C6E976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9B3312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and document processes to ensure the ongoing updating of AI system risk controls across trustworthiness principles, aligning with evolving technology, standards, and regulations. This includes regularly reviewing and refining high-level risk management strategies, such as risk transfer mechanisms and acceptance criteria, to reflect current risk landscapes, stakeholder expectations, and regulatory requirements. These updates should be approved through established governance channels, with clear records of decisions and rationales.</w:t>
      </w:r>
    </w:p>
    <w:p w14:paraId="7A713367"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63CDE3E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Implement and maintain adaptive risk response mechanisms that can be deployed in response to identified issues or changes. These mechanisms might include tightening access restrictions, implementing additional risk controls or guardrails, limiting system functionalities, or decommissioning problematic systems when necessary. Use periodic testing, monitoring, and analysis of user or stakeholder feedback should inform these updates, ensuring that response actions are appropriate and effective. Establish procedures for reviewing and updating these controls promptly in response to incidents, test results, technological advances, or changes in deployment environments, with oversight to ensure consistency and accountability.</w:t>
      </w:r>
    </w:p>
    <w:p w14:paraId="6CAC63D6"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C7F09E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lastRenderedPageBreak/>
        <w:t xml:space="preserve">Example Controls and Evidence: </w:t>
      </w:r>
    </w:p>
    <w:p w14:paraId="20AC5BE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F4E9D7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Establishment of a Review and Update Schedule for Trustworthiness Controls</w:t>
      </w:r>
    </w:p>
    <w:p w14:paraId="55FB8AF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 formal schedule and process for periodically reviewing and adjusting risk controls to reflect current system performance, emerging risks, and evolving trustworthiness standards.</w:t>
      </w:r>
    </w:p>
    <w:p w14:paraId="2E0EEA1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D365AD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Approved review calendars with defined intervals.</w:t>
      </w:r>
    </w:p>
    <w:p w14:paraId="794749E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documenting control review and adjustment decisions.</w:t>
      </w:r>
    </w:p>
    <w:p w14:paraId="3EEA5F4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tracking updates to trustworthiness controls.</w:t>
      </w:r>
    </w:p>
    <w:p w14:paraId="4055401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Protocols for re-assessment following incidents or new standards.</w:t>
      </w:r>
    </w:p>
    <w:p w14:paraId="2187A4E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BCD9B1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Monitoring and Assessment of Control Effectiveness</w:t>
      </w:r>
    </w:p>
    <w:p w14:paraId="49C2A5A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ongoing monitoring and evaluation to verify that trustworthiness controls continue to operate effectively and meet specified objectives to ensure that AI systems maintain their reliability, fairness, and accountability in alignment with organizational goals.</w:t>
      </w:r>
    </w:p>
    <w:p w14:paraId="4B59E6C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2F7952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Performance dashboards measuring fairness, transparency, and robustness metrics.</w:t>
      </w:r>
    </w:p>
    <w:p w14:paraId="7F227EE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Compliance audit reports confirming control adherence.</w:t>
      </w:r>
    </w:p>
    <w:p w14:paraId="696ADCB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stakeholders indicating perceived trustworthiness.</w:t>
      </w:r>
    </w:p>
    <w:p w14:paraId="43A294A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and breach logs related to trust issues.</w:t>
      </w:r>
    </w:p>
    <w:p w14:paraId="4F2C9BC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D6149C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Incorporation of Lessons Learned and External Standards</w:t>
      </w:r>
    </w:p>
    <w:p w14:paraId="1859513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Incorporate insights from internal assessments, stakeholder feedback, and evolving industry standards or regulations into updates of trustworthiness controls to ensure that the organization remains compliant and responsive to best practices in AI governance.</w:t>
      </w:r>
    </w:p>
    <w:p w14:paraId="358E25C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94BA82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reports from audits and operational reviews.</w:t>
      </w:r>
    </w:p>
    <w:p w14:paraId="567F5CE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procedures aligning with new standards and regulations.</w:t>
      </w:r>
    </w:p>
    <w:p w14:paraId="6F1BD73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feedback documented and incorporated.</w:t>
      </w:r>
    </w:p>
    <w:p w14:paraId="1A1D50C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External benchmarks and best practices integration.</w:t>
      </w:r>
    </w:p>
    <w:p w14:paraId="71AF868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5C8CC6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and Version Control of Control Updates</w:t>
      </w:r>
    </w:p>
    <w:p w14:paraId="3356398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Record all updates to trustworthiness risk controls, including rationale, methodology, and approval, ensuring transparency and traceability to facilitate accountability and allow for future audits of the decision-making process.</w:t>
      </w:r>
    </w:p>
    <w:p w14:paraId="0DE8B24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30B176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control policy documents.</w:t>
      </w:r>
    </w:p>
    <w:p w14:paraId="4B8E395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request and approval records.</w:t>
      </w:r>
    </w:p>
    <w:p w14:paraId="2A3B884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control implementation manuals.</w:t>
      </w:r>
    </w:p>
    <w:p w14:paraId="48E8611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logs showing formal re-approval.</w:t>
      </w:r>
    </w:p>
    <w:p w14:paraId="15E2746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B981EE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Improvement and Future Risk Anticipation</w:t>
      </w:r>
    </w:p>
    <w:p w14:paraId="05E595E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Use ongoing performance data, incident reports, and stakeholder feedback to proactively refine controls, address new trustworthiness challenges, and maintain system value to foster continuous improvement and adaptability in the organization’s approach to managing AI risks.</w:t>
      </w:r>
    </w:p>
    <w:p w14:paraId="53B5660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11939C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Trend analyses highlighting control adaptation needs.</w:t>
      </w:r>
    </w:p>
    <w:p w14:paraId="6FCB139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plans for implementing new control measures.</w:t>
      </w:r>
    </w:p>
    <w:p w14:paraId="5CBC330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captured and integrated.</w:t>
      </w:r>
    </w:p>
    <w:p w14:paraId="3AFF121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Future risk assessments incorporating trustworthiness considerations.</w:t>
      </w:r>
    </w:p>
    <w:p w14:paraId="66653E03"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74" w:name="_Toc214874819"/>
      <w:r w:rsidRPr="00963E47">
        <w:rPr>
          <w:rFonts w:ascii="Aptos" w:eastAsia="Aptos" w:hAnsi="Aptos" w:cs="Times New Roman"/>
          <w:b/>
          <w:bCs/>
          <w:noProof/>
          <w:color w:val="35256B"/>
          <w:kern w:val="2"/>
          <w:sz w:val="24"/>
          <w14:ligatures w14:val="standardContextual"/>
        </w:rPr>
        <w:lastRenderedPageBreak/>
        <w:t>MANAGE / Maximizing Benefits / Responding to Emergent Risks</w:t>
      </w:r>
      <w:bookmarkEnd w:id="74"/>
      <w:r w:rsidRPr="00963E47">
        <w:rPr>
          <w:rFonts w:ascii="Aptos" w:eastAsia="Aptos" w:hAnsi="Aptos" w:cs="Times New Roman"/>
          <w:b/>
          <w:bCs/>
          <w:noProof/>
          <w:color w:val="35256B"/>
          <w:kern w:val="2"/>
          <w:sz w:val="24"/>
          <w14:ligatures w14:val="standardContextual"/>
        </w:rPr>
        <w:t xml:space="preserve"> </w:t>
      </w:r>
    </w:p>
    <w:p w14:paraId="5508F47F"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53988C3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1E472EC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470746AF" w14:textId="77777777" w:rsidTr="005C00A5">
        <w:tc>
          <w:tcPr>
            <w:tcW w:w="1170" w:type="dxa"/>
          </w:tcPr>
          <w:p w14:paraId="2BD9A51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579F2A5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1027196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41144BC3" w14:textId="77777777" w:rsidTr="005C00A5">
        <w:tc>
          <w:tcPr>
            <w:tcW w:w="1170" w:type="dxa"/>
          </w:tcPr>
          <w:p w14:paraId="7D2F8A7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MG-2.3.1</w:t>
            </w:r>
          </w:p>
        </w:tc>
        <w:tc>
          <w:tcPr>
            <w:tcW w:w="2160" w:type="dxa"/>
          </w:tcPr>
          <w:p w14:paraId="23E0618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Monitoring and Responding to Emergent AI Risks</w:t>
            </w:r>
          </w:p>
        </w:tc>
        <w:tc>
          <w:tcPr>
            <w:tcW w:w="6740" w:type="dxa"/>
          </w:tcPr>
          <w:p w14:paraId="720A77F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establishes practices to continuously check for unplanned or emergent risks and capabilities of the AI system, triggering a review of prior risk management and TEVV steps when such capabilities are identified. It then responds to these newly identified, emergent risks within its existing risk assessment processes, documenting steps to address previously unknown risks in deployed AI systems. These procedures include provisions for rapidly assessing the potential impact of the identified risk, along with defined escalation pathways and decision-making protocols to initiate mitigation actions as warranted.</w:t>
            </w:r>
          </w:p>
          <w:p w14:paraId="16A85B14" w14:textId="77777777" w:rsidR="00963E47" w:rsidRPr="00963E47" w:rsidRDefault="00963E47" w:rsidP="004C3837">
            <w:pPr>
              <w:keepNext/>
              <w:rPr>
                <w:rFonts w:ascii="Aptos" w:hAnsi="Aptos" w:cs="Times New Roman"/>
                <w:b/>
                <w:bCs/>
                <w:color w:val="000000"/>
                <w:sz w:val="20"/>
                <w:szCs w:val="20"/>
              </w:rPr>
            </w:pPr>
          </w:p>
          <w:p w14:paraId="53BAD1ED" w14:textId="77777777" w:rsidR="00963E47" w:rsidRPr="00963E47" w:rsidRDefault="00963E47" w:rsidP="004C3837">
            <w:pPr>
              <w:keepNext/>
              <w:rPr>
                <w:rFonts w:ascii="Aptos" w:hAnsi="Aptos" w:cs="Times New Roman"/>
                <w:b/>
                <w:bCs/>
                <w:color w:val="000000"/>
                <w:sz w:val="20"/>
                <w:szCs w:val="20"/>
              </w:rPr>
            </w:pPr>
            <w:hyperlink r:id="rId217" w:anchor="manage-2-3" w:history="1">
              <w:r w:rsidRPr="00963E47">
                <w:rPr>
                  <w:rFonts w:ascii="Aptos" w:hAnsi="Aptos" w:cs="Times New Roman"/>
                  <w:color w:val="000000"/>
                  <w:sz w:val="20"/>
                  <w:szCs w:val="20"/>
                  <w:u w:val="single"/>
                </w:rPr>
                <w:t>Link to NIST AI RMF Playbook</w:t>
              </w:r>
            </w:hyperlink>
          </w:p>
        </w:tc>
      </w:tr>
    </w:tbl>
    <w:p w14:paraId="42AB4970"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02D201C"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1E35A485"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1566D140" w14:textId="77777777" w:rsidTr="005C00A5">
        <w:trPr>
          <w:tblHeader/>
        </w:trPr>
        <w:tc>
          <w:tcPr>
            <w:tcW w:w="2160" w:type="dxa"/>
            <w:shd w:val="clear" w:color="auto" w:fill="CCDCDC"/>
            <w:vAlign w:val="center"/>
          </w:tcPr>
          <w:p w14:paraId="0AF54DB3"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7FB27529"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7C459B61"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5FFC06BB" w14:textId="77777777" w:rsidTr="005C00A5">
        <w:tc>
          <w:tcPr>
            <w:tcW w:w="2160" w:type="dxa"/>
            <w:shd w:val="clear" w:color="auto" w:fill="CCDCDC"/>
          </w:tcPr>
          <w:p w14:paraId="2476453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684A14F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D13143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40DABBE6" w14:textId="77777777" w:rsidTr="005C00A5">
        <w:tc>
          <w:tcPr>
            <w:tcW w:w="2160" w:type="dxa"/>
            <w:shd w:val="clear" w:color="auto" w:fill="CCDCDC"/>
          </w:tcPr>
          <w:p w14:paraId="629B11F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720D2F5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EDEB53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84363FD" w14:textId="77777777" w:rsidTr="005C00A5">
        <w:tc>
          <w:tcPr>
            <w:tcW w:w="2160" w:type="dxa"/>
            <w:shd w:val="clear" w:color="auto" w:fill="CCDCDC"/>
          </w:tcPr>
          <w:p w14:paraId="226733F5"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6C4109D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623035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have well-established risk assessment processes that integrate procedures for responding to newly identified risks, with defined escalation pathways and decision-making protocols for prompt mitigation. They also establish practices to detect and respond to unplanned or emergent behaviors, especially as AI interacts with external users and sensitive data, with triggers for reviewing prior risk management and TEVV to ensure identified emergent capabilities are assessed against existing controls before further deployment.</w:t>
            </w:r>
          </w:p>
        </w:tc>
      </w:tr>
      <w:tr w:rsidR="00963E47" w:rsidRPr="00963E47" w14:paraId="433E56D3" w14:textId="77777777" w:rsidTr="005C00A5">
        <w:tc>
          <w:tcPr>
            <w:tcW w:w="2160" w:type="dxa"/>
            <w:shd w:val="clear" w:color="auto" w:fill="CCDCDC"/>
          </w:tcPr>
          <w:p w14:paraId="2C5FBCC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6FD9C5E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08B18A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seamlessly integrated procedures for both detecting and responding to newly identified or emergent risks into their risk assessment processes. They utilize automated tools and real-time monitoring for rapid assessment of potential impacts and capabilities. Well-documented steps for addressing previously unknown risks, alongside fully embedded escalation pathways and decision-making protocols within the governance structure, enable swift and effective mitigation. Automatic triggers to revisit risk management and TEVV are routine, providing systematic detection and reassessment of emergent risks, thereby ensuring timely mitigation, continuous assurance, and robust governance for critical, enterprise-scale, or high-impact AI systems.</w:t>
            </w:r>
          </w:p>
        </w:tc>
      </w:tr>
    </w:tbl>
    <w:p w14:paraId="4995BC69"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5A5D73B7" w14:textId="77777777" w:rsidTr="005C00A5">
        <w:tc>
          <w:tcPr>
            <w:tcW w:w="2250" w:type="dxa"/>
          </w:tcPr>
          <w:p w14:paraId="1069E73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lastRenderedPageBreak/>
              <w:t>AI Principle</w:t>
            </w:r>
          </w:p>
        </w:tc>
        <w:tc>
          <w:tcPr>
            <w:tcW w:w="2520" w:type="dxa"/>
          </w:tcPr>
          <w:p w14:paraId="49D8892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1312FC1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3FA5C3B2" w14:textId="77777777" w:rsidTr="005C00A5">
        <w:tc>
          <w:tcPr>
            <w:tcW w:w="2250" w:type="dxa"/>
          </w:tcPr>
          <w:p w14:paraId="4E2D154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329586C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Unidentified or Ineffective Response to Emergent AI Risks</w:t>
            </w:r>
          </w:p>
        </w:tc>
        <w:tc>
          <w:tcPr>
            <w:tcW w:w="5300" w:type="dxa"/>
          </w:tcPr>
          <w:p w14:paraId="2D5F64A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Emergent AI risks are not identified, or newly identified risks in deployed AI systems are not effectively assessed, escalated, or mitigated within existing risk assessment processes</w:t>
            </w:r>
          </w:p>
        </w:tc>
      </w:tr>
    </w:tbl>
    <w:p w14:paraId="555159C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CED360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233D85A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A3C2CF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practices to continuously check for unplanned or emergent risks and capabilities of the AI system. Engage relevant stakeholders, such as data scientists, system architects, and risk management professionals, to gather input on appropriate methods and criteria for identifying and assessing these emergent aspects. Develop a standardized framework for documenting and tracking emergent capabilities and risks, including specific indicators, thresholds, and response protocols, ensuring alignment with the organization's overall risk management policies and procedures.</w:t>
      </w:r>
    </w:p>
    <w:p w14:paraId="41967B91"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450F301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When emergent capabilities or risks are identified, trigger a comprehensive review of prior risk management and TEVV steps to ensure they remain appropriate and effective, making adjustments or updates to mitigate potential risks or harms. Concurrently, respond to these newly identified, emergent risks within the organization's existing risk assessment processes. Document clear steps to address these previously unknown risks in deployed AI systems, including provisions for rapidly assessing their potential impact.</w:t>
      </w:r>
    </w:p>
    <w:p w14:paraId="72B5721E"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5E7E1D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well-defined escalation pathways and decision-making protocols to initiate mitigation actions as warranted. Ensure that these procedures are clearly communicated to relevant personnel and that they are regularly reviewed and updated to maintain their effectiveness. Establish clear roles and responsibilities for monitoring and responding to emergent capabilities and risks, providing training and support to ensure relevant stakeholders are prepared to effectively execute their duties.</w:t>
      </w:r>
    </w:p>
    <w:p w14:paraId="1BCF88D0"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3C064A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06E1893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55A188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Procedures for Identifying and Incorporating Emergent Risks</w:t>
      </w:r>
    </w:p>
    <w:p w14:paraId="3C6C2EE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processes for detecting, evaluating, and including new risks into existing risk management workflows, with clear documentation of steps taken.</w:t>
      </w:r>
    </w:p>
    <w:p w14:paraId="1D4FA29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31E4D4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identification protocols for capturing emerging issues.</w:t>
      </w:r>
    </w:p>
    <w:p w14:paraId="0C88953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and monitoring logs highlighting new risks.</w:t>
      </w:r>
    </w:p>
    <w:p w14:paraId="6ED1E7D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Integration procedures documenting how new risks are added to risk registers.</w:t>
      </w:r>
    </w:p>
    <w:p w14:paraId="05B873D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process documents.</w:t>
      </w:r>
    </w:p>
    <w:p w14:paraId="1041748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A1F011B"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Rapid Impact Assessment and Analysis</w:t>
      </w:r>
    </w:p>
    <w:p w14:paraId="527A41E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quick assessments to evaluate the potential severity and likelihood of the newly identified risk, considering system context and stakeholder impact to ensure that responses are appropriate and proportional to the level of risk posed.</w:t>
      </w:r>
    </w:p>
    <w:p w14:paraId="373EED4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4214C4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Impact analysis reports with scenario modeling.</w:t>
      </w:r>
    </w:p>
    <w:p w14:paraId="0C7916D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Impact severity and likelihood matrices.</w:t>
      </w:r>
    </w:p>
    <w:p w14:paraId="1C6D188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feedback influencing impact evaluation.</w:t>
      </w:r>
    </w:p>
    <w:p w14:paraId="2052F39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Assessment templates used for rapid analysis.</w:t>
      </w:r>
    </w:p>
    <w:p w14:paraId="2958E8E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2EC1DCB"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Escalation Pathways and Decision Protocols</w:t>
      </w:r>
    </w:p>
    <w:p w14:paraId="473FC4D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Define and document escalation routes and decision-making protocols to activate mitigation actions based on assessment outcomes, with clear responsibilities to streamline the response process and ensure accountability among team members involved in risk management.</w:t>
      </w:r>
    </w:p>
    <w:p w14:paraId="746F72F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729AB8D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Escalation flowcharts with responsible parties.</w:t>
      </w:r>
    </w:p>
    <w:p w14:paraId="34B2BA3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Decision review and approval records for mitigation initiation.</w:t>
      </w:r>
    </w:p>
    <w:p w14:paraId="479FD32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response and risk escalation logs.</w:t>
      </w:r>
    </w:p>
    <w:p w14:paraId="5973ADC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SOPs outlining protocols for different risk levels.</w:t>
      </w:r>
    </w:p>
    <w:p w14:paraId="45DF3AE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FE3C14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Mitigation Actions and Outcomes</w:t>
      </w:r>
    </w:p>
    <w:p w14:paraId="7F7AA95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Record mitigation plans, actions taken, and their effectiveness, linking responses to specific emergent risks and assessment findings to maintain a comprehensive history of risk management efforts and support future assessments and refinements.</w:t>
      </w:r>
    </w:p>
    <w:p w14:paraId="1FBE712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808A2C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Mitigation action logs and implementation schedules.</w:t>
      </w:r>
    </w:p>
    <w:p w14:paraId="2E59F84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Follow-up assessment reports to evaluate mitigation effectiveness.</w:t>
      </w:r>
    </w:p>
    <w:p w14:paraId="4C95730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management records reflecting risk-based system adjustments.</w:t>
      </w:r>
    </w:p>
    <w:p w14:paraId="1C6BEF0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from risk resolution.</w:t>
      </w:r>
    </w:p>
    <w:p w14:paraId="73BE8F13"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083C56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Monitoring and Process Improvement</w:t>
      </w:r>
    </w:p>
    <w:p w14:paraId="0A3A252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Review and update procedures to respond to emergent risks, incorporating lessons learned from implementation and new threat intelligence, ensuring adaptive risk management that evolves alongside the changing AI landscape and regulatory environment.</w:t>
      </w:r>
    </w:p>
    <w:p w14:paraId="73AFAC9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57E21B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and lessons learned documents.</w:t>
      </w:r>
    </w:p>
    <w:p w14:paraId="42E0F85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protocols and escalation procedures.</w:t>
      </w:r>
    </w:p>
    <w:p w14:paraId="4BA43A0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logs from risk teams and stakeholders.</w:t>
      </w:r>
    </w:p>
    <w:p w14:paraId="76524A1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demonstrating process refinement.</w:t>
      </w:r>
    </w:p>
    <w:p w14:paraId="4DF18616"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45B1CE23"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513DEDE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4FDBB06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35CDBC75" w14:textId="77777777" w:rsidTr="005C00A5">
        <w:tc>
          <w:tcPr>
            <w:tcW w:w="1170" w:type="dxa"/>
          </w:tcPr>
          <w:p w14:paraId="3A0BF75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781D028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0BF7A04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1C555C55" w14:textId="77777777" w:rsidTr="005C00A5">
        <w:tc>
          <w:tcPr>
            <w:tcW w:w="1170" w:type="dxa"/>
          </w:tcPr>
          <w:p w14:paraId="30C3B27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MG-2.3.2</w:t>
            </w:r>
          </w:p>
        </w:tc>
        <w:tc>
          <w:tcPr>
            <w:tcW w:w="2160" w:type="dxa"/>
          </w:tcPr>
          <w:p w14:paraId="5EA2508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Emergent Risk Stakeholder Communication and Transparency</w:t>
            </w:r>
          </w:p>
        </w:tc>
        <w:tc>
          <w:tcPr>
            <w:tcW w:w="6740" w:type="dxa"/>
          </w:tcPr>
          <w:p w14:paraId="13F827F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communicates with relevant internal and external stakeholders in a timely and transparent fashion regarding identified emergent risks, their potential implications, and the organization's ongoing assessment and evolving management strategies. This includes utilizing pre-planned communication channels and templates, and coordinating with third parties as necessary, with an approach tailored to the unique characteristics of emergent risks.</w:t>
            </w:r>
          </w:p>
          <w:p w14:paraId="32219E79" w14:textId="77777777" w:rsidR="00963E47" w:rsidRPr="00963E47" w:rsidRDefault="00963E47" w:rsidP="004C3837">
            <w:pPr>
              <w:keepNext/>
              <w:rPr>
                <w:rFonts w:ascii="Aptos" w:hAnsi="Aptos" w:cs="Times New Roman"/>
                <w:b/>
                <w:bCs/>
                <w:color w:val="000000"/>
                <w:sz w:val="20"/>
                <w:szCs w:val="20"/>
              </w:rPr>
            </w:pPr>
          </w:p>
          <w:p w14:paraId="4EC951D6" w14:textId="77777777" w:rsidR="00963E47" w:rsidRPr="00963E47" w:rsidRDefault="00963E47" w:rsidP="004C3837">
            <w:pPr>
              <w:keepNext/>
              <w:rPr>
                <w:rFonts w:ascii="Aptos" w:hAnsi="Aptos" w:cs="Times New Roman"/>
                <w:b/>
                <w:bCs/>
                <w:color w:val="000000"/>
                <w:sz w:val="20"/>
                <w:szCs w:val="20"/>
              </w:rPr>
            </w:pPr>
            <w:hyperlink r:id="rId218" w:anchor="manage-2-3" w:history="1">
              <w:r w:rsidRPr="00963E47">
                <w:rPr>
                  <w:rFonts w:ascii="Aptos" w:hAnsi="Aptos" w:cs="Times New Roman"/>
                  <w:color w:val="000000"/>
                  <w:sz w:val="20"/>
                  <w:szCs w:val="20"/>
                  <w:u w:val="single"/>
                </w:rPr>
                <w:t>Link to NIST AI RMF Playbook</w:t>
              </w:r>
            </w:hyperlink>
          </w:p>
        </w:tc>
      </w:tr>
    </w:tbl>
    <w:p w14:paraId="11C3D756"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128C966"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34C308A6"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53D632DC" w14:textId="77777777" w:rsidTr="005C00A5">
        <w:trPr>
          <w:tblHeader/>
        </w:trPr>
        <w:tc>
          <w:tcPr>
            <w:tcW w:w="2160" w:type="dxa"/>
            <w:shd w:val="clear" w:color="auto" w:fill="CCDCDC"/>
            <w:vAlign w:val="center"/>
          </w:tcPr>
          <w:p w14:paraId="392FA3CB"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73AB7444"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13984686"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375B991E" w14:textId="77777777" w:rsidTr="005C00A5">
        <w:tc>
          <w:tcPr>
            <w:tcW w:w="2160" w:type="dxa"/>
            <w:shd w:val="clear" w:color="auto" w:fill="CCDCDC"/>
          </w:tcPr>
          <w:p w14:paraId="5B69F3E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0ABE671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585C17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61651479" w14:textId="77777777" w:rsidTr="005C00A5">
        <w:tc>
          <w:tcPr>
            <w:tcW w:w="2160" w:type="dxa"/>
            <w:shd w:val="clear" w:color="auto" w:fill="CCDCDC"/>
          </w:tcPr>
          <w:p w14:paraId="500DF82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42F5CB5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A873E1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1C77C518" w14:textId="77777777" w:rsidTr="005C00A5">
        <w:tc>
          <w:tcPr>
            <w:tcW w:w="2160" w:type="dxa"/>
            <w:shd w:val="clear" w:color="auto" w:fill="CCDCDC"/>
          </w:tcPr>
          <w:p w14:paraId="7DCF614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17D42CF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1CE253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evolving stage have established communication protocols and stakeholder engagement plans to ensure timely and transparent communication about identified risks, their potential impact, and the organization's response and recovery efforts.</w:t>
            </w:r>
          </w:p>
        </w:tc>
      </w:tr>
      <w:tr w:rsidR="00963E47" w:rsidRPr="00963E47" w14:paraId="0B6590AD" w14:textId="77777777" w:rsidTr="005C00A5">
        <w:tc>
          <w:tcPr>
            <w:tcW w:w="2160" w:type="dxa"/>
            <w:shd w:val="clear" w:color="auto" w:fill="CCDCDC"/>
          </w:tcPr>
          <w:p w14:paraId="39D0F01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4: Embedded</w:t>
            </w:r>
          </w:p>
        </w:tc>
        <w:tc>
          <w:tcPr>
            <w:tcW w:w="1350" w:type="dxa"/>
          </w:tcPr>
          <w:p w14:paraId="1F96F84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DBE5F9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have comprehensive and fully integrated communication protocols and stakeholder engagement plans. These protocols ensure real-time, transparent communication about identified risks, their potential impact, and the organization's response and recovery efforts to all relevant stakeholders. The communication processes are automated and adaptive, leveraging advanced technologies to tailor messages and delivery methods based on stakeholder preferences and the nature of the identified risk.</w:t>
            </w:r>
          </w:p>
        </w:tc>
      </w:tr>
    </w:tbl>
    <w:p w14:paraId="526C0381"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74DC45EB" w14:textId="77777777" w:rsidTr="005C00A5">
        <w:tc>
          <w:tcPr>
            <w:tcW w:w="2250" w:type="dxa"/>
          </w:tcPr>
          <w:p w14:paraId="14CF50B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7058690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0AC2F92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2A0090CD" w14:textId="77777777" w:rsidTr="005C00A5">
        <w:tc>
          <w:tcPr>
            <w:tcW w:w="2250" w:type="dxa"/>
          </w:tcPr>
          <w:p w14:paraId="41734DE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7F80180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Untimely Stakeholder Information</w:t>
            </w:r>
          </w:p>
        </w:tc>
        <w:tc>
          <w:tcPr>
            <w:tcW w:w="5300" w:type="dxa"/>
          </w:tcPr>
          <w:p w14:paraId="70272D4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Stakeholders are not timely or transparently informed about new risks</w:t>
            </w:r>
          </w:p>
        </w:tc>
      </w:tr>
    </w:tbl>
    <w:p w14:paraId="72BFCF2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37A09D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3BD869D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860B2F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Communicate with relevant internal and external stakeholders in a timely and transparent fashion regarding identified emergent risks, their potential implications, and the organization's ongoing assessment and evolving management strategies. Establish and leverage pre-planned communication channels and templates specifically designed for emergent risk scenarios, ensuring messages are accurate, consistent, and appropriate for different audiences. Identify relevant internal and external stakeholders who need to be informed, including those who may be impacted or involved in mitigation.</w:t>
      </w:r>
    </w:p>
    <w:p w14:paraId="30BFB754"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45E8F18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clear guidelines for crafting and disseminating these specialized risk communications, recognizing that emergent risks often require a more dynamic and evolving narrative than traditional incident response. Coordinate communication efforts with third parties as necessary, establishing protocols for information sharing and collaborative messaging to ensure a unified approach. Regularly review and update these specific communication protocols, channels, templates, and third-party coordination plans to ensure they remain effective and aligned with the organization's overall emergent risk management and communication strategies.</w:t>
      </w:r>
    </w:p>
    <w:p w14:paraId="14858921"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1EA715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7A0B9D0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A930D4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Detection and Escalation Procedures</w:t>
      </w:r>
    </w:p>
    <w:p w14:paraId="66701AA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Create formal processes for monitoring AI systems to identify unanticipated risks or capabilities, with clear triggers for initiating review and escalation activities.</w:t>
      </w:r>
    </w:p>
    <w:p w14:paraId="75BB60A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0785E7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protocols and key indicators for unexpected behaviors.</w:t>
      </w:r>
    </w:p>
    <w:p w14:paraId="14CC7C5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Thresholds and criteria for triggering risk review.</w:t>
      </w:r>
    </w:p>
    <w:p w14:paraId="03CB7E5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logs capturing emergent risk detections.</w:t>
      </w:r>
    </w:p>
    <w:p w14:paraId="30BA637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Escalation flowcharts with responsibilities and timelines.</w:t>
      </w:r>
    </w:p>
    <w:p w14:paraId="798684E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8A46B8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Process for Triggering Review of Prior Risk and TEVV Activities</w:t>
      </w:r>
    </w:p>
    <w:p w14:paraId="16BCFD8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When unplanned or emergent risks are detected, implement procedures to review and re-evaluate previous risk assessments and TEVV activities to verify adequacy and identify necessary updates to ensure that all potential impacts are comprehensively addressed and managed effectively.</w:t>
      </w:r>
    </w:p>
    <w:p w14:paraId="6B569FF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544DAD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checklists and schedules.</w:t>
      </w:r>
    </w:p>
    <w:p w14:paraId="6D8B746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reports and re-assessment memos.</w:t>
      </w:r>
    </w:p>
    <w:p w14:paraId="19FD12E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risk registers and TEVV documentation reflecting new insights.</w:t>
      </w:r>
    </w:p>
    <w:p w14:paraId="1CCAAAB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discussing findings and actions.</w:t>
      </w:r>
    </w:p>
    <w:p w14:paraId="2603176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FA6833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Findings and Response Actions</w:t>
      </w:r>
    </w:p>
    <w:p w14:paraId="1205C8C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Record the results of the review prompted by emergent risks, including identified gaps, revised risk assessments, and corrective or mitigation actions taken to provide a clear documentation trail and support accountability in the risk management process.</w:t>
      </w:r>
    </w:p>
    <w:p w14:paraId="02F4395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E475C5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Re-evaluation reports with updated risk profiles.</w:t>
      </w:r>
    </w:p>
    <w:p w14:paraId="42ADA0B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Corrective action plans and implementation logs.</w:t>
      </w:r>
    </w:p>
    <w:p w14:paraId="19FB5EA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 control records of updated TEVV procedures.</w:t>
      </w:r>
    </w:p>
    <w:p w14:paraId="5B6BF6A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capturing the impacts of emergent risk detection.</w:t>
      </w:r>
    </w:p>
    <w:p w14:paraId="57E23C6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D34568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of Lessons into Ongoing Risk Management</w:t>
      </w:r>
    </w:p>
    <w:p w14:paraId="7BE8060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Incorporate insights and updates from emergent risk reviews into ongoing risk management, system design, and operational practices to enhance resilience and ensure the organization is better prepared to confront similar challenges in the future.</w:t>
      </w:r>
    </w:p>
    <w:p w14:paraId="0F3B3E7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ED8167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risk management plans and controls.</w:t>
      </w:r>
    </w:p>
    <w:p w14:paraId="72E3F9F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Revised testing and validation protocols.</w:t>
      </w:r>
    </w:p>
    <w:p w14:paraId="2EF9BEC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management records for system modifications.</w:t>
      </w:r>
    </w:p>
    <w:p w14:paraId="3E18420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communication regarding new risks.</w:t>
      </w:r>
    </w:p>
    <w:p w14:paraId="43AA557F"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89EB72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Monitoring and Improvement</w:t>
      </w:r>
    </w:p>
    <w:p w14:paraId="7BE496E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review detection mechanisms and response procedures, refining them based on lessons learned from emergent risk events to improve ongoing risk oversight and promote a proactive culture of risk awareness and management across the organization.</w:t>
      </w:r>
    </w:p>
    <w:p w14:paraId="0B7EDA7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C8EDA8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review schedules and reports.</w:t>
      </w:r>
    </w:p>
    <w:p w14:paraId="2F62065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operational teams on detection effectiveness.</w:t>
      </w:r>
    </w:p>
    <w:p w14:paraId="5E9B2D1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logs for emergent risks.</w:t>
      </w:r>
    </w:p>
    <w:p w14:paraId="021EEA7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Process improvement documentation.</w:t>
      </w:r>
    </w:p>
    <w:p w14:paraId="77156F6E"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0C60C282"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77129CD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2018A78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7CC6C82A" w14:textId="77777777" w:rsidTr="005C00A5">
        <w:tc>
          <w:tcPr>
            <w:tcW w:w="1170" w:type="dxa"/>
          </w:tcPr>
          <w:p w14:paraId="6CDE8B7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3099A71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11AB898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419C22A8" w14:textId="77777777" w:rsidTr="005C00A5">
        <w:tc>
          <w:tcPr>
            <w:tcW w:w="1170" w:type="dxa"/>
          </w:tcPr>
          <w:p w14:paraId="70F9FD3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MG-2.3.3</w:t>
            </w:r>
          </w:p>
        </w:tc>
        <w:tc>
          <w:tcPr>
            <w:tcW w:w="2160" w:type="dxa"/>
          </w:tcPr>
          <w:p w14:paraId="417376C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Risk Response Team and Training</w:t>
            </w:r>
          </w:p>
        </w:tc>
        <w:tc>
          <w:tcPr>
            <w:tcW w:w="6740" w:type="dxa"/>
          </w:tcPr>
          <w:p w14:paraId="05A1784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designates and trains a cross-functional incident response team, involving representatives from relevant business units, technical teams, and risk management functions, to effectively coordinate and execute escalation procedures when a previously unknown risk is identified, including non-security incidents that may impact AI systems or business operations.</w:t>
            </w:r>
          </w:p>
          <w:p w14:paraId="1E8F3107" w14:textId="77777777" w:rsidR="00963E47" w:rsidRPr="00963E47" w:rsidRDefault="00963E47" w:rsidP="004C3837">
            <w:pPr>
              <w:keepNext/>
              <w:rPr>
                <w:rFonts w:ascii="Aptos" w:hAnsi="Aptos" w:cs="Times New Roman"/>
                <w:b/>
                <w:bCs/>
                <w:color w:val="000000"/>
                <w:sz w:val="20"/>
                <w:szCs w:val="20"/>
              </w:rPr>
            </w:pPr>
          </w:p>
          <w:p w14:paraId="7658A418" w14:textId="77777777" w:rsidR="00963E47" w:rsidRPr="00963E47" w:rsidRDefault="00963E47" w:rsidP="004C3837">
            <w:pPr>
              <w:keepNext/>
              <w:rPr>
                <w:rFonts w:ascii="Aptos" w:hAnsi="Aptos" w:cs="Times New Roman"/>
                <w:b/>
                <w:bCs/>
                <w:color w:val="000000"/>
                <w:sz w:val="20"/>
                <w:szCs w:val="20"/>
              </w:rPr>
            </w:pPr>
            <w:hyperlink r:id="rId219" w:anchor="manage-2-3" w:history="1">
              <w:r w:rsidRPr="00963E47">
                <w:rPr>
                  <w:rFonts w:ascii="Aptos" w:hAnsi="Aptos" w:cs="Times New Roman"/>
                  <w:color w:val="000000"/>
                  <w:sz w:val="20"/>
                  <w:szCs w:val="20"/>
                  <w:u w:val="single"/>
                </w:rPr>
                <w:t>Link to NIST AI RMF Playbook</w:t>
              </w:r>
            </w:hyperlink>
          </w:p>
        </w:tc>
      </w:tr>
    </w:tbl>
    <w:p w14:paraId="1DEA5D47"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30922E4"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508C6436"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7A62A69B" w14:textId="77777777" w:rsidTr="005C00A5">
        <w:trPr>
          <w:tblHeader/>
        </w:trPr>
        <w:tc>
          <w:tcPr>
            <w:tcW w:w="2160" w:type="dxa"/>
            <w:shd w:val="clear" w:color="auto" w:fill="CCDCDC"/>
            <w:vAlign w:val="center"/>
          </w:tcPr>
          <w:p w14:paraId="34ED4E39"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0EDEBC0C"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11E0DBF3"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2F800302" w14:textId="77777777" w:rsidTr="005C00A5">
        <w:tc>
          <w:tcPr>
            <w:tcW w:w="2160" w:type="dxa"/>
            <w:shd w:val="clear" w:color="auto" w:fill="CCDCDC"/>
          </w:tcPr>
          <w:p w14:paraId="359E846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1D49C26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1B2B2B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4833A688" w14:textId="77777777" w:rsidTr="005C00A5">
        <w:tc>
          <w:tcPr>
            <w:tcW w:w="2160" w:type="dxa"/>
            <w:shd w:val="clear" w:color="auto" w:fill="CCDCDC"/>
          </w:tcPr>
          <w:p w14:paraId="5D00315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6B722A6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5D2848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1BB9913" w14:textId="77777777" w:rsidTr="005C00A5">
        <w:tc>
          <w:tcPr>
            <w:tcW w:w="2160" w:type="dxa"/>
            <w:shd w:val="clear" w:color="auto" w:fill="CCDCDC"/>
          </w:tcPr>
          <w:p w14:paraId="008887A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10C9AA4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39622A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evolving stage, organizations have designated and trained cross-functional incident response teams that can effectively coordinate and </w:t>
            </w:r>
            <w:r w:rsidRPr="00963E47">
              <w:rPr>
                <w:rFonts w:ascii="Aptos" w:hAnsi="Aptos" w:cs="Times New Roman"/>
                <w:noProof/>
                <w:color w:val="auto"/>
                <w:sz w:val="20"/>
                <w:szCs w:val="20"/>
              </w:rPr>
              <w:lastRenderedPageBreak/>
              <w:t>execute escalation procedures when a previously unknown risk is identified.</w:t>
            </w:r>
          </w:p>
        </w:tc>
      </w:tr>
      <w:tr w:rsidR="00963E47" w:rsidRPr="00963E47" w14:paraId="58029F62" w14:textId="77777777" w:rsidTr="005C00A5">
        <w:tc>
          <w:tcPr>
            <w:tcW w:w="2160" w:type="dxa"/>
            <w:shd w:val="clear" w:color="auto" w:fill="CCDCDC"/>
          </w:tcPr>
          <w:p w14:paraId="24EC458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4: Embedded</w:t>
            </w:r>
          </w:p>
        </w:tc>
        <w:tc>
          <w:tcPr>
            <w:tcW w:w="1350" w:type="dxa"/>
          </w:tcPr>
          <w:p w14:paraId="1734497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BF3835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maintain comprehensive, dynamic documentation of the rationale behind risk prioritization decisions and risk tolerance, continuously updated based on real-time data and insights. Stakeholder engagement in decision validation is seamlessly integrated, ensuring multidisciplinary perspectives are proactively incorporated into the risk response process.</w:t>
            </w:r>
          </w:p>
        </w:tc>
      </w:tr>
    </w:tbl>
    <w:p w14:paraId="77A95953"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1E8AB534" w14:textId="77777777" w:rsidTr="005C00A5">
        <w:tc>
          <w:tcPr>
            <w:tcW w:w="2250" w:type="dxa"/>
          </w:tcPr>
          <w:p w14:paraId="36D4C67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1BCF23F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74A2A46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222C654E" w14:textId="77777777" w:rsidTr="005C00A5">
        <w:tc>
          <w:tcPr>
            <w:tcW w:w="2250" w:type="dxa"/>
          </w:tcPr>
          <w:p w14:paraId="4A564A0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6B61F87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Lack of Cross-Functional Training</w:t>
            </w:r>
          </w:p>
        </w:tc>
        <w:tc>
          <w:tcPr>
            <w:tcW w:w="5300" w:type="dxa"/>
          </w:tcPr>
          <w:p w14:paraId="2885702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Incident response team lacks cross-functional training for emergent risks</w:t>
            </w:r>
          </w:p>
        </w:tc>
      </w:tr>
    </w:tbl>
    <w:p w14:paraId="1C3732B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CA12DA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1E607E9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6E4249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and train a cross-functional incident response team with members from relevant business units, technical teams, and risk management functions. Ensure team members have the necessary skills, knowledge, and authority to identify, coordinate, and respond to a range of emergent risks, including non-security incidents.</w:t>
      </w:r>
    </w:p>
    <w:p w14:paraId="295BA8BE"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C65416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Conduct regular training and simulation exercises to maintain team readiness and proficiency. Define clear roles and responsibilities for each member, with backup personnel available to ensure continuous response capability.</w:t>
      </w:r>
    </w:p>
    <w:p w14:paraId="138A4DEE"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BDC6A9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11F124F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B245EA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Formation and Documentation of the Incident Response Team</w:t>
      </w:r>
    </w:p>
    <w:p w14:paraId="6D50836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formal incident response team with defined roles, responsibilities, and cross-functional composition, and document procedures for activation during risk escalation.</w:t>
      </w:r>
    </w:p>
    <w:p w14:paraId="44CE437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7FEEA7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Team charters and role descriptions outlining responsibilities.</w:t>
      </w:r>
    </w:p>
    <w:p w14:paraId="4976E1C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Organizational charts indicating team members across functions.</w:t>
      </w:r>
    </w:p>
    <w:p w14:paraId="70C1633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response procedures and escalation protocols.</w:t>
      </w:r>
    </w:p>
    <w:p w14:paraId="46091F5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Organizational-level approval records for team formation.</w:t>
      </w:r>
    </w:p>
    <w:p w14:paraId="6703E99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C259E1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Training and Capacity Building for the Response Team</w:t>
      </w:r>
    </w:p>
    <w:p w14:paraId="6A2F072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Provide targeted training to team members on escalation procedures, communication, decision-making, and coordination, covering both security and non-security risks to ensure that the incident response team is well-prepared to handle different scenarios effectively.</w:t>
      </w:r>
    </w:p>
    <w:p w14:paraId="2932A72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744702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curricula, attendance, and certification records.</w:t>
      </w:r>
    </w:p>
    <w:p w14:paraId="378F0C8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Simulation exercises, drills, or tabletop exercises with documented participation.</w:t>
      </w:r>
    </w:p>
    <w:p w14:paraId="05DFEBF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Scenario-based training on non-security incident management.</w:t>
      </w:r>
    </w:p>
    <w:p w14:paraId="7A6C053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training materials and manuals.</w:t>
      </w:r>
    </w:p>
    <w:p w14:paraId="1D103E4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332386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 Exercises and Drills to Validate Response Capabilities</w:t>
      </w:r>
    </w:p>
    <w:p w14:paraId="08A9D47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periodic simulated exercises involving cross-functional teams to test coordination, escalation, and response procedures, especially for unknown or complex risks to enhance the team's readiness and improve collaboration during actual incidents.</w:t>
      </w:r>
    </w:p>
    <w:p w14:paraId="7649341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1606C8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Exercise design documents, scenario scripts, and schedules.</w:t>
      </w:r>
    </w:p>
    <w:p w14:paraId="1B2FB7B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After-action reports with lessons learned.</w:t>
      </w:r>
    </w:p>
    <w:p w14:paraId="10A8483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Records of corrective actions to address identified gaps.</w:t>
      </w:r>
    </w:p>
    <w:p w14:paraId="22E64FA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surveys on team preparedness.</w:t>
      </w:r>
    </w:p>
    <w:p w14:paraId="788B6B72"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7A5FF2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Activation and Response Protocols for Unknown Risks</w:t>
      </w:r>
    </w:p>
    <w:p w14:paraId="563B70D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clear procedures for rapid team activation, escalation pathways, information sharing, and decision-making when a new or unexpected risk is identified to facilitate swift and effective responses that minimize potential impacts on AI systems and business operations.</w:t>
      </w:r>
    </w:p>
    <w:p w14:paraId="4164958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AC89F4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Activation checklists and escalation flowcharts.</w:t>
      </w:r>
    </w:p>
    <w:p w14:paraId="0D9334B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logs showing team activation and communication steps.</w:t>
      </w:r>
    </w:p>
    <w:p w14:paraId="635A4D1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Communication templates for internal/external stakeholders.</w:t>
      </w:r>
    </w:p>
    <w:p w14:paraId="1A4C217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Decision logs from escalation and response phases.</w:t>
      </w:r>
    </w:p>
    <w:p w14:paraId="75AC3E8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BE77D4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Ongoing Review and Team Effectiveness Improvement</w:t>
      </w:r>
    </w:p>
    <w:p w14:paraId="2ABE34D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Schedule regular reviews of team performance, response effectiveness, and process adequacy, updating training and procedures based on lessons learned and evolving risks to foster a culture of continuous improvement and preparedness within the organization.</w:t>
      </w:r>
    </w:p>
    <w:p w14:paraId="5DFE9F9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C3CF1C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meeting minutes and performance evaluation reports.</w:t>
      </w:r>
    </w:p>
    <w:p w14:paraId="1914CA5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Lessons learned documents from drills and actual incidents.</w:t>
      </w:r>
    </w:p>
    <w:p w14:paraId="4DA3646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training modules and procedural documents.</w:t>
      </w:r>
    </w:p>
    <w:p w14:paraId="104F22A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plans for addressing identified improvement areas.</w:t>
      </w:r>
    </w:p>
    <w:p w14:paraId="46F2123A"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75" w:name="_Toc214874820"/>
      <w:r w:rsidRPr="00963E47">
        <w:rPr>
          <w:rFonts w:ascii="Aptos" w:eastAsia="Aptos" w:hAnsi="Aptos" w:cs="Times New Roman"/>
          <w:b/>
          <w:bCs/>
          <w:noProof/>
          <w:color w:val="35256B"/>
          <w:kern w:val="2"/>
          <w:sz w:val="24"/>
          <w14:ligatures w14:val="standardContextual"/>
        </w:rPr>
        <w:t>MANAGE / Maximizing Benefits / Decommissioning or Superseding AI Systems</w:t>
      </w:r>
      <w:bookmarkEnd w:id="75"/>
      <w:r w:rsidRPr="00963E47">
        <w:rPr>
          <w:rFonts w:ascii="Aptos" w:eastAsia="Aptos" w:hAnsi="Aptos" w:cs="Times New Roman"/>
          <w:b/>
          <w:bCs/>
          <w:noProof/>
          <w:color w:val="35256B"/>
          <w:kern w:val="2"/>
          <w:sz w:val="24"/>
          <w14:ligatures w14:val="standardContextual"/>
        </w:rPr>
        <w:t xml:space="preserve"> </w:t>
      </w:r>
    </w:p>
    <w:p w14:paraId="4FB20A92"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7C4C522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16F8E7E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585E1DE3" w14:textId="77777777" w:rsidTr="005C00A5">
        <w:tc>
          <w:tcPr>
            <w:tcW w:w="1170" w:type="dxa"/>
          </w:tcPr>
          <w:p w14:paraId="65E5703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2E0FE6D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3318C58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486DCCBD" w14:textId="77777777" w:rsidTr="005C00A5">
        <w:tc>
          <w:tcPr>
            <w:tcW w:w="1170" w:type="dxa"/>
          </w:tcPr>
          <w:p w14:paraId="2DAD6B8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MG-2.4.1</w:t>
            </w:r>
          </w:p>
        </w:tc>
        <w:tc>
          <w:tcPr>
            <w:tcW w:w="2160" w:type="dxa"/>
          </w:tcPr>
          <w:p w14:paraId="7101E5C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Performance Monitoring and Action Triggers</w:t>
            </w:r>
          </w:p>
        </w:tc>
        <w:tc>
          <w:tcPr>
            <w:tcW w:w="6740" w:type="dxa"/>
          </w:tcPr>
          <w:p w14:paraId="70D868F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determines when an AI system's performance or outcomes are inconsistent with its intended use, necessitating supersession, disengagement, or deactivation, and assigns specific roles and responsibilities for monitoring performance, making decisions regarding these actions, and executing them when necessary.</w:t>
            </w:r>
          </w:p>
          <w:p w14:paraId="3940BB8E" w14:textId="77777777" w:rsidR="00963E47" w:rsidRPr="00963E47" w:rsidRDefault="00963E47" w:rsidP="004C3837">
            <w:pPr>
              <w:keepNext/>
              <w:rPr>
                <w:rFonts w:ascii="Aptos" w:hAnsi="Aptos" w:cs="Times New Roman"/>
                <w:b/>
                <w:bCs/>
                <w:color w:val="000000"/>
                <w:sz w:val="20"/>
                <w:szCs w:val="20"/>
              </w:rPr>
            </w:pPr>
          </w:p>
          <w:p w14:paraId="036803FE" w14:textId="77777777" w:rsidR="00963E47" w:rsidRPr="00963E47" w:rsidRDefault="00963E47" w:rsidP="004C3837">
            <w:pPr>
              <w:keepNext/>
              <w:rPr>
                <w:rFonts w:ascii="Aptos" w:hAnsi="Aptos" w:cs="Times New Roman"/>
                <w:b/>
                <w:bCs/>
                <w:color w:val="000000"/>
                <w:sz w:val="20"/>
                <w:szCs w:val="20"/>
              </w:rPr>
            </w:pPr>
            <w:hyperlink r:id="rId220" w:anchor="manage-2-4" w:history="1">
              <w:r w:rsidRPr="00963E47">
                <w:rPr>
                  <w:rFonts w:ascii="Aptos" w:hAnsi="Aptos" w:cs="Times New Roman"/>
                  <w:color w:val="000000"/>
                  <w:sz w:val="20"/>
                  <w:szCs w:val="20"/>
                  <w:u w:val="single"/>
                </w:rPr>
                <w:t>Link to NIST AI RMF Playbook</w:t>
              </w:r>
            </w:hyperlink>
          </w:p>
        </w:tc>
      </w:tr>
    </w:tbl>
    <w:p w14:paraId="3754419B"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665B412"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76B9EB6E"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7D010E88" w14:textId="77777777" w:rsidTr="005C00A5">
        <w:trPr>
          <w:tblHeader/>
        </w:trPr>
        <w:tc>
          <w:tcPr>
            <w:tcW w:w="2160" w:type="dxa"/>
            <w:shd w:val="clear" w:color="auto" w:fill="CCDCDC"/>
            <w:vAlign w:val="center"/>
          </w:tcPr>
          <w:p w14:paraId="5589D372"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23819941"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3DE1081D"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04928AC7" w14:textId="77777777" w:rsidTr="005C00A5">
        <w:tc>
          <w:tcPr>
            <w:tcW w:w="2160" w:type="dxa"/>
            <w:shd w:val="clear" w:color="auto" w:fill="CCDCDC"/>
          </w:tcPr>
          <w:p w14:paraId="2C977AF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4A55C78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57D43F7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3C0786BE" w14:textId="77777777" w:rsidTr="005C00A5">
        <w:tc>
          <w:tcPr>
            <w:tcW w:w="2160" w:type="dxa"/>
            <w:shd w:val="clear" w:color="auto" w:fill="CCDCDC"/>
          </w:tcPr>
          <w:p w14:paraId="04E294A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036E033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E7E3D6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begin defining thresholds for unacceptable performance and clear roles for monitoring and deactivation prevents localized harm and ensures responsible stewardship as use begins. Assigning responsibilities and procedures at this stage builds operational discipline and reduces risk from malfunctioning or misapplied models.</w:t>
            </w:r>
          </w:p>
        </w:tc>
      </w:tr>
      <w:tr w:rsidR="00963E47" w:rsidRPr="00963E47" w14:paraId="5D307C2C" w14:textId="77777777" w:rsidTr="005C00A5">
        <w:tc>
          <w:tcPr>
            <w:tcW w:w="2160" w:type="dxa"/>
            <w:shd w:val="clear" w:color="auto" w:fill="CCDCDC"/>
          </w:tcPr>
          <w:p w14:paraId="07C9027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456F4D3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9F3131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evolving stage, organizations' AI interacts with external users and sensitive data, and inconsistencies with intended use can have broader reputational, legal, or privacy impacts; formalizing supersession, disengagement, or deactivation processes and decision authorities ensures timely risk containment. Clear role assignment </w:t>
            </w:r>
            <w:r w:rsidRPr="00963E47">
              <w:rPr>
                <w:rFonts w:ascii="Aptos" w:hAnsi="Aptos" w:cs="Times New Roman"/>
                <w:noProof/>
                <w:color w:val="auto"/>
                <w:sz w:val="20"/>
                <w:szCs w:val="20"/>
              </w:rPr>
              <w:lastRenderedPageBreak/>
              <w:t>supports coordinated responses across teams and maintains service reliability while preparing for scaling.</w:t>
            </w:r>
          </w:p>
        </w:tc>
      </w:tr>
      <w:tr w:rsidR="00963E47" w:rsidRPr="00963E47" w14:paraId="007AA1ED" w14:textId="77777777" w:rsidTr="005C00A5">
        <w:tc>
          <w:tcPr>
            <w:tcW w:w="2160" w:type="dxa"/>
            <w:shd w:val="clear" w:color="auto" w:fill="CCDCDC"/>
          </w:tcPr>
          <w:p w14:paraId="281898E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4: Embedded</w:t>
            </w:r>
          </w:p>
        </w:tc>
        <w:tc>
          <w:tcPr>
            <w:tcW w:w="1350" w:type="dxa"/>
          </w:tcPr>
          <w:p w14:paraId="52AD8AA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6AC711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AI embedded in critical business functions and autonomous decision-making, so precise criteria for deactivation and well-rehearsed execution authority are essential to protect safety, compliance, and continuity. Documented responsibilities and escalation paths enable rapid, organization-wide action to remove or replace systems whose outcomes diverge from intended use.</w:t>
            </w:r>
          </w:p>
        </w:tc>
      </w:tr>
    </w:tbl>
    <w:p w14:paraId="7BA2A12A"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3A991831" w14:textId="77777777" w:rsidTr="005C00A5">
        <w:tc>
          <w:tcPr>
            <w:tcW w:w="2250" w:type="dxa"/>
          </w:tcPr>
          <w:p w14:paraId="290DBE9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0F54C53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421F01E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6B69372D" w14:textId="77777777" w:rsidTr="005C00A5">
        <w:tc>
          <w:tcPr>
            <w:tcW w:w="2250" w:type="dxa"/>
          </w:tcPr>
          <w:p w14:paraId="1E41F3C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633118C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Unidentified Performance Inconsistencies</w:t>
            </w:r>
          </w:p>
        </w:tc>
        <w:tc>
          <w:tcPr>
            <w:tcW w:w="5300" w:type="dxa"/>
          </w:tcPr>
          <w:p w14:paraId="6D90E9E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performance inconsistencies are not identified prompting deactivation</w:t>
            </w:r>
          </w:p>
        </w:tc>
      </w:tr>
    </w:tbl>
    <w:p w14:paraId="3E769C7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75DDA2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1686B7E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948DE9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Determine when an AI system's performance or outcomes are inconsistent with its intended use, necessitating supersession, disengagement, or deactivation. These criteria should be based on a thorough understanding of the system's intended purpose, its potential risks and limitations, and the expectations of relevant stakeholders.</w:t>
      </w:r>
    </w:p>
    <w:p w14:paraId="0B8F6AD9"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1802B83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Assign specific roles and responsibilities for monitoring the AI system's performance, making decisions regarding supersession, disengagement, or deactivation, and executing these actions when necessary. Ensure that these roles and responsibilities are clearly defined and communicated to all relevant personnel, and that they have the necessary authority, resources, and expertise to effectively carry out their duties.</w:t>
      </w:r>
    </w:p>
    <w:p w14:paraId="3B61BDFE"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FC292F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568CD17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34CA3D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Defined Performance Limits for AI Systems</w:t>
      </w:r>
    </w:p>
    <w:p w14:paraId="5E3722C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Set clear limits for when an AI system's performance (like accuracy or fairness) or behavior (like data trends) falls below expectations. If these limits are crossed, it triggers a review for stopping or replacing the system.</w:t>
      </w:r>
    </w:p>
    <w:p w14:paraId="043D65C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276ACC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Documents showing performance limits for each AI system.</w:t>
      </w:r>
    </w:p>
    <w:p w14:paraId="5DCF498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Alerts triggered when an AI system's performance drops.</w:t>
      </w:r>
    </w:p>
    <w:p w14:paraId="7445785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generated after performance issues are detected.</w:t>
      </w:r>
    </w:p>
    <w:p w14:paraId="2826A4C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Policy on reviewing and updating these performance limits.</w:t>
      </w:r>
    </w:p>
    <w:p w14:paraId="6D8D4EC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113D6E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Formal Policy for AI System Changes</w:t>
      </w:r>
    </w:p>
    <w:p w14:paraId="51280EC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Have a clear policy for when to stop using, temporarily pause, or replace an AI system. This includes how to handle its data and communicate changes.</w:t>
      </w:r>
    </w:p>
    <w:p w14:paraId="08CC686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4CDE50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Policy document for retiring or replacing AI systems.</w:t>
      </w:r>
    </w:p>
    <w:p w14:paraId="09D8EEF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Checklists used when shutting down an AI system.</w:t>
      </w:r>
    </w:p>
    <w:p w14:paraId="6253C83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Templates for notifying people about AI system changes.</w:t>
      </w:r>
    </w:p>
    <w:p w14:paraId="43344A4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Approval records for pausing or replacing an AI system.</w:t>
      </w:r>
    </w:p>
    <w:p w14:paraId="481197DF"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5FC344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Monitoring of AI Performance</w:t>
      </w:r>
    </w:p>
    <w:p w14:paraId="176F7C9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Actively watch AI systems 24/7 to catch any drops in performance, changes in data patterns, or other issues that suggest it's not working as intended.</w:t>
      </w:r>
    </w:p>
    <w:p w14:paraId="2B0A6D3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A0BB23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dashboards showing AI system health.</w:t>
      </w:r>
    </w:p>
    <w:p w14:paraId="3DC0B16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Alerts sent when AI performance drops.</w:t>
      </w:r>
    </w:p>
    <w:p w14:paraId="2462E34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on unusual AI system behavior.</w:t>
      </w:r>
    </w:p>
    <w:p w14:paraId="00B62EB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List of monitoring tools used for AI systems.</w:t>
      </w:r>
    </w:p>
    <w:p w14:paraId="682A784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055CB5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Designated Group for AI System Decisions</w:t>
      </w:r>
    </w:p>
    <w:p w14:paraId="36666B6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 specific group of people is assigned to review AI systems that aren't working as expected. They decide if the system should be stopped, paused, or replaced, based on a review of its impact and risks.</w:t>
      </w:r>
    </w:p>
    <w:p w14:paraId="1232002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33C3CB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Charter for the AI decision-making group.</w:t>
      </w:r>
    </w:p>
    <w:p w14:paraId="58F332C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where AI system fate was decided.</w:t>
      </w:r>
    </w:p>
    <w:p w14:paraId="04F0738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approved actions for AI systems.</w:t>
      </w:r>
    </w:p>
    <w:p w14:paraId="178DF85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Documents showing criteria used for these decisions.</w:t>
      </w:r>
    </w:p>
    <w:p w14:paraId="3C7BD3D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57B344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Safe Execution Plans for AI System Changes</w:t>
      </w:r>
    </w:p>
    <w:p w14:paraId="129158B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Have a clear plan for safely stopping or replacing an AI system. This includes steps for protecting data, securely removing system parts, and checking that the process was done correctly and safely.</w:t>
      </w:r>
    </w:p>
    <w:p w14:paraId="6D0544E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E31961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Plans for shutting down or replacing AI systems.</w:t>
      </w:r>
    </w:p>
    <w:p w14:paraId="4F576BC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authorized AI system changes.</w:t>
      </w:r>
    </w:p>
    <w:p w14:paraId="67CED4D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Checklists confirming safe decommissioning.</w:t>
      </w:r>
    </w:p>
    <w:p w14:paraId="04C8E9C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Communications about AI system changes.</w:t>
      </w:r>
    </w:p>
    <w:p w14:paraId="2ABCE8FC"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2C42CACA"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196A668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21ECE76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3B646815" w14:textId="77777777" w:rsidTr="005C00A5">
        <w:tc>
          <w:tcPr>
            <w:tcW w:w="1170" w:type="dxa"/>
          </w:tcPr>
          <w:p w14:paraId="1876D68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2211C18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1E3A3DD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56E716A4" w14:textId="77777777" w:rsidTr="005C00A5">
        <w:tc>
          <w:tcPr>
            <w:tcW w:w="1170" w:type="dxa"/>
          </w:tcPr>
          <w:p w14:paraId="15F9BFD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MG-2.4.2</w:t>
            </w:r>
          </w:p>
        </w:tc>
        <w:tc>
          <w:tcPr>
            <w:tcW w:w="2160" w:type="dxa"/>
          </w:tcPr>
          <w:p w14:paraId="2940E57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Disengagement Management and Post-Incident Review</w:t>
            </w:r>
          </w:p>
        </w:tc>
        <w:tc>
          <w:tcPr>
            <w:tcW w:w="6740" w:type="dxa"/>
          </w:tcPr>
          <w:p w14:paraId="39AF913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manages the consequences of AI system supersession, disengagement, or deactivation, including communication with affected stakeholders, archiving data and models, and conducting post-incident review and analysis, while also providing training and resources to ensure all relevant personnel understand their roles, responsibilities, and procedures for these actions, thereby promoting a culture of responsible AI governance.</w:t>
            </w:r>
          </w:p>
          <w:p w14:paraId="1F63EC44" w14:textId="77777777" w:rsidR="00963E47" w:rsidRPr="00963E47" w:rsidRDefault="00963E47" w:rsidP="004C3837">
            <w:pPr>
              <w:keepNext/>
              <w:rPr>
                <w:rFonts w:ascii="Aptos" w:hAnsi="Aptos" w:cs="Times New Roman"/>
                <w:b/>
                <w:bCs/>
                <w:color w:val="000000"/>
                <w:sz w:val="20"/>
                <w:szCs w:val="20"/>
              </w:rPr>
            </w:pPr>
          </w:p>
          <w:p w14:paraId="576BA007" w14:textId="77777777" w:rsidR="00963E47" w:rsidRPr="00963E47" w:rsidRDefault="00963E47" w:rsidP="004C3837">
            <w:pPr>
              <w:keepNext/>
              <w:rPr>
                <w:rFonts w:ascii="Aptos" w:hAnsi="Aptos" w:cs="Times New Roman"/>
                <w:b/>
                <w:bCs/>
                <w:color w:val="000000"/>
                <w:sz w:val="20"/>
                <w:szCs w:val="20"/>
              </w:rPr>
            </w:pPr>
            <w:hyperlink r:id="rId221" w:anchor="manage-2-4" w:history="1">
              <w:r w:rsidRPr="00963E47">
                <w:rPr>
                  <w:rFonts w:ascii="Aptos" w:hAnsi="Aptos" w:cs="Times New Roman"/>
                  <w:color w:val="000000"/>
                  <w:sz w:val="20"/>
                  <w:szCs w:val="20"/>
                  <w:u w:val="single"/>
                </w:rPr>
                <w:t>Link to NIST AI RMF Playbook</w:t>
              </w:r>
            </w:hyperlink>
          </w:p>
        </w:tc>
      </w:tr>
    </w:tbl>
    <w:p w14:paraId="7A5C7335"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7BCAC18"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2C22E7AA"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5667347F" w14:textId="77777777" w:rsidTr="005C00A5">
        <w:trPr>
          <w:tblHeader/>
        </w:trPr>
        <w:tc>
          <w:tcPr>
            <w:tcW w:w="2160" w:type="dxa"/>
            <w:shd w:val="clear" w:color="auto" w:fill="CCDCDC"/>
            <w:vAlign w:val="center"/>
          </w:tcPr>
          <w:p w14:paraId="521E4185"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6DC46035"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21ABC9BE"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289FDEF6" w14:textId="77777777" w:rsidTr="005C00A5">
        <w:tc>
          <w:tcPr>
            <w:tcW w:w="2160" w:type="dxa"/>
            <w:shd w:val="clear" w:color="auto" w:fill="CCDCDC"/>
          </w:tcPr>
          <w:p w14:paraId="5055C80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05E6760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549BB3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E051E0A" w14:textId="77777777" w:rsidTr="005C00A5">
        <w:tc>
          <w:tcPr>
            <w:tcW w:w="2160" w:type="dxa"/>
            <w:shd w:val="clear" w:color="auto" w:fill="CCDCDC"/>
          </w:tcPr>
          <w:p w14:paraId="18393CD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66DFC3C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1672BB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7745EF8" w14:textId="77777777" w:rsidTr="005C00A5">
        <w:tc>
          <w:tcPr>
            <w:tcW w:w="2160" w:type="dxa"/>
            <w:shd w:val="clear" w:color="auto" w:fill="CCDCDC"/>
          </w:tcPr>
          <w:p w14:paraId="055E4A9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0D5F437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AACEFB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1181BD7" w14:textId="77777777" w:rsidTr="005C00A5">
        <w:tc>
          <w:tcPr>
            <w:tcW w:w="2160" w:type="dxa"/>
            <w:shd w:val="clear" w:color="auto" w:fill="CCDCDC"/>
          </w:tcPr>
          <w:p w14:paraId="466C521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4496424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37881C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adaptive procedures for managing the consequences of AI system supersession, disengagement, or deactivation, with real-time communication and collaboration with stakeholders, automated data and model archiving, and continuous post-incident analysis and learning. Training and resources are dynamically optimized to ensure all personnel are empowered to fulfill their roles and responsibilities, fostering a deeply ingrained culture of responsible AI governance.</w:t>
            </w:r>
          </w:p>
        </w:tc>
      </w:tr>
    </w:tbl>
    <w:p w14:paraId="24F0F1CE"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4E1A9C4B" w14:textId="77777777" w:rsidTr="005C00A5">
        <w:tc>
          <w:tcPr>
            <w:tcW w:w="2250" w:type="dxa"/>
          </w:tcPr>
          <w:p w14:paraId="4A79387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2778E64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64272DF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532224DF" w14:textId="77777777" w:rsidTr="005C00A5">
        <w:tc>
          <w:tcPr>
            <w:tcW w:w="2250" w:type="dxa"/>
          </w:tcPr>
          <w:p w14:paraId="6DEABAF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611482A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Poorly Managed Deactivation</w:t>
            </w:r>
          </w:p>
        </w:tc>
        <w:tc>
          <w:tcPr>
            <w:tcW w:w="5300" w:type="dxa"/>
          </w:tcPr>
          <w:p w14:paraId="6AE44B1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Consequences of AI deactivation or supersession are poorly managed</w:t>
            </w:r>
          </w:p>
        </w:tc>
      </w:tr>
    </w:tbl>
    <w:p w14:paraId="5FED65B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164DEA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05BD673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E2E2AB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Manage the consequences of AI system supersession, disengagement, or deactivation. These procedures should include steps for communicating with affected stakeholders, such as end-users, customers, and regulators, to ensure that they are informed of the situation and any potential impacts.</w:t>
      </w:r>
    </w:p>
    <w:p w14:paraId="5C2A4224"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C3842B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Archive data and models associated with the superseded, disengaged, or deactivated AI system, to ensure that valuable information is not lost and can be used for future analysis and improvement efforts. Conduct a post-incident review and analysis to identify the root cause of the system's inconsistent performance or outcomes, and use this information to inform ongoing improvements to the organization's AI governance practices.</w:t>
      </w:r>
    </w:p>
    <w:p w14:paraId="7564F019"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C5BEC1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Provide training and resources to ensure that all relevant personnel understand their roles, responsibilities, and procedures for AI system supersession, disengagement, or deactivation. This training should cover topics such as the criteria and thresholds for initiating these actions, the communication protocols for engaging with stakeholders, and the technical procedures for safely and effectively executing these actions.</w:t>
      </w:r>
    </w:p>
    <w:p w14:paraId="2D7BFAC1"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84F88E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6E43774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D44DB6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Stakeholder Communication and Notification Protocols</w:t>
      </w:r>
    </w:p>
    <w:p w14:paraId="45A2DA9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and document timely, audience</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appropriate communication procedures for notifying internal and external stakeholders (users, customers, regulators, partners) about supersession, disengagement, or deactivation events and expected impacts.</w:t>
      </w:r>
    </w:p>
    <w:p w14:paraId="13A96FB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63049B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Preapproved communication templates and notification workflows for different stakeholder groups.</w:t>
      </w:r>
    </w:p>
    <w:p w14:paraId="6588400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Distribution logs showing notifications sent (timestamps, recipients, channels).</w:t>
      </w:r>
    </w:p>
    <w:p w14:paraId="370D2AE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FAQs, incident summaries, and public statements prepared for major deactivations.</w:t>
      </w:r>
    </w:p>
    <w:p w14:paraId="0F32C78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stakeholder briefings, regulatory notifications, and follow</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up communications.</w:t>
      </w:r>
    </w:p>
    <w:p w14:paraId="2A1CDB43"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01457A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Secure Archiving and Evidence Preservation</w:t>
      </w:r>
    </w:p>
    <w:p w14:paraId="17748CD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procedures for secure archiving of relevant models, training and operational data, configuration snapshots, decision logs, and related artifacts to preserve evidence, support investigations, and enable future analysis or model reconstitution.</w:t>
      </w:r>
    </w:p>
    <w:p w14:paraId="6D4C241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D12711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Archived model artifacts, data snapshots, configuration files, and immutable logs stored in controlled repositories.</w:t>
      </w:r>
    </w:p>
    <w:p w14:paraId="678918E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Access control and chain</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of</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custody records for archived materials.</w:t>
      </w:r>
    </w:p>
    <w:p w14:paraId="118D53C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Retention schedules and data disposal/erasure policies tied to archived items.</w:t>
      </w:r>
    </w:p>
    <w:p w14:paraId="75D498F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logs demonstrating successful archive and retrieval tests.</w:t>
      </w:r>
    </w:p>
    <w:p w14:paraId="77FC3B9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2876C1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Post</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Action Review and Root Cause Analysis</w:t>
      </w:r>
    </w:p>
    <w:p w14:paraId="4049C26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structured post</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incident reviews (including RCA) to analyze causes, evaluate impacts, validate mitigations, and recommend updates to TEVV, risk controls, and deployment practices.</w:t>
      </w:r>
    </w:p>
    <w:p w14:paraId="68B30D4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81066C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Formal post</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incident reports and root cause analyses with timelines, evidence, and conclusions.</w:t>
      </w:r>
    </w:p>
    <w:p w14:paraId="6843DD4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Remediation plans with assigned owners, milestones, and closure evidence.</w:t>
      </w:r>
    </w:p>
    <w:p w14:paraId="0E8C9F5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risk registers, TEVV documents, and control changes resulting from reviews.</w:t>
      </w:r>
    </w:p>
    <w:p w14:paraId="43CACA4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Minutes from review boards or governance committees approving corrective actions.</w:t>
      </w:r>
    </w:p>
    <w:p w14:paraId="55BF5D5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96D828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Business Continuity, Recovery and Supersession Plans</w:t>
      </w:r>
    </w:p>
    <w:p w14:paraId="6934D19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and test continuity plans that define fallback processes, alternate systems, or manual workarounds to preserve service continuity and minimize harm during and after supersession, disengagement, or deactivation.</w:t>
      </w:r>
    </w:p>
    <w:p w14:paraId="2A59DE0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4A6BD2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Business continuity and fallback playbooks showing supersession steps and manual procedures.</w:t>
      </w:r>
    </w:p>
    <w:p w14:paraId="1BB282F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Test/drill results validating recovery or fallback effectiveness and time</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to</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restore metrics.</w:t>
      </w:r>
    </w:p>
    <w:p w14:paraId="2A58023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records showing activation of alternate systems or manual processes during events.</w:t>
      </w:r>
    </w:p>
    <w:p w14:paraId="0D5AF8A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Service level and impact assessments documenting residual effects and recovery outcomes.</w:t>
      </w:r>
    </w:p>
    <w:p w14:paraId="76025A1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345FC8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Training, Roles Clarification, and Continuous Learning</w:t>
      </w:r>
    </w:p>
    <w:p w14:paraId="3EF5329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Provide role</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specific training, runbooks, and exercises so personnel understand responsibilities and procedures for supersession/disengagement/deactivation, and incorporate lessons learned into ongoing training and governance.</w:t>
      </w:r>
    </w:p>
    <w:p w14:paraId="5FA28E2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A33D94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curricula, attendance records, and competency assessments for incident response and deactivation procedures.</w:t>
      </w:r>
    </w:p>
    <w:p w14:paraId="3222C58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Runbooks, checklists, and role assignments accessible to operational teams.</w:t>
      </w:r>
    </w:p>
    <w:p w14:paraId="7B01360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After</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action reviews used to update training materials and SOPs.</w:t>
      </w:r>
    </w:p>
    <w:p w14:paraId="788327F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Evidence of periodic tabletop exercises or simulations and resulting improvements.</w:t>
      </w:r>
    </w:p>
    <w:p w14:paraId="5AA07B1B"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599F8EF4"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593BFFC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6DD1618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0D4460B9" w14:textId="77777777" w:rsidTr="005C00A5">
        <w:tc>
          <w:tcPr>
            <w:tcW w:w="1170" w:type="dxa"/>
          </w:tcPr>
          <w:p w14:paraId="1497036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006B842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37BA9DC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6048A0D9" w14:textId="77777777" w:rsidTr="005C00A5">
        <w:tc>
          <w:tcPr>
            <w:tcW w:w="1170" w:type="dxa"/>
          </w:tcPr>
          <w:p w14:paraId="133F4E5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MG-2.4.3</w:t>
            </w:r>
          </w:p>
        </w:tc>
        <w:tc>
          <w:tcPr>
            <w:tcW w:w="2160" w:type="dxa"/>
          </w:tcPr>
          <w:p w14:paraId="7EACE46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Technical Mechanisms for System Shutdown / Disconnection</w:t>
            </w:r>
          </w:p>
        </w:tc>
        <w:tc>
          <w:tcPr>
            <w:tcW w:w="6740" w:type="dxa"/>
          </w:tcPr>
          <w:p w14:paraId="49C30ED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designs, implements, and regularly tests technical mechanisms and safeguards, including fallback, rollback, contingency, and deactivation systems, for the rapid, controlled disengagement of AI systems with inconsistent performance or outcomes. Plans for disconnecting third-party services are detailed, specifying coordination, responsibilities, and decision-making to ensure seamless transitions and maintain system integrity. These measures are validated and updated based on lessons learned and industry best practices to ensure effectiveness, reliability, and to minimize negative impacts.</w:t>
            </w:r>
          </w:p>
          <w:p w14:paraId="5B1E578D" w14:textId="77777777" w:rsidR="00963E47" w:rsidRPr="00963E47" w:rsidRDefault="00963E47" w:rsidP="004C3837">
            <w:pPr>
              <w:keepNext/>
              <w:rPr>
                <w:rFonts w:ascii="Aptos" w:hAnsi="Aptos" w:cs="Times New Roman"/>
                <w:b/>
                <w:bCs/>
                <w:color w:val="000000"/>
                <w:sz w:val="20"/>
                <w:szCs w:val="20"/>
              </w:rPr>
            </w:pPr>
          </w:p>
          <w:p w14:paraId="3611B48F" w14:textId="77777777" w:rsidR="00963E47" w:rsidRPr="00963E47" w:rsidRDefault="00963E47" w:rsidP="004C3837">
            <w:pPr>
              <w:keepNext/>
              <w:rPr>
                <w:rFonts w:ascii="Aptos" w:hAnsi="Aptos" w:cs="Times New Roman"/>
                <w:b/>
                <w:bCs/>
                <w:color w:val="000000"/>
                <w:sz w:val="20"/>
                <w:szCs w:val="20"/>
              </w:rPr>
            </w:pPr>
            <w:hyperlink r:id="rId222" w:anchor="manage-2-4" w:history="1">
              <w:r w:rsidRPr="00963E47">
                <w:rPr>
                  <w:rFonts w:ascii="Aptos" w:hAnsi="Aptos" w:cs="Times New Roman"/>
                  <w:color w:val="000000"/>
                  <w:sz w:val="20"/>
                  <w:szCs w:val="20"/>
                  <w:u w:val="single"/>
                </w:rPr>
                <w:t>Link to NIST AI RMF Playbook</w:t>
              </w:r>
            </w:hyperlink>
          </w:p>
        </w:tc>
      </w:tr>
    </w:tbl>
    <w:p w14:paraId="5D4F88EF"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F452C70"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2BC6A8F1"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1CF8FC35" w14:textId="77777777" w:rsidTr="005C00A5">
        <w:trPr>
          <w:tblHeader/>
        </w:trPr>
        <w:tc>
          <w:tcPr>
            <w:tcW w:w="2160" w:type="dxa"/>
            <w:shd w:val="clear" w:color="auto" w:fill="CCDCDC"/>
            <w:vAlign w:val="center"/>
          </w:tcPr>
          <w:p w14:paraId="7F4C00BC"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21C52EAD"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249C586C"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3C16253A" w14:textId="77777777" w:rsidTr="005C00A5">
        <w:tc>
          <w:tcPr>
            <w:tcW w:w="2160" w:type="dxa"/>
            <w:shd w:val="clear" w:color="auto" w:fill="CCDCDC"/>
          </w:tcPr>
          <w:p w14:paraId="16F02FF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176D88E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029BBC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3C912084" w14:textId="77777777" w:rsidTr="005C00A5">
        <w:tc>
          <w:tcPr>
            <w:tcW w:w="2160" w:type="dxa"/>
            <w:shd w:val="clear" w:color="auto" w:fill="CCDCDC"/>
          </w:tcPr>
          <w:p w14:paraId="389EEAA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439DC91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73738F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64226234" w14:textId="77777777" w:rsidTr="005C00A5">
        <w:tc>
          <w:tcPr>
            <w:tcW w:w="2160" w:type="dxa"/>
            <w:shd w:val="clear" w:color="auto" w:fill="CCDCDC"/>
          </w:tcPr>
          <w:p w14:paraId="2699380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5F082B3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576F4E7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1A5A680F" w14:textId="77777777" w:rsidTr="005C00A5">
        <w:tc>
          <w:tcPr>
            <w:tcW w:w="2160" w:type="dxa"/>
            <w:shd w:val="clear" w:color="auto" w:fill="CCDCDC"/>
          </w:tcPr>
          <w:p w14:paraId="161E547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249AF81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82CD0F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Organizations at the embedded stage have advanced, adaptive technical mechanisms and safeguards for AI system supersession, disengagement, or deactivation, which are continuously monitored and optimized based on real-time data and insights. These measures are seamlessly integrated with organizational processes and culture, </w:t>
            </w:r>
            <w:r w:rsidRPr="00963E47">
              <w:rPr>
                <w:rFonts w:ascii="Aptos" w:hAnsi="Aptos" w:cs="Times New Roman"/>
                <w:noProof/>
                <w:color w:val="auto"/>
                <w:sz w:val="20"/>
                <w:szCs w:val="20"/>
              </w:rPr>
              <w:lastRenderedPageBreak/>
              <w:t>ensuring rapid, controlled, and reliable action when necessary, while minimizing potential negative impacts.</w:t>
            </w:r>
          </w:p>
        </w:tc>
      </w:tr>
    </w:tbl>
    <w:p w14:paraId="1956BB61"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693D518C" w14:textId="77777777" w:rsidTr="005C00A5">
        <w:tc>
          <w:tcPr>
            <w:tcW w:w="2250" w:type="dxa"/>
          </w:tcPr>
          <w:p w14:paraId="2F5F26F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7067C54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5808EB7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5A253CDF" w14:textId="77777777" w:rsidTr="005C00A5">
        <w:tc>
          <w:tcPr>
            <w:tcW w:w="2250" w:type="dxa"/>
          </w:tcPr>
          <w:p w14:paraId="706E5F9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Safe</w:t>
            </w:r>
          </w:p>
        </w:tc>
        <w:tc>
          <w:tcPr>
            <w:tcW w:w="2520" w:type="dxa"/>
          </w:tcPr>
          <w:p w14:paraId="55562E1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Inadequate Technical Safeguards</w:t>
            </w:r>
          </w:p>
        </w:tc>
        <w:tc>
          <w:tcPr>
            <w:tcW w:w="5300" w:type="dxa"/>
          </w:tcPr>
          <w:p w14:paraId="663353D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Technical safeguards for controlled AI disengagement are inadequate or untested</w:t>
            </w:r>
          </w:p>
        </w:tc>
      </w:tr>
    </w:tbl>
    <w:p w14:paraId="619D0CF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106D39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5DF037B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396955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Develop, implement, and regularly test technical mechanisms and safeguards—such as fallback, rollback, contingency plans, manual overrides, and automated monitoring—to enable the rapid and controlled disengagement or deactivation of AI systems when necessary. </w:t>
      </w:r>
    </w:p>
    <w:p w14:paraId="22EB077D"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2D8B0FB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Validate their effectiveness through routine testing and simulations, updating them as needed based on lessons learned and industry standards. Ensure these mechanisms are capable of minimizing risks like data loss or service disruption and can be activated quickly and safely.</w:t>
      </w:r>
    </w:p>
    <w:p w14:paraId="4AE5C581"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6BD6B54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Engage with relevant stakeholders, including end-users, domain experts, and impacted communities, to gather feedback on these mechanisms, and incorporate their insights to continuously improve and refine the safeguards.</w:t>
      </w:r>
    </w:p>
    <w:p w14:paraId="26F5A00A"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809767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5E12EDC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739B64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System Shutdown and Deactivation Mechanisms</w:t>
      </w:r>
    </w:p>
    <w:p w14:paraId="1C119AD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Design and implement technical mechanisms for the rapid and controlled disengagement of AI systems exhibiting inconsistent performance or outcomes, ensuring safety and operational integrity.</w:t>
      </w:r>
    </w:p>
    <w:p w14:paraId="6A6E82B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C99D1C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detailing the design and functionality of shutdown and deactivation mechanisms for AI systems.</w:t>
      </w:r>
    </w:p>
    <w:p w14:paraId="24112EE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configuration settings for the systems that allow for safe disengagement under various conditions.</w:t>
      </w:r>
    </w:p>
    <w:p w14:paraId="4240766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Flowcharts illustrating shutdown procedures, including decision points and activation mechanisms.</w:t>
      </w:r>
    </w:p>
    <w:p w14:paraId="3E0B599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Logs of simulations demonstrating successful disengagement of systems under test conditions.</w:t>
      </w:r>
    </w:p>
    <w:p w14:paraId="547989B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5A6103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Fallback and Rollback Plans</w:t>
      </w:r>
    </w:p>
    <w:p w14:paraId="5EC9182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structured fallback and rollback plans that detail procedures for reverting to previous states or alternative systems in case of performance issues, ensuring minimal disruption.</w:t>
      </w:r>
    </w:p>
    <w:p w14:paraId="63B0418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BCF663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Written fallback and rollback procedures, including step-by-step instructions for implementation.</w:t>
      </w:r>
    </w:p>
    <w:p w14:paraId="5E91E57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Testing documentation showing simulations of rollback scenarios and their outcomes.</w:t>
      </w:r>
    </w:p>
    <w:p w14:paraId="1E1DB03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system states before and after rollback actions to verify effectiveness.</w:t>
      </w:r>
    </w:p>
    <w:p w14:paraId="73FE3CF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Communication logs detailing how stakeholders are informed of fallback or rollback actions taken.</w:t>
      </w:r>
    </w:p>
    <w:p w14:paraId="7B74D94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CBFFF5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Coordination and Responsibility Framework</w:t>
      </w:r>
    </w:p>
    <w:p w14:paraId="7CB2726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clear framework that outlines the coordination, responsibilities, and decision-making processes involved in disconnecting services, including third-party integrations.</w:t>
      </w:r>
    </w:p>
    <w:p w14:paraId="64DBF18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4CD715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Detailed responsibility matrices clarifying roles of team members during system disconnect events.</w:t>
      </w:r>
    </w:p>
    <w:p w14:paraId="3881809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communication plans indicating how stakeholders will be informed of potential disconnections.</w:t>
      </w:r>
    </w:p>
    <w:p w14:paraId="5B2E782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team meetings discussing coordination strategies and responsibilities for system shutdown.</w:t>
      </w:r>
    </w:p>
    <w:p w14:paraId="20C4F1A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reports detailing decision-making processes followed during past disconnections.</w:t>
      </w:r>
    </w:p>
    <w:p w14:paraId="3E763F1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95F6FDB"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 Testing and Validation Procedures</w:t>
      </w:r>
    </w:p>
    <w:p w14:paraId="3D53133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regular testing and validation of shutdown and disconnection mechanisms to ensure they function effectively and reliably in practice.</w:t>
      </w:r>
    </w:p>
    <w:p w14:paraId="37157CC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E60969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 logs documenting the results of scheduled drills or simulations to evaluate shutdown procedures.</w:t>
      </w:r>
    </w:p>
    <w:p w14:paraId="6A7CFBF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summarizing testing outcomes, including any identified weaknesses or failures during validation exercises.</w:t>
      </w:r>
    </w:p>
    <w:p w14:paraId="57DAEA8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corrective actions taken in response to validation findings to improve system functionalities.</w:t>
      </w:r>
    </w:p>
    <w:p w14:paraId="0465096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team members involved in testing exercises to assess clarity and effectiveness of the shutdown protocols.</w:t>
      </w:r>
    </w:p>
    <w:p w14:paraId="33276B2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A464E6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Improvement and Updating Process</w:t>
      </w:r>
    </w:p>
    <w:p w14:paraId="463A5E5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review and update technical mechanisms for disconnection and shutdown based on lessons learned from incidents, industry best practices, and technological advancements.</w:t>
      </w:r>
    </w:p>
    <w:p w14:paraId="484328A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37B1C6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detailing updates made to shutdown and disconnection mechanisms, including rationale for changes.</w:t>
      </w:r>
    </w:p>
    <w:p w14:paraId="34FC984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lessons learned sessions that inform updates to processes and systems.</w:t>
      </w:r>
    </w:p>
    <w:p w14:paraId="596B540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audits conducted to assess the currency and effectiveness of disconnection safeguards.</w:t>
      </w:r>
    </w:p>
    <w:p w14:paraId="0583882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Program documentation reflecting how updates align with new industry standards and best practices.</w:t>
      </w:r>
    </w:p>
    <w:p w14:paraId="220A2FEF"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76" w:name="_Toc214874821"/>
      <w:r w:rsidRPr="00963E47">
        <w:rPr>
          <w:rFonts w:ascii="Aptos" w:eastAsia="Aptos" w:hAnsi="Aptos" w:cs="Times New Roman"/>
          <w:b/>
          <w:bCs/>
          <w:noProof/>
          <w:color w:val="35256B"/>
          <w:kern w:val="2"/>
          <w:sz w:val="24"/>
          <w14:ligatures w14:val="standardContextual"/>
        </w:rPr>
        <w:t>MANAGE / Managing Third-Party Risk / Monitoring and Responding to Third-Party Risks</w:t>
      </w:r>
      <w:bookmarkEnd w:id="76"/>
      <w:r w:rsidRPr="00963E47">
        <w:rPr>
          <w:rFonts w:ascii="Aptos" w:eastAsia="Aptos" w:hAnsi="Aptos" w:cs="Times New Roman"/>
          <w:b/>
          <w:bCs/>
          <w:noProof/>
          <w:color w:val="35256B"/>
          <w:kern w:val="2"/>
          <w:sz w:val="24"/>
          <w14:ligatures w14:val="standardContextual"/>
        </w:rPr>
        <w:t xml:space="preserve"> </w:t>
      </w:r>
    </w:p>
    <w:p w14:paraId="7BDDA469"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00F9400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7519944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46952432" w14:textId="77777777" w:rsidTr="005C00A5">
        <w:tc>
          <w:tcPr>
            <w:tcW w:w="1170" w:type="dxa"/>
          </w:tcPr>
          <w:p w14:paraId="715A0B7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26767E9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2AE24C4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68CDFED8" w14:textId="77777777" w:rsidTr="005C00A5">
        <w:tc>
          <w:tcPr>
            <w:tcW w:w="1170" w:type="dxa"/>
          </w:tcPr>
          <w:p w14:paraId="629A7B4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MG-3.1.1</w:t>
            </w:r>
          </w:p>
        </w:tc>
        <w:tc>
          <w:tcPr>
            <w:tcW w:w="2160" w:type="dxa"/>
          </w:tcPr>
          <w:p w14:paraId="5B7899A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Third-Party Practitioner Training and Collaboration</w:t>
            </w:r>
          </w:p>
        </w:tc>
        <w:tc>
          <w:tcPr>
            <w:tcW w:w="6740" w:type="dxa"/>
          </w:tcPr>
          <w:p w14:paraId="3CAB785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determines the needed level of third party personnel AI system proficiency and specific skills and collaborates with third party management to ensure that third party personnel receive adequate training. This training may be provided by the organization or by the third party.</w:t>
            </w:r>
          </w:p>
          <w:p w14:paraId="193508FD" w14:textId="77777777" w:rsidR="00963E47" w:rsidRPr="00963E47" w:rsidRDefault="00963E47" w:rsidP="004C3837">
            <w:pPr>
              <w:keepNext/>
              <w:rPr>
                <w:rFonts w:ascii="Aptos" w:hAnsi="Aptos" w:cs="Times New Roman"/>
                <w:b/>
                <w:bCs/>
                <w:color w:val="000000"/>
                <w:sz w:val="20"/>
                <w:szCs w:val="20"/>
              </w:rPr>
            </w:pPr>
          </w:p>
          <w:p w14:paraId="22A681CB" w14:textId="77777777" w:rsidR="00963E47" w:rsidRPr="00963E47" w:rsidRDefault="00963E47" w:rsidP="004C3837">
            <w:pPr>
              <w:keepNext/>
              <w:rPr>
                <w:rFonts w:ascii="Aptos" w:hAnsi="Aptos" w:cs="Times New Roman"/>
                <w:b/>
                <w:bCs/>
                <w:color w:val="000000"/>
                <w:sz w:val="20"/>
                <w:szCs w:val="20"/>
              </w:rPr>
            </w:pPr>
            <w:hyperlink r:id="rId223" w:anchor="manage-3-1" w:history="1">
              <w:r w:rsidRPr="00963E47">
                <w:rPr>
                  <w:rFonts w:ascii="Aptos" w:hAnsi="Aptos" w:cs="Times New Roman"/>
                  <w:color w:val="000000"/>
                  <w:sz w:val="20"/>
                  <w:szCs w:val="20"/>
                  <w:u w:val="single"/>
                </w:rPr>
                <w:t>Link to NIST AI RMF Playbook</w:t>
              </w:r>
            </w:hyperlink>
          </w:p>
        </w:tc>
      </w:tr>
    </w:tbl>
    <w:p w14:paraId="41B683DA"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1ED24CE"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51A9A7CF"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0452F957" w14:textId="77777777" w:rsidTr="005C00A5">
        <w:trPr>
          <w:tblHeader/>
        </w:trPr>
        <w:tc>
          <w:tcPr>
            <w:tcW w:w="2160" w:type="dxa"/>
            <w:shd w:val="clear" w:color="auto" w:fill="CCDCDC"/>
            <w:vAlign w:val="center"/>
          </w:tcPr>
          <w:p w14:paraId="74979A25"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7701777F"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0E523F4C"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262BCAD7" w14:textId="77777777" w:rsidTr="005C00A5">
        <w:tc>
          <w:tcPr>
            <w:tcW w:w="2160" w:type="dxa"/>
            <w:shd w:val="clear" w:color="auto" w:fill="CCDCDC"/>
          </w:tcPr>
          <w:p w14:paraId="7E3430F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3347033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6542C1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19A7E531" w14:textId="77777777" w:rsidTr="005C00A5">
        <w:tc>
          <w:tcPr>
            <w:tcW w:w="2160" w:type="dxa"/>
            <w:shd w:val="clear" w:color="auto" w:fill="CCDCDC"/>
          </w:tcPr>
          <w:p w14:paraId="7911703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2D0A230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8EF915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integrating third</w:t>
            </w:r>
            <w:r w:rsidRPr="00963E47">
              <w:rPr>
                <w:rFonts w:ascii="Cambria Math" w:hAnsi="Cambria Math" w:cs="Cambria Math"/>
                <w:noProof/>
                <w:color w:val="auto"/>
                <w:sz w:val="20"/>
                <w:szCs w:val="20"/>
              </w:rPr>
              <w:t>‑</w:t>
            </w:r>
            <w:r w:rsidRPr="00963E47">
              <w:rPr>
                <w:rFonts w:ascii="Aptos" w:hAnsi="Aptos" w:cs="Times New Roman"/>
                <w:noProof/>
                <w:color w:val="auto"/>
                <w:sz w:val="20"/>
                <w:szCs w:val="20"/>
              </w:rPr>
              <w:t>party collaboration into basic proficiency training ensures staff understand and safely operate the limited, non-critical AI solutions in use; formalizing these practices early builds foundational skills and aligns external vendor practices with internal standards. Embedding supplier-led content into organization-wide courses creates consistent expectations and reduces errors as AI use expands.</w:t>
            </w:r>
          </w:p>
        </w:tc>
      </w:tr>
      <w:tr w:rsidR="00963E47" w:rsidRPr="00963E47" w14:paraId="43AF3882" w14:textId="77777777" w:rsidTr="005C00A5">
        <w:tc>
          <w:tcPr>
            <w:tcW w:w="2160" w:type="dxa"/>
            <w:shd w:val="clear" w:color="auto" w:fill="CCDCDC"/>
          </w:tcPr>
          <w:p w14:paraId="591044F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6032B27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3F546F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AI touches external users and sensitive data, so practitioner proficiency—enhanced by third</w:t>
            </w:r>
            <w:r w:rsidRPr="00963E47">
              <w:rPr>
                <w:rFonts w:ascii="Cambria Math" w:hAnsi="Cambria Math" w:cs="Cambria Math"/>
                <w:noProof/>
                <w:color w:val="auto"/>
                <w:sz w:val="20"/>
                <w:szCs w:val="20"/>
              </w:rPr>
              <w:t>‑</w:t>
            </w:r>
            <w:r w:rsidRPr="00963E47">
              <w:rPr>
                <w:rFonts w:ascii="Aptos" w:hAnsi="Aptos" w:cs="Times New Roman"/>
                <w:noProof/>
                <w:color w:val="auto"/>
                <w:sz w:val="20"/>
                <w:szCs w:val="20"/>
              </w:rPr>
              <w:t>party expertise—becomes critical to manage privacy, security, and user interactions. Incorporating this training into enterprise programs ensures consistent competencies across teams and supports reliable, compliant external-facing deployments.</w:t>
            </w:r>
          </w:p>
        </w:tc>
      </w:tr>
      <w:tr w:rsidR="00963E47" w:rsidRPr="00963E47" w14:paraId="30796350" w14:textId="77777777" w:rsidTr="005C00A5">
        <w:tc>
          <w:tcPr>
            <w:tcW w:w="2160" w:type="dxa"/>
            <w:shd w:val="clear" w:color="auto" w:fill="CCDCDC"/>
          </w:tcPr>
          <w:p w14:paraId="3417AC7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0B4037E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9ACAD1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AI embedded in critical functions and internal development, so deep, standardized proficiency driven by both internal and third</w:t>
            </w:r>
            <w:r w:rsidRPr="00963E47">
              <w:rPr>
                <w:rFonts w:ascii="Cambria Math" w:hAnsi="Cambria Math" w:cs="Cambria Math"/>
                <w:noProof/>
                <w:color w:val="auto"/>
                <w:sz w:val="20"/>
                <w:szCs w:val="20"/>
              </w:rPr>
              <w:t>‑</w:t>
            </w:r>
            <w:r w:rsidRPr="00963E47">
              <w:rPr>
                <w:rFonts w:ascii="Aptos" w:hAnsi="Aptos" w:cs="Times New Roman"/>
                <w:noProof/>
                <w:color w:val="auto"/>
                <w:sz w:val="20"/>
                <w:szCs w:val="20"/>
              </w:rPr>
              <w:t xml:space="preserve">party experts is necessary </w:t>
            </w:r>
            <w:r w:rsidRPr="00963E47">
              <w:rPr>
                <w:rFonts w:ascii="Aptos" w:hAnsi="Aptos" w:cs="Times New Roman"/>
                <w:noProof/>
                <w:color w:val="auto"/>
                <w:sz w:val="20"/>
                <w:szCs w:val="20"/>
              </w:rPr>
              <w:lastRenderedPageBreak/>
              <w:t>to maintain safety, governance, and scalability. Organization-wide integration of such training ensures that all practitioners meet operational standards for model development, deployment, monitoring, and incident response.</w:t>
            </w:r>
          </w:p>
        </w:tc>
      </w:tr>
    </w:tbl>
    <w:p w14:paraId="3BE3B5A0"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21F6C5BC" w14:textId="77777777" w:rsidTr="005C00A5">
        <w:tc>
          <w:tcPr>
            <w:tcW w:w="2250" w:type="dxa"/>
          </w:tcPr>
          <w:p w14:paraId="29BB927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1BEFBDA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574C376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06C65435" w14:textId="77777777" w:rsidTr="005C00A5">
        <w:tc>
          <w:tcPr>
            <w:tcW w:w="2250" w:type="dxa"/>
          </w:tcPr>
          <w:p w14:paraId="130C8A2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631DA1C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Lack of Third-Party Training</w:t>
            </w:r>
          </w:p>
        </w:tc>
        <w:tc>
          <w:tcPr>
            <w:tcW w:w="5300" w:type="dxa"/>
          </w:tcPr>
          <w:p w14:paraId="02D37F4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Third-party personnel training for AI practitioner proficiency is lacking</w:t>
            </w:r>
          </w:p>
        </w:tc>
      </w:tr>
    </w:tbl>
    <w:p w14:paraId="01993C7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EB0749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02757C4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02CBF5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Provide specialized training for third party personnel to enhance practitioner proficiency with the AI system. Arrange for this training to be performed by the third party or integrate this training into organization-wide proficiency courses for AI systems at the adoption stage, ensuring alignment with overall operational standards. </w:t>
      </w:r>
    </w:p>
    <w:p w14:paraId="7FB4BAB4"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36B7D5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 customized training program for third party personnel, such as contractors or vendors, focusing on the specific skills, knowledge, and competencies required to safely and effectively interact with the AI system in their respective roles. Ensure that this training aligns with the organization's overall standards and best practices for AI system operation and is delivered in a format and on a schedule that is accessible and convenient for third party personnel.</w:t>
      </w:r>
    </w:p>
    <w:p w14:paraId="5DB4F089"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17CA7D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Integrate this specialized training into the broader proficiency courses and certification programs for AI systems at the adoption stage, ensuring that relevant stakeholders, both internal and external, have the necessary knowledge and skills to operate the system consistently and reliably. Regularly review and update the third party training program to maintain its effectiveness and relevance as the AI system and its ecosystem of partners and stakeholders evolve over time.</w:t>
      </w:r>
    </w:p>
    <w:p w14:paraId="264098F0"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737E5E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567B0B5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9700BC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Joint Training Development and Curriculum Alignment</w:t>
      </w:r>
    </w:p>
    <w:p w14:paraId="6A816FD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design role</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specific training curricula with third</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party providers that map to organizational proficiency standards and operational requirements.</w:t>
      </w:r>
    </w:p>
    <w:p w14:paraId="02AB958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B94CF9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Signed curriculum development agreements or MOUs with third</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party trainers.</w:t>
      </w:r>
    </w:p>
    <w:p w14:paraId="66EB878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Curriculum documents showing mapped learning objectives tied to organizational competency frameworks.</w:t>
      </w:r>
    </w:p>
    <w:p w14:paraId="74BB2A0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Versioned training syllabi and lesson plans co</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authored with third parties.</w:t>
      </w:r>
    </w:p>
    <w:p w14:paraId="4B49852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Approval records from L&amp;Dand operational leadership confirming alignment.</w:t>
      </w:r>
    </w:p>
    <w:p w14:paraId="5E86CF6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4CFD49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Integrated Delivery and Certification Pathways</w:t>
      </w:r>
    </w:p>
    <w:p w14:paraId="641BC92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Deliver integrated training programs that combine third</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party content with internal courses, issuing organization</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recognized certifications demonstrating required proficiency for practitioners.</w:t>
      </w:r>
    </w:p>
    <w:p w14:paraId="190183D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A2C77D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Learning path diagrams showing combined internal and third</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party modules.</w:t>
      </w:r>
    </w:p>
    <w:p w14:paraId="46FD988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LMS records of enrollments, completions, and issued certifications/badges.</w:t>
      </w:r>
    </w:p>
    <w:p w14:paraId="09D0E90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Attendance and assessment results for integrated courses.</w:t>
      </w:r>
    </w:p>
    <w:p w14:paraId="2E87982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Certification criteria and governance approval documents.</w:t>
      </w:r>
    </w:p>
    <w:p w14:paraId="22E5641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53CADB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Hands</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On Practicum and Joint Exercises with Third Parties</w:t>
      </w:r>
    </w:p>
    <w:p w14:paraId="13E1925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Incorporate practical labs, joint exercises, and real</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world scenario simulations run with third</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party experts to validate practitioner skills in the adoption context.</w:t>
      </w:r>
    </w:p>
    <w:p w14:paraId="4FB7B7F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6189C6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Exercise plans, participant rosters, and deliverables from joint practicums.</w:t>
      </w:r>
    </w:p>
    <w:p w14:paraId="0935CF7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Evaluation rubrics and participant performance reports.</w:t>
      </w:r>
    </w:p>
    <w:p w14:paraId="70643E0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After</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action reports documenting gaps identified and remediation steps.</w:t>
      </w:r>
    </w:p>
    <w:p w14:paraId="50AD594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environment access and tool provisioning for hands</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on sessions.</w:t>
      </w:r>
    </w:p>
    <w:p w14:paraId="2547E46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212C9F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Governance, Roles, and Quality Assurance for Training Content</w:t>
      </w:r>
    </w:p>
    <w:p w14:paraId="35DAF48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Define governance roles, quality assurance checks, and content review cycles to ensure third</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party training remains current, accurate, and compliant with organizational standards.</w:t>
      </w:r>
    </w:p>
    <w:p w14:paraId="2BE4ADA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EE7814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Governance charter or terms of reference for training oversight.</w:t>
      </w:r>
    </w:p>
    <w:p w14:paraId="1256E91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Content review logs, version control, and QA sign</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offs for curriculum updates.</w:t>
      </w:r>
    </w:p>
    <w:p w14:paraId="2B39EE7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Compliance checks confirming regulatory or policy alignment.</w:t>
      </w:r>
    </w:p>
    <w:p w14:paraId="687DA7B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summaries and improvement tickets acted upon.</w:t>
      </w:r>
    </w:p>
    <w:p w14:paraId="3797ED93"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A81EEE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Evaluation, Recertification, and Workforce Integration</w:t>
      </w:r>
    </w:p>
    <w:p w14:paraId="45B7E1B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Monitor training effectiveness, require periodic recertification, and integrate proficiency outcomes into role assignments, performance management, and operational readiness.</w:t>
      </w:r>
    </w:p>
    <w:p w14:paraId="3A5B581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D4E403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Post</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training evaluation reports (pre/post assessments, competency metrics).</w:t>
      </w:r>
    </w:p>
    <w:p w14:paraId="1E01849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Recertification schedules and records of completed re</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assessments.</w:t>
      </w:r>
    </w:p>
    <w:p w14:paraId="3B48B18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HR records linking certification status to role eligibility or promotions.</w:t>
      </w:r>
    </w:p>
    <w:p w14:paraId="6ECF80F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Metrics dashboards showing coverage, proficiency levels, and training impact on operational KPIs.</w:t>
      </w:r>
    </w:p>
    <w:p w14:paraId="2993D71B"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27AFEA05"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22B1990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1248B23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784D49CF" w14:textId="77777777" w:rsidTr="005C00A5">
        <w:tc>
          <w:tcPr>
            <w:tcW w:w="1170" w:type="dxa"/>
          </w:tcPr>
          <w:p w14:paraId="09EA519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7D498EC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09F788F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7A4CEF0B" w14:textId="77777777" w:rsidTr="005C00A5">
        <w:tc>
          <w:tcPr>
            <w:tcW w:w="1170" w:type="dxa"/>
          </w:tcPr>
          <w:p w14:paraId="4815763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MG-3.1.2</w:t>
            </w:r>
          </w:p>
        </w:tc>
        <w:tc>
          <w:tcPr>
            <w:tcW w:w="2160" w:type="dxa"/>
          </w:tcPr>
          <w:p w14:paraId="7A66260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Vendor Risk and Compliance Assessments</w:t>
            </w:r>
          </w:p>
        </w:tc>
        <w:tc>
          <w:tcPr>
            <w:tcW w:w="6740" w:type="dxa"/>
          </w:tcPr>
          <w:p w14:paraId="3BCDBDE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integrates third-party AI resource assessments into existing vendor risk management processes, conducting periodic evaluations that identify potential AI-specific risks, vulnerabilities, and compliance gaps across technical and operational dimensions. These assessments examine AI system performance, data quality, algorithmic bias, security controls, and alignment with organizational AI principles and industry standards, with findings documented to inform risk mitigation strategies and ongoing monitoring efforts.</w:t>
            </w:r>
          </w:p>
          <w:p w14:paraId="5EFAF4FF" w14:textId="77777777" w:rsidR="00963E47" w:rsidRPr="00963E47" w:rsidRDefault="00963E47" w:rsidP="004C3837">
            <w:pPr>
              <w:keepNext/>
              <w:rPr>
                <w:rFonts w:ascii="Aptos" w:hAnsi="Aptos" w:cs="Times New Roman"/>
                <w:b/>
                <w:bCs/>
                <w:color w:val="000000"/>
                <w:sz w:val="20"/>
                <w:szCs w:val="20"/>
              </w:rPr>
            </w:pPr>
          </w:p>
          <w:p w14:paraId="5C95CFAC" w14:textId="77777777" w:rsidR="00963E47" w:rsidRPr="00963E47" w:rsidRDefault="00963E47" w:rsidP="004C3837">
            <w:pPr>
              <w:keepNext/>
              <w:rPr>
                <w:rFonts w:ascii="Aptos" w:hAnsi="Aptos" w:cs="Times New Roman"/>
                <w:b/>
                <w:bCs/>
                <w:color w:val="000000"/>
                <w:sz w:val="20"/>
                <w:szCs w:val="20"/>
              </w:rPr>
            </w:pPr>
            <w:hyperlink r:id="rId224" w:anchor="manage-3-1" w:history="1">
              <w:r w:rsidRPr="00963E47">
                <w:rPr>
                  <w:rFonts w:ascii="Aptos" w:hAnsi="Aptos" w:cs="Times New Roman"/>
                  <w:color w:val="000000"/>
                  <w:sz w:val="20"/>
                  <w:szCs w:val="20"/>
                  <w:u w:val="single"/>
                </w:rPr>
                <w:t>Link to NIST AI RMF Playbook</w:t>
              </w:r>
            </w:hyperlink>
          </w:p>
        </w:tc>
      </w:tr>
    </w:tbl>
    <w:p w14:paraId="747B78F9"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FDCCB96"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147B1F53"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0F3CE523" w14:textId="77777777" w:rsidTr="005C00A5">
        <w:trPr>
          <w:tblHeader/>
        </w:trPr>
        <w:tc>
          <w:tcPr>
            <w:tcW w:w="2160" w:type="dxa"/>
            <w:shd w:val="clear" w:color="auto" w:fill="CCDCDC"/>
            <w:vAlign w:val="center"/>
          </w:tcPr>
          <w:p w14:paraId="526D60DC"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4929AA1E"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5E7024B4"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655E4488" w14:textId="77777777" w:rsidTr="005C00A5">
        <w:tc>
          <w:tcPr>
            <w:tcW w:w="2160" w:type="dxa"/>
            <w:shd w:val="clear" w:color="auto" w:fill="CCDCDC"/>
          </w:tcPr>
          <w:p w14:paraId="2E2F17B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5FAE144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44C121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44CEB610" w14:textId="77777777" w:rsidTr="005C00A5">
        <w:tc>
          <w:tcPr>
            <w:tcW w:w="2160" w:type="dxa"/>
            <w:shd w:val="clear" w:color="auto" w:fill="CCDCDC"/>
          </w:tcPr>
          <w:p w14:paraId="6C78093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540788A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013707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FC0E5CB" w14:textId="77777777" w:rsidTr="005C00A5">
        <w:tc>
          <w:tcPr>
            <w:tcW w:w="2160" w:type="dxa"/>
            <w:shd w:val="clear" w:color="auto" w:fill="CCDCDC"/>
          </w:tcPr>
          <w:p w14:paraId="492B511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1DD1B71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168E25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AE25410" w14:textId="77777777" w:rsidTr="005C00A5">
        <w:tc>
          <w:tcPr>
            <w:tcW w:w="2160" w:type="dxa"/>
            <w:shd w:val="clear" w:color="auto" w:fill="CCDCDC"/>
          </w:tcPr>
          <w:p w14:paraId="263C9F0C"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7EAE646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34EA37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Organizations at the embedded stage have advanced, automated processes for integrating third-party AI resource assessments into </w:t>
            </w:r>
            <w:r w:rsidRPr="00963E47">
              <w:rPr>
                <w:rFonts w:ascii="Aptos" w:hAnsi="Aptos" w:cs="Times New Roman"/>
                <w:noProof/>
                <w:color w:val="auto"/>
                <w:sz w:val="20"/>
                <w:szCs w:val="20"/>
              </w:rPr>
              <w:lastRenderedPageBreak/>
              <w:t>their vendor risk management processes, with continuous, real-time evaluations that dynamically identify potential AI-specific risks, vulnerabilities, and compliance gaps across all relevant dimensions. These assessments are seamlessly integrated with organizational AI principles and industry standards, with findings automatically documented and used to proactively optimize risk mitigation strategies and ongoing monitoring efforts based on data-driven insights and collaboration with third-party providers.</w:t>
            </w:r>
          </w:p>
        </w:tc>
      </w:tr>
    </w:tbl>
    <w:p w14:paraId="57BFD45D"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19E754C7" w14:textId="77777777" w:rsidTr="005C00A5">
        <w:tc>
          <w:tcPr>
            <w:tcW w:w="2250" w:type="dxa"/>
          </w:tcPr>
          <w:p w14:paraId="7542C99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1E3C0BC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009CC96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4FC7FFF7" w14:textId="77777777" w:rsidTr="005C00A5">
        <w:tc>
          <w:tcPr>
            <w:tcW w:w="2250" w:type="dxa"/>
          </w:tcPr>
          <w:p w14:paraId="5AAC206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Secure &amp; Resilient</w:t>
            </w:r>
          </w:p>
        </w:tc>
        <w:tc>
          <w:tcPr>
            <w:tcW w:w="2520" w:type="dxa"/>
          </w:tcPr>
          <w:p w14:paraId="1863C0B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Excluded Third-Party Assessments</w:t>
            </w:r>
          </w:p>
        </w:tc>
        <w:tc>
          <w:tcPr>
            <w:tcW w:w="5300" w:type="dxa"/>
          </w:tcPr>
          <w:p w14:paraId="45E3D0A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Third-party AI assessments are excluded from vendor risk processes</w:t>
            </w:r>
          </w:p>
        </w:tc>
      </w:tr>
    </w:tbl>
    <w:p w14:paraId="46B37F2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F21952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76646D9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5CCDAC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Integrate third-party AI resource assessments into existing vendor risk management processes. Conduct periodic evaluations that identify potential AI-specific risks, vulnerabilities, and compliance gaps across technical and operational dimensions. These assessments should examine factors such as AI system performance, data quality, algorithmic bias, security controls, and alignment with organizational AI principles and industry standards.</w:t>
      </w:r>
    </w:p>
    <w:p w14:paraId="1EF0C7B3"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1629F09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Document the findings of these assessments and use them to inform risk mitigation strategies and ongoing monitoring efforts. Ensure that the assessment process is transparent and that the results are communicated to all relevant stakeholders, including third-party providers, in a timely and effective manner.</w:t>
      </w:r>
    </w:p>
    <w:p w14:paraId="61FFFDDD"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4BAF0C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02B41F4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320622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AI</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Specific Vendor Assessment Framework</w:t>
      </w:r>
    </w:p>
    <w:p w14:paraId="1C621B9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Extend vendor risk management procedures with an AI</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focused assessment framework that specifies scope, criteria, frequency, and roles for evaluating third</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party AI resources.</w:t>
      </w:r>
    </w:p>
    <w:p w14:paraId="7AC9E4F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E60F76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AI vendor assessment templates/checklists covering performance, data provenance, bias, security, and governance.</w:t>
      </w:r>
    </w:p>
    <w:p w14:paraId="58FEE13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Policy or SOP documenting integration points between AI assessments and vendor risk processes.</w:t>
      </w:r>
    </w:p>
    <w:p w14:paraId="45139FF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Inventory entries showing assessment cadence and responsible reviewers.</w:t>
      </w:r>
    </w:p>
    <w:p w14:paraId="1CEC0F5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framework approval and version history.</w:t>
      </w:r>
    </w:p>
    <w:p w14:paraId="27160D5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40AC96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Technical and Performance Evaluations</w:t>
      </w:r>
    </w:p>
    <w:p w14:paraId="7CDD457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Perform periodic technical reviews of third</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party AI components to validate model performance, robustness, data quality, and operational behavior in context.</w:t>
      </w:r>
    </w:p>
    <w:p w14:paraId="4FBFBAC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96D539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Technical evaluation reports with performance metrics, test datasets, and robustness/stress test outcomes.</w:t>
      </w:r>
    </w:p>
    <w:p w14:paraId="422B8B0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 quality and provenance audit reports supplied by or verified for the vendor.</w:t>
      </w:r>
    </w:p>
    <w:p w14:paraId="1B81BC4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Logs of integration/acceptance testing and post</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deployment performance monitoring.</w:t>
      </w:r>
    </w:p>
    <w:p w14:paraId="5B219C4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Evidence of remediation actions for technical deficiencies.</w:t>
      </w:r>
    </w:p>
    <w:p w14:paraId="337451F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07A31B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Fairness and Bias Assessments</w:t>
      </w:r>
    </w:p>
    <w:p w14:paraId="3AD265B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Assess third</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party AI for algorithmic bias, fairness impacts, and alignment with organizational AI principles, documenting gaps and recommended mitigations.</w:t>
      </w:r>
    </w:p>
    <w:p w14:paraId="3495F43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7C641F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Fairness and bias assessment reports (metrics, subgroup analyses, mitigation steps).</w:t>
      </w:r>
    </w:p>
    <w:p w14:paraId="0BDE4B4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third</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party attestations or independent audits on responsible practices.</w:t>
      </w:r>
    </w:p>
    <w:p w14:paraId="69F97C8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Change requests or remediation plans addressing identified fairness issues.</w:t>
      </w:r>
    </w:p>
    <w:p w14:paraId="232B8D0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linking assessment outcomes to organizational principles or policy requirements.</w:t>
      </w:r>
    </w:p>
    <w:p w14:paraId="58CD352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37D188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Security, Privacy, and Compliance Reviews</w:t>
      </w:r>
    </w:p>
    <w:p w14:paraId="0123849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Evaluate vendor security controls, privacy protections (including data handling and consent), and regulatory compliance specific to AI use, and document deficiencies and contractual remedies.</w:t>
      </w:r>
    </w:p>
    <w:p w14:paraId="4AA30EA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C76803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Security assessment reports, penetration test or third</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party audit findings.</w:t>
      </w:r>
    </w:p>
    <w:p w14:paraId="192208A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Privacy impact assessments or evidence of anonymization/PII handling controls.</w:t>
      </w:r>
    </w:p>
    <w:p w14:paraId="49B3224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Compliance gap analyses against applicable regulations and standards.</w:t>
      </w:r>
    </w:p>
    <w:p w14:paraId="783699F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Contract amendments or SLA updates reflecting required controls and audit rights.</w:t>
      </w:r>
    </w:p>
    <w:p w14:paraId="61BD7DF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D96092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Reporting, Risk Treatment, and Ongoing Monitoring</w:t>
      </w:r>
    </w:p>
    <w:p w14:paraId="3FE90AC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 assessment findings in vendor risk records, define risk treatment plans (technical fixes, contractual terms, monitoring), and incorporate results into continuous monitoring and escalation workflows.</w:t>
      </w:r>
    </w:p>
    <w:p w14:paraId="6A4E912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323C62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Vendor risk register entries with assessed risk ratings, mitigation plans, and owners.</w:t>
      </w:r>
    </w:p>
    <w:p w14:paraId="6E76CF5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dashboards and periodic reassessment reports showing remediation progress.</w:t>
      </w:r>
    </w:p>
    <w:p w14:paraId="5EFC32E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Governance meeting minutes approving risk treatments and escalation actions.</w:t>
      </w:r>
    </w:p>
    <w:p w14:paraId="0C390E0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Evidence of updated contracts, SLAs, or termination decisions based on assessment outcomes.</w:t>
      </w:r>
    </w:p>
    <w:p w14:paraId="03DAE02F"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7ED717CE"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1CB9248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05BB686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4D9D1194" w14:textId="77777777" w:rsidTr="005C00A5">
        <w:tc>
          <w:tcPr>
            <w:tcW w:w="1170" w:type="dxa"/>
          </w:tcPr>
          <w:p w14:paraId="01A1CA1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36D3439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61D543F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1BE34260" w14:textId="77777777" w:rsidTr="005C00A5">
        <w:tc>
          <w:tcPr>
            <w:tcW w:w="1170" w:type="dxa"/>
          </w:tcPr>
          <w:p w14:paraId="1DB8331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MG-3.1.3</w:t>
            </w:r>
          </w:p>
        </w:tc>
        <w:tc>
          <w:tcPr>
            <w:tcW w:w="2160" w:type="dxa"/>
          </w:tcPr>
          <w:p w14:paraId="3E8D729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Dependency, Aggregate, and Concentration Risk</w:t>
            </w:r>
          </w:p>
        </w:tc>
        <w:tc>
          <w:tcPr>
            <w:tcW w:w="6740" w:type="dxa"/>
          </w:tcPr>
          <w:p w14:paraId="537103C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periodically assesses its portfolio of third-party AI resources to identify potential concentration risks, evaluating dependencies, vendor diversity, insourcing/outsourcing considerations, and the potential impact of over-reliance on specific third-party providers across critical AI systems and functions, with findings used to inform risk mitigation strategies and strategic sourcing decisions.</w:t>
            </w:r>
          </w:p>
          <w:p w14:paraId="31AA1693" w14:textId="77777777" w:rsidR="00963E47" w:rsidRPr="00963E47" w:rsidRDefault="00963E47" w:rsidP="004C3837">
            <w:pPr>
              <w:keepNext/>
              <w:rPr>
                <w:rFonts w:ascii="Aptos" w:hAnsi="Aptos" w:cs="Times New Roman"/>
                <w:b/>
                <w:bCs/>
                <w:color w:val="000000"/>
                <w:sz w:val="20"/>
                <w:szCs w:val="20"/>
              </w:rPr>
            </w:pPr>
          </w:p>
          <w:p w14:paraId="6530CADC" w14:textId="77777777" w:rsidR="00963E47" w:rsidRPr="00963E47" w:rsidRDefault="00963E47" w:rsidP="004C3837">
            <w:pPr>
              <w:keepNext/>
              <w:rPr>
                <w:rFonts w:ascii="Aptos" w:hAnsi="Aptos" w:cs="Times New Roman"/>
                <w:b/>
                <w:bCs/>
                <w:color w:val="000000"/>
                <w:sz w:val="20"/>
                <w:szCs w:val="20"/>
              </w:rPr>
            </w:pPr>
            <w:hyperlink r:id="rId225" w:anchor="manage-3-1" w:history="1">
              <w:r w:rsidRPr="00963E47">
                <w:rPr>
                  <w:rFonts w:ascii="Aptos" w:hAnsi="Aptos" w:cs="Times New Roman"/>
                  <w:color w:val="000000"/>
                  <w:sz w:val="20"/>
                  <w:szCs w:val="20"/>
                  <w:u w:val="single"/>
                </w:rPr>
                <w:t>Link to NIST AI RMF Playbook</w:t>
              </w:r>
            </w:hyperlink>
          </w:p>
        </w:tc>
      </w:tr>
    </w:tbl>
    <w:p w14:paraId="7876184A"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658ED0A8"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32E7ADF3"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0A003148" w14:textId="77777777" w:rsidTr="005C00A5">
        <w:trPr>
          <w:tblHeader/>
        </w:trPr>
        <w:tc>
          <w:tcPr>
            <w:tcW w:w="2160" w:type="dxa"/>
            <w:shd w:val="clear" w:color="auto" w:fill="CCDCDC"/>
            <w:vAlign w:val="center"/>
          </w:tcPr>
          <w:p w14:paraId="7D0912D9"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60250B49"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082EE47C"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65AE8B62" w14:textId="77777777" w:rsidTr="005C00A5">
        <w:tc>
          <w:tcPr>
            <w:tcW w:w="2160" w:type="dxa"/>
            <w:shd w:val="clear" w:color="auto" w:fill="CCDCDC"/>
          </w:tcPr>
          <w:p w14:paraId="446F4E8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7D2473C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A7B426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B359257" w14:textId="77777777" w:rsidTr="005C00A5">
        <w:tc>
          <w:tcPr>
            <w:tcW w:w="2160" w:type="dxa"/>
            <w:shd w:val="clear" w:color="auto" w:fill="CCDCDC"/>
          </w:tcPr>
          <w:p w14:paraId="74260A1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725DE5E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748B43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6923715A" w14:textId="77777777" w:rsidTr="005C00A5">
        <w:tc>
          <w:tcPr>
            <w:tcW w:w="2160" w:type="dxa"/>
            <w:shd w:val="clear" w:color="auto" w:fill="CCDCDC"/>
          </w:tcPr>
          <w:p w14:paraId="313C0BF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67A2EB7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02F7EE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365911AA" w14:textId="77777777" w:rsidTr="005C00A5">
        <w:tc>
          <w:tcPr>
            <w:tcW w:w="2160" w:type="dxa"/>
            <w:shd w:val="clear" w:color="auto" w:fill="CCDCDC"/>
          </w:tcPr>
          <w:p w14:paraId="0FC06E0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6449BE5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C17C12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continuously assessing their third-party AI resource portfolio to identify potential concentration risks in real-time, dynamically evaluating dependencies, vendor diversity, and the potential impact of over-reliance on specific third-party providers across all critical AI systems and functions. Findings from these assessments are seamlessly integrated with organizational risk management processes and used to proactively optimize risk mitigation strategies and strategic sourcing decisions based on data-driven insights and collaboration with third-party providers.</w:t>
            </w:r>
          </w:p>
        </w:tc>
      </w:tr>
    </w:tbl>
    <w:p w14:paraId="12077835"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2E73A148" w14:textId="77777777" w:rsidTr="005C00A5">
        <w:tc>
          <w:tcPr>
            <w:tcW w:w="2250" w:type="dxa"/>
          </w:tcPr>
          <w:p w14:paraId="439B4DB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3802264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45822FE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2CD0334B" w14:textId="77777777" w:rsidTr="005C00A5">
        <w:tc>
          <w:tcPr>
            <w:tcW w:w="2250" w:type="dxa"/>
          </w:tcPr>
          <w:p w14:paraId="24FF192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6973D5E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Unassessed Portfolio Concentration</w:t>
            </w:r>
          </w:p>
        </w:tc>
        <w:tc>
          <w:tcPr>
            <w:tcW w:w="5300" w:type="dxa"/>
          </w:tcPr>
          <w:p w14:paraId="1BE1499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Portfolio concentration risks from third-party AI providers are not assessed</w:t>
            </w:r>
          </w:p>
        </w:tc>
      </w:tr>
    </w:tbl>
    <w:p w14:paraId="4A4C822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42953E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7084A0E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B1EA66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Periodically assess the organization's portfolio of third-party AI resources to identify potential concentration risks. Evaluate dependencies, vendor diversity, and the potential impact of over-reliance on specific third-party providers across critical AI systems and functions.</w:t>
      </w:r>
    </w:p>
    <w:p w14:paraId="51E26C19"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7659DB2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Use the findings of these assessments to inform risk mitigation strategies and strategic sourcing decisions. Consider diversifying the organization's third-party AI resource portfolio to reduce concentration risks and ensure that critical AI systems and functions are not overly dependent on a single provider.</w:t>
      </w:r>
    </w:p>
    <w:p w14:paraId="7038C8AB"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D774B2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748BA4F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C4534C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Third-Party Resource Inventory</w:t>
      </w:r>
    </w:p>
    <w:p w14:paraId="7605CED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a comprehensive inventory of third-party AI resources, detailing each provider, their services, and associated dependencies to enable thorough risk assessments.</w:t>
      </w:r>
    </w:p>
    <w:p w14:paraId="57DC07A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F1FA3C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Up-to-date inventory documentation listing all third-party AI resources, including descriptions of services provided.</w:t>
      </w:r>
    </w:p>
    <w:p w14:paraId="6BDC10D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Dependency mapping diagrams that illustrate relationships and interactions among different third-party providers.</w:t>
      </w:r>
    </w:p>
    <w:p w14:paraId="747FF83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service level agreements (SLAs) or contracts that outline the terms of engagement with third-party vendors.</w:t>
      </w:r>
    </w:p>
    <w:p w14:paraId="6C62B25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feedback on the adequacy and effectiveness of third-party services in the AI ecosystem.</w:t>
      </w:r>
    </w:p>
    <w:p w14:paraId="2160BBC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70F903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Concentration Risk Assessment</w:t>
      </w:r>
    </w:p>
    <w:p w14:paraId="4B1D45A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periodic assessments to evaluate potential concentration risks within the organization's portfolio of third-party suppliers, focusing on vendor diversity and reliance on specific providers.</w:t>
      </w:r>
    </w:p>
    <w:p w14:paraId="3D07160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3E4E10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assessment reports identifying concentration risks within the portfolio, including graphical representations of vendor relationships.</w:t>
      </w:r>
    </w:p>
    <w:p w14:paraId="0E98FB1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Analysis documenting the impacts of over-reliance on specific vendors through case studies or what-if scenarios.</w:t>
      </w:r>
    </w:p>
    <w:p w14:paraId="1DE59AB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meetings where concentration risk assessments were discussed among relevant stakeholders.</w:t>
      </w:r>
    </w:p>
    <w:p w14:paraId="0C6E286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decisions made to address any identified concentration risks, including actions taken to diversify suppliers.</w:t>
      </w:r>
    </w:p>
    <w:p w14:paraId="7910551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29D98F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Dependency Analysis Methodology</w:t>
      </w:r>
    </w:p>
    <w:p w14:paraId="73012EF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methodology for analyzing dependencies on third-party AI resources, considering the implications they may have on critical business functions and overall system resilience.</w:t>
      </w:r>
    </w:p>
    <w:p w14:paraId="0F72A1C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BB5322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Assessment frameworks detailing methodologies used for analyzing dependencies and their impacts.</w:t>
      </w:r>
    </w:p>
    <w:p w14:paraId="3150BF8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past dependency analyses and the outcomes resulting from assessments of specific third-party providers.</w:t>
      </w:r>
    </w:p>
    <w:p w14:paraId="01CF957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scenario analyses that illustrate the impact of dependency failures on critical AI system operations.</w:t>
      </w:r>
    </w:p>
    <w:p w14:paraId="13A5319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reviews validating the effectiveness of dependency analysis methodologies.</w:t>
      </w:r>
    </w:p>
    <w:p w14:paraId="436C85B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553754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Mitigation Strategy Development</w:t>
      </w:r>
    </w:p>
    <w:p w14:paraId="5DC6376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and implement risk mitigation strategies based on the findings of dependency and concentration risk assessments, enforcing guidance for strategic sourcing decisions.</w:t>
      </w:r>
    </w:p>
    <w:p w14:paraId="1848166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209038C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Documented risk mitigation strategies that outline actions to reduce dependency risks, such as diversifying vendor selection.</w:t>
      </w:r>
    </w:p>
    <w:p w14:paraId="57DFB99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sourcing policies influenced by dependency and concentration risk findings, reflecting how risks will be managed.</w:t>
      </w:r>
    </w:p>
    <w:p w14:paraId="3CE064C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mitigation actions taken to address identified risks, along with timelines and responsible parties.</w:t>
      </w:r>
    </w:p>
    <w:p w14:paraId="0787B8C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Performance metrics that track the effectiveness of implemented mitigation strategies over time.</w:t>
      </w:r>
    </w:p>
    <w:p w14:paraId="7CC7AB5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305F42B"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Ongoing Monitoring and Review Process</w:t>
      </w:r>
    </w:p>
    <w:p w14:paraId="6674BFF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a process for ongoing monitoring of third-party resources and associated risks, scheduling regular reviews to assess changes in vendor reliance or emerging risks.</w:t>
      </w:r>
    </w:p>
    <w:p w14:paraId="27F4E58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9166FD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plans that outline the frequency and scope of risk reviews conducted for third-party resources.</w:t>
      </w:r>
    </w:p>
    <w:p w14:paraId="6CCD785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review findings illustrating changes in risk profiles for third-party providers.</w:t>
      </w:r>
    </w:p>
    <w:p w14:paraId="218EE83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Logs of communication with vendors following risk assessments to discuss reliability and risk management strategies.</w:t>
      </w:r>
    </w:p>
    <w:p w14:paraId="02705A6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reports showing how ongoing assessments have influenced strategic sourcing decisions or risk mitigation efforts.</w:t>
      </w:r>
    </w:p>
    <w:p w14:paraId="2B481C7F"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087A0524"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4C23E7C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187EC15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3D0D2FB6" w14:textId="77777777" w:rsidTr="005C00A5">
        <w:tc>
          <w:tcPr>
            <w:tcW w:w="1170" w:type="dxa"/>
          </w:tcPr>
          <w:p w14:paraId="51CCD5F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3A3A368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6649ECC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305E9F43" w14:textId="77777777" w:rsidTr="005C00A5">
        <w:tc>
          <w:tcPr>
            <w:tcW w:w="1170" w:type="dxa"/>
          </w:tcPr>
          <w:p w14:paraId="3DEC336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MG-3.1.4</w:t>
            </w:r>
          </w:p>
        </w:tc>
        <w:tc>
          <w:tcPr>
            <w:tcW w:w="2160" w:type="dxa"/>
          </w:tcPr>
          <w:p w14:paraId="297CF1E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Shared Responsibility</w:t>
            </w:r>
          </w:p>
        </w:tc>
        <w:tc>
          <w:tcPr>
            <w:tcW w:w="6740" w:type="dxa"/>
          </w:tcPr>
          <w:p w14:paraId="3958EB9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applies its risk management policies, risk appetite and tolerance, and risk controls to third-party AI resources, while developing and monitoring a shared responsibility model that defines risk management responsibilities, accountability, and potential escalation procedures for the organization and third-party provider across the AI system lifecycle.</w:t>
            </w:r>
          </w:p>
          <w:p w14:paraId="2352839B" w14:textId="77777777" w:rsidR="00963E47" w:rsidRPr="00963E47" w:rsidRDefault="00963E47" w:rsidP="004C3837">
            <w:pPr>
              <w:keepNext/>
              <w:rPr>
                <w:rFonts w:ascii="Aptos" w:hAnsi="Aptos" w:cs="Times New Roman"/>
                <w:b/>
                <w:bCs/>
                <w:color w:val="000000"/>
                <w:sz w:val="20"/>
                <w:szCs w:val="20"/>
              </w:rPr>
            </w:pPr>
          </w:p>
          <w:p w14:paraId="2F8F87EF" w14:textId="77777777" w:rsidR="00963E47" w:rsidRPr="00963E47" w:rsidRDefault="00963E47" w:rsidP="004C3837">
            <w:pPr>
              <w:keepNext/>
              <w:rPr>
                <w:rFonts w:ascii="Aptos" w:hAnsi="Aptos" w:cs="Times New Roman"/>
                <w:b/>
                <w:bCs/>
                <w:color w:val="000000"/>
                <w:sz w:val="20"/>
                <w:szCs w:val="20"/>
              </w:rPr>
            </w:pPr>
            <w:hyperlink r:id="rId226" w:anchor="manage-3-1" w:history="1">
              <w:r w:rsidRPr="00963E47">
                <w:rPr>
                  <w:rFonts w:ascii="Aptos" w:hAnsi="Aptos" w:cs="Times New Roman"/>
                  <w:color w:val="000000"/>
                  <w:sz w:val="20"/>
                  <w:szCs w:val="20"/>
                  <w:u w:val="single"/>
                </w:rPr>
                <w:t>Link to NIST AI RMF Playbook</w:t>
              </w:r>
            </w:hyperlink>
          </w:p>
        </w:tc>
      </w:tr>
    </w:tbl>
    <w:p w14:paraId="39109319"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BE8040B"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1EEFEB4C"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6F787236" w14:textId="77777777" w:rsidTr="005C00A5">
        <w:trPr>
          <w:tblHeader/>
        </w:trPr>
        <w:tc>
          <w:tcPr>
            <w:tcW w:w="2160" w:type="dxa"/>
            <w:shd w:val="clear" w:color="auto" w:fill="CCDCDC"/>
            <w:vAlign w:val="center"/>
          </w:tcPr>
          <w:p w14:paraId="75227927"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468ED65D"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70C277BD"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6BFF8621" w14:textId="77777777" w:rsidTr="005C00A5">
        <w:tc>
          <w:tcPr>
            <w:tcW w:w="2160" w:type="dxa"/>
            <w:shd w:val="clear" w:color="auto" w:fill="CCDCDC"/>
          </w:tcPr>
          <w:p w14:paraId="7AC278D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11A2368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713C1D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F5CFFCF" w14:textId="77777777" w:rsidTr="005C00A5">
        <w:tc>
          <w:tcPr>
            <w:tcW w:w="2160" w:type="dxa"/>
            <w:shd w:val="clear" w:color="auto" w:fill="CCDCDC"/>
          </w:tcPr>
          <w:p w14:paraId="44C98EF5"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037E274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9B63D5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0FF5A80D" w14:textId="77777777" w:rsidTr="005C00A5">
        <w:tc>
          <w:tcPr>
            <w:tcW w:w="2160" w:type="dxa"/>
            <w:shd w:val="clear" w:color="auto" w:fill="CCDCDC"/>
          </w:tcPr>
          <w:p w14:paraId="2DCE9F0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6AB7F96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EE7DC2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63DDD7C6" w14:textId="77777777" w:rsidTr="005C00A5">
        <w:tc>
          <w:tcPr>
            <w:tcW w:w="2160" w:type="dxa"/>
            <w:shd w:val="clear" w:color="auto" w:fill="CCDCDC"/>
          </w:tcPr>
          <w:p w14:paraId="5E3CB31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59AE83C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702DCD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seamlessly integrated their risk management policies, risk appetite and tolerance, and risk controls with third-party AI resources, with a dynamic, data-driven shared responsibility model that continuously optimizes risk management responsibilities, accountability, and escalation procedures based on real-time insights and collaboration with third-party providers.</w:t>
            </w:r>
          </w:p>
        </w:tc>
      </w:tr>
    </w:tbl>
    <w:p w14:paraId="50ABBA52"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5180B35B" w14:textId="77777777" w:rsidTr="005C00A5">
        <w:tc>
          <w:tcPr>
            <w:tcW w:w="2250" w:type="dxa"/>
          </w:tcPr>
          <w:p w14:paraId="6717AB2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lastRenderedPageBreak/>
              <w:t>AI Principle</w:t>
            </w:r>
          </w:p>
        </w:tc>
        <w:tc>
          <w:tcPr>
            <w:tcW w:w="2520" w:type="dxa"/>
          </w:tcPr>
          <w:p w14:paraId="120D454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22271C9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2CDC3174" w14:textId="77777777" w:rsidTr="005C00A5">
        <w:tc>
          <w:tcPr>
            <w:tcW w:w="2250" w:type="dxa"/>
          </w:tcPr>
          <w:p w14:paraId="516D967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7432C02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Unapplied Vendor Risk Policies</w:t>
            </w:r>
          </w:p>
        </w:tc>
        <w:tc>
          <w:tcPr>
            <w:tcW w:w="5300" w:type="dxa"/>
          </w:tcPr>
          <w:p w14:paraId="5A027F5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Risk policies and shared responsibility models are not applied to vendors</w:t>
            </w:r>
          </w:p>
        </w:tc>
      </w:tr>
    </w:tbl>
    <w:p w14:paraId="16620AD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A47339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2894403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A70559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Apply the organization's risk management policies, risk appetite and tolerance, and risk controls to third-party AI resources. Ensure that these policies and controls are clearly communicated to all relevant personnel and that they are consistently enforced across all third-party engagements.</w:t>
      </w:r>
    </w:p>
    <w:p w14:paraId="228FA8D8"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7C4D220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and monitor a shared responsibility model that defines risk management responsibilities, accountability, and potential escalation procedures for the organization and third-party provider across the AI system lifecycle. Ensure that this model is clearly documented and agreed upon by both parties, and that it is regularly reviewed and updated as needed.</w:t>
      </w:r>
    </w:p>
    <w:p w14:paraId="361F9C9F"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5C8423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1EA162F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05E8B0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Shared Responsibility Model and Contractual Allocation</w:t>
      </w:r>
    </w:p>
    <w:p w14:paraId="36094C1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Define and document a formal shared responsibility model and reflect it in contracts, specifying which party is accountable for each risk area (security, data governance, model validation, incident response, compliance) throughout the lifecycle.</w:t>
      </w:r>
    </w:p>
    <w:p w14:paraId="1DB8C41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447162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Shared responsibility matrix or RACI mapping linking specific controls and activities to the organization or provider.</w:t>
      </w:r>
    </w:p>
    <w:p w14:paraId="462A66D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Contractual clauses / SLA excerpts assigning responsibilities, obligations, audit rights, and remediation timelines.</w:t>
      </w:r>
    </w:p>
    <w:p w14:paraId="63B7D2D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Signed provider acknowledgements or statements of compliance with assigned responsibilities.</w:t>
      </w:r>
    </w:p>
    <w:p w14:paraId="1E207DA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Template SOWs and procurement checklists embedding the shared responsibility model.</w:t>
      </w:r>
    </w:p>
    <w:p w14:paraId="5F81AA63"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C728AA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Alignment with Risk Appetite, Policies, and Controls</w:t>
      </w:r>
    </w:p>
    <w:p w14:paraId="213F129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Ensure third</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party AI risks are assessed and managed against the organization’s risk appetite, policies, and control frameworks, with explicit acceptance criteria for residual risk.</w:t>
      </w:r>
    </w:p>
    <w:p w14:paraId="0BB8515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91467F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Third</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party risk assessment reports showing mapping to organizational risk appetite and control requirements.</w:t>
      </w:r>
    </w:p>
    <w:p w14:paraId="5EE4686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Policy crosswalks demonstrating how vendor controls align with internal standards.</w:t>
      </w:r>
    </w:p>
    <w:p w14:paraId="7B855DA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Formal risk acceptance records where residual vendor risk is documented and approved.</w:t>
      </w:r>
    </w:p>
    <w:p w14:paraId="4666B8A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registers tracking third</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party residual risk against tolerance thresholds.</w:t>
      </w:r>
    </w:p>
    <w:p w14:paraId="6DC657D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D250BB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Ongoing Monitoring, Reporting, and Assurance</w:t>
      </w:r>
    </w:p>
    <w:p w14:paraId="413FCDF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continuous monitoring and reporting mechanisms to verify provider compliance with assigned responsibilities and the effectiveness of controls, feeding results into enterprise risk reporting.</w:t>
      </w:r>
    </w:p>
    <w:p w14:paraId="47CE40A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E92DCB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dashboards and periodic assurance reports showing vendor control performance and incidents.</w:t>
      </w:r>
    </w:p>
    <w:p w14:paraId="732981E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Audit/assessment reports (attestations, penetration tests, independent validations) delivered by or about the provider.</w:t>
      </w:r>
    </w:p>
    <w:p w14:paraId="1A6AB5E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KPI/SLA reports and remediation tracking logs demonstrating follow</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through on issues.</w:t>
      </w:r>
    </w:p>
    <w:p w14:paraId="0AD0E6A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Evidence of integrated vendor risk metrics in enterprise risk reporting to governance bodies.</w:t>
      </w:r>
    </w:p>
    <w:p w14:paraId="0B2CC9E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049FF0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Escalation and Incident Coordination Procedures</w:t>
      </w:r>
    </w:p>
    <w:p w14:paraId="41C9892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clear escalation paths, notification requirements, and joint incident response procedures that define roles, timelines, and decision authorities for handling third</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party incidents affecting AI systems.</w:t>
      </w:r>
    </w:p>
    <w:p w14:paraId="6B9FA6A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6C9872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Joint incident response playbooks, contact lists, and escalation flowcharts agreed with providers.</w:t>
      </w:r>
    </w:p>
    <w:p w14:paraId="5C528A0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Incident logs showing coordinated responses, notifications, and remediation steps.</w:t>
      </w:r>
    </w:p>
    <w:p w14:paraId="65871F5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Recorded tabletop exercises or joint drills validating escalation and coordination.</w:t>
      </w:r>
    </w:p>
    <w:p w14:paraId="0BCA27C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Regulatory notification records where provider incidents required disclosure.</w:t>
      </w:r>
    </w:p>
    <w:p w14:paraId="656572C2"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FF0586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Review, Governance, and Continuous Improvement of the Model</w:t>
      </w:r>
    </w:p>
    <w:p w14:paraId="427CAF7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Periodically review and revise the shared responsibility model, contracts, and control mappings based on monitoring outcomes, lessons learned, changes in risk appetite, or evolving regulatory/industry expectations.</w:t>
      </w:r>
    </w:p>
    <w:p w14:paraId="4464B48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66FB89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from governance bodies documenting reviews and approved updates to the model.</w:t>
      </w:r>
    </w:p>
    <w:p w14:paraId="6709BFF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Versioned shared responsibility documents with change rationale and stakeholder sign</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offs.</w:t>
      </w:r>
    </w:p>
    <w:p w14:paraId="7C154BC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Post</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engagement review reports (onboarding, audits, incidents) that resulted in model or contract adjustments.</w:t>
      </w:r>
    </w:p>
    <w:p w14:paraId="5808F93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and communication records showing dissemination of updated responsibilities to internal teams and providers.</w:t>
      </w:r>
    </w:p>
    <w:p w14:paraId="6B4DB0C8"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1E83E7E3"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4563B36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1CE72CC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6EF2499B" w14:textId="77777777" w:rsidTr="005C00A5">
        <w:tc>
          <w:tcPr>
            <w:tcW w:w="1170" w:type="dxa"/>
          </w:tcPr>
          <w:p w14:paraId="6BAD690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76A39EE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7E1461A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1BE0EF6A" w14:textId="77777777" w:rsidTr="005C00A5">
        <w:tc>
          <w:tcPr>
            <w:tcW w:w="1170" w:type="dxa"/>
          </w:tcPr>
          <w:p w14:paraId="5FFEC3B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MG-3.1.5</w:t>
            </w:r>
          </w:p>
        </w:tc>
        <w:tc>
          <w:tcPr>
            <w:tcW w:w="2160" w:type="dxa"/>
          </w:tcPr>
          <w:p w14:paraId="4BA6CF1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Third-Party AI Risk Monitoring</w:t>
            </w:r>
          </w:p>
        </w:tc>
        <w:tc>
          <w:tcPr>
            <w:tcW w:w="6740" w:type="dxa"/>
          </w:tcPr>
          <w:p w14:paraId="5963AB7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monitors AI risks and benefits associated with third-party resources (e.g., data, models, consultants, contractors, other external personnel) throughout the AI lifecycle, including the ongoing monitoring of SLAs and contract compliance to ensure adherence to contractual commitments and mitigate associated risks.</w:t>
            </w:r>
          </w:p>
          <w:p w14:paraId="5FB64667" w14:textId="77777777" w:rsidR="00963E47" w:rsidRPr="00963E47" w:rsidRDefault="00963E47" w:rsidP="004C3837">
            <w:pPr>
              <w:keepNext/>
              <w:rPr>
                <w:rFonts w:ascii="Aptos" w:hAnsi="Aptos" w:cs="Times New Roman"/>
                <w:b/>
                <w:bCs/>
                <w:color w:val="000000"/>
                <w:sz w:val="20"/>
                <w:szCs w:val="20"/>
              </w:rPr>
            </w:pPr>
          </w:p>
          <w:p w14:paraId="6EB7CA83" w14:textId="77777777" w:rsidR="00963E47" w:rsidRPr="00963E47" w:rsidRDefault="00963E47" w:rsidP="004C3837">
            <w:pPr>
              <w:keepNext/>
              <w:rPr>
                <w:rFonts w:ascii="Aptos" w:hAnsi="Aptos" w:cs="Times New Roman"/>
                <w:b/>
                <w:bCs/>
                <w:color w:val="000000"/>
                <w:sz w:val="20"/>
                <w:szCs w:val="20"/>
              </w:rPr>
            </w:pPr>
            <w:hyperlink r:id="rId227" w:anchor="manage-3-1" w:history="1">
              <w:r w:rsidRPr="00963E47">
                <w:rPr>
                  <w:rFonts w:ascii="Aptos" w:hAnsi="Aptos" w:cs="Times New Roman"/>
                  <w:color w:val="000000"/>
                  <w:sz w:val="20"/>
                  <w:szCs w:val="20"/>
                  <w:u w:val="single"/>
                </w:rPr>
                <w:t>Link to NIST AI RMF Playbook</w:t>
              </w:r>
            </w:hyperlink>
          </w:p>
        </w:tc>
      </w:tr>
    </w:tbl>
    <w:p w14:paraId="1F4D77AC"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9F4C3DE"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3E0B194E"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39CA7755" w14:textId="77777777" w:rsidTr="005C00A5">
        <w:trPr>
          <w:tblHeader/>
        </w:trPr>
        <w:tc>
          <w:tcPr>
            <w:tcW w:w="2160" w:type="dxa"/>
            <w:shd w:val="clear" w:color="auto" w:fill="CCDCDC"/>
            <w:vAlign w:val="center"/>
          </w:tcPr>
          <w:p w14:paraId="4AD69057"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246C2CA1"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64F8D9DA"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760A6052" w14:textId="77777777" w:rsidTr="005C00A5">
        <w:tc>
          <w:tcPr>
            <w:tcW w:w="2160" w:type="dxa"/>
            <w:shd w:val="clear" w:color="auto" w:fill="CCDCDC"/>
          </w:tcPr>
          <w:p w14:paraId="2750CA6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61709E3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871850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0A8F60EE" w14:textId="77777777" w:rsidTr="005C00A5">
        <w:tc>
          <w:tcPr>
            <w:tcW w:w="2160" w:type="dxa"/>
            <w:shd w:val="clear" w:color="auto" w:fill="CCDCDC"/>
          </w:tcPr>
          <w:p w14:paraId="071E1BC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291B9F9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3C653F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30D16A02" w14:textId="77777777" w:rsidTr="005C00A5">
        <w:tc>
          <w:tcPr>
            <w:tcW w:w="2160" w:type="dxa"/>
            <w:shd w:val="clear" w:color="auto" w:fill="CCDCDC"/>
          </w:tcPr>
          <w:p w14:paraId="3986412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6E7E8C4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07D9279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02B53DA9" w14:textId="77777777" w:rsidTr="005C00A5">
        <w:tc>
          <w:tcPr>
            <w:tcW w:w="2160" w:type="dxa"/>
            <w:shd w:val="clear" w:color="auto" w:fill="CCDCDC"/>
          </w:tcPr>
          <w:p w14:paraId="6CDC9C8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666CC92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66E5B6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continuously monitoring AI risks and benefits associated with third-party resources in real-time, with seamless integration throughout the AI lifecycle and proactive optimization based on data-driven insights.</w:t>
            </w:r>
          </w:p>
        </w:tc>
      </w:tr>
    </w:tbl>
    <w:p w14:paraId="7E0B3B8E"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11D3C0A6" w14:textId="77777777" w:rsidTr="005C00A5">
        <w:tc>
          <w:tcPr>
            <w:tcW w:w="2250" w:type="dxa"/>
          </w:tcPr>
          <w:p w14:paraId="0FF8BB8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543E63F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788E9AC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39DE8FE8" w14:textId="77777777" w:rsidTr="005C00A5">
        <w:tc>
          <w:tcPr>
            <w:tcW w:w="2250" w:type="dxa"/>
          </w:tcPr>
          <w:p w14:paraId="03924E6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1ED5FAA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Unmonitored Lifecycle-Wide Risks</w:t>
            </w:r>
          </w:p>
        </w:tc>
        <w:tc>
          <w:tcPr>
            <w:tcW w:w="5300" w:type="dxa"/>
          </w:tcPr>
          <w:p w14:paraId="11FD34C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Third-party AI risks and benefits are not continuously monitored lifecycle-wide</w:t>
            </w:r>
          </w:p>
        </w:tc>
      </w:tr>
    </w:tbl>
    <w:p w14:paraId="2A439A6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E8793E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3241ABA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C63226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Regularly monitor AI risks and benefits related to third-party resources, including data, models, and external personnel like consultants or contractors, throughout the AI lifecycle. Clearly define roles and responsibilities for conducting these monitoring activities, ensuring that personnel—both internal and third-party—have the necessary skills, resources, and authority to effectively perform their duties. </w:t>
      </w:r>
    </w:p>
    <w:p w14:paraId="222C73A2"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1E5CE4F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Track performance and risk metrics such as data quality, model accuracy, security incidents, and compliance, considering the contributions of third-party personnel. Regularly review and analyze these metrics to identify trends, anomalies, or areas for improvement, and ensure that third-party involvement aligns with the organization’s risk management practices.</w:t>
      </w:r>
    </w:p>
    <w:p w14:paraId="6CC9C7A0"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3FC3FC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4F27C2D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36A43C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Third</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Party Risk and Benefit Monitoring Framework</w:t>
      </w:r>
    </w:p>
    <w:p w14:paraId="5EB7712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formal monitoring framework specifying what third</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party risks and benefits to track (e.g., data quality, model performance, vendor reliability), frequency of monitoring, data sources, and responsibilities.</w:t>
      </w:r>
    </w:p>
    <w:p w14:paraId="3E7BC32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CFB541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Documented monitoring framework or SOP describing monitored indicators, cadence, and owners.</w:t>
      </w:r>
    </w:p>
    <w:p w14:paraId="40D4C4E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Catalog of third</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party resources mapped to monitored risk/benefit indicators.</w:t>
      </w:r>
    </w:p>
    <w:p w14:paraId="3D938D2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schedule and responsibility matrix showing who performs each monitoring activity.</w:t>
      </w:r>
    </w:p>
    <w:p w14:paraId="609A7E2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Onboarding documentation requiring vendors to provide monitoring data feeds or attestations.</w:t>
      </w:r>
    </w:p>
    <w:p w14:paraId="21E5D95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9CE885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Performance and Data Quality Monitoring</w:t>
      </w:r>
    </w:p>
    <w:p w14:paraId="53502C0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continuous technical monitoring of third</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party models and datasets to detect performance drift, data quality degradation, bias signals, or anomalous outputs that affect system outcomes.</w:t>
      </w:r>
    </w:p>
    <w:p w14:paraId="45B5962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24F3EC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Dashboards showing third</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party model performance, data quality metrics, and drift indicators.</w:t>
      </w:r>
    </w:p>
    <w:p w14:paraId="1528FB0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Automated alerts and incident tickets generated from third</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party monitoring thresholds.</w:t>
      </w:r>
    </w:p>
    <w:p w14:paraId="6032994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Logs and reports of periodic data provenance and quality checks on vendor datasets.</w:t>
      </w:r>
    </w:p>
    <w:p w14:paraId="102FF87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Revalidation/test reports after vendor model updates or data refreshes.</w:t>
      </w:r>
    </w:p>
    <w:p w14:paraId="1B5AB5E2"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20066B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Operational, Compliance, and Oversight</w:t>
      </w:r>
    </w:p>
    <w:p w14:paraId="647206A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Monitor contractual and compliance dimensions of third</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party engagements (e.g., SLA adherence, regulatory compliance, other commitments, subcontractor use) and escalate issues when breaches or concerns arise.</w:t>
      </w:r>
    </w:p>
    <w:p w14:paraId="0575EBA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7DED60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SLA/KPI reports demonstrating vendor compliance and remediation records for breaches.</w:t>
      </w:r>
    </w:p>
    <w:p w14:paraId="5AC60C1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Vendor compliance attestations, audit reports, or third</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party audit findings.</w:t>
      </w:r>
    </w:p>
    <w:p w14:paraId="7ACA624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impact assessments delivered by or about the provider (e.g., bias audits).</w:t>
      </w:r>
    </w:p>
    <w:p w14:paraId="4129707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Escalation logs showing how compliance issues were raised and resolved.</w:t>
      </w:r>
    </w:p>
    <w:p w14:paraId="6DCD9A3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3A2274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Stakeholder and Usage Feedback Loops</w:t>
      </w:r>
    </w:p>
    <w:p w14:paraId="7EC93C2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Collect and incorporate feedback from operators, end users, and impacted stakeholders about third</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party resource behavior, value realization, and observed harms to inform monitoring and remediation.</w:t>
      </w:r>
    </w:p>
    <w:p w14:paraId="0914DBC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0409C8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logs, user incident reports, or helpdesk tickets linked to third</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party resources.</w:t>
      </w:r>
    </w:p>
    <w:p w14:paraId="49C230E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Regular review meeting minutes with operators, product owners, and vendor representatives discussing observed benefits/risks.</w:t>
      </w:r>
    </w:p>
    <w:p w14:paraId="39DACE6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Surveys or structured interviews of impacted users documenting perceived benefits or harms.</w:t>
      </w:r>
    </w:p>
    <w:p w14:paraId="1A2E494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requests or remediation plans initiated from stakeholder feedback.</w:t>
      </w:r>
    </w:p>
    <w:p w14:paraId="7CBCD65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376D8D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Periodic Review, Risk Reassessment, and Reporting</w:t>
      </w:r>
    </w:p>
    <w:p w14:paraId="316A5E7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Periodically reassess third</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party risk/benefit profiles, update risk registers, and report findings to governance bodies; use results to adjust contracts, monitoring, TEVV, or decommissioning decisions.</w:t>
      </w:r>
    </w:p>
    <w:p w14:paraId="58B5EBE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62777A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Periodic third</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party risk/benefit assessment reports and updated risk register entries.</w:t>
      </w:r>
    </w:p>
    <w:p w14:paraId="4326E64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Governance reports to risk committee or procurement showing aggregated third</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party risk posture.</w:t>
      </w:r>
    </w:p>
    <w:p w14:paraId="465C7DF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Contract amendments, additional controls, or decommissioning records prompted by reassessments.</w:t>
      </w:r>
    </w:p>
    <w:p w14:paraId="65586C1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TEVV or revalidation activities scheduled/triggered by reassessment outcomes.</w:t>
      </w:r>
    </w:p>
    <w:p w14:paraId="0C3719D4"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77" w:name="_Toc214874822"/>
      <w:r w:rsidRPr="00963E47">
        <w:rPr>
          <w:rFonts w:ascii="Aptos" w:eastAsia="Aptos" w:hAnsi="Aptos" w:cs="Times New Roman"/>
          <w:b/>
          <w:bCs/>
          <w:noProof/>
          <w:color w:val="35256B"/>
          <w:kern w:val="2"/>
          <w:sz w:val="24"/>
          <w14:ligatures w14:val="standardContextual"/>
        </w:rPr>
        <w:t>MANAGE / Managing Third-Party Risk / Monitoring and Responding to Pre-Trained Model Risks</w:t>
      </w:r>
      <w:bookmarkEnd w:id="77"/>
      <w:r w:rsidRPr="00963E47">
        <w:rPr>
          <w:rFonts w:ascii="Aptos" w:eastAsia="Aptos" w:hAnsi="Aptos" w:cs="Times New Roman"/>
          <w:b/>
          <w:bCs/>
          <w:noProof/>
          <w:color w:val="35256B"/>
          <w:kern w:val="2"/>
          <w:sz w:val="24"/>
          <w14:ligatures w14:val="standardContextual"/>
        </w:rPr>
        <w:t xml:space="preserve"> </w:t>
      </w:r>
    </w:p>
    <w:p w14:paraId="38E69655"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01221D3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14C679E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528C49FE" w14:textId="77777777" w:rsidTr="005C00A5">
        <w:tc>
          <w:tcPr>
            <w:tcW w:w="1170" w:type="dxa"/>
          </w:tcPr>
          <w:p w14:paraId="1D3F66F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245ED59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65358DC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08965A6C" w14:textId="77777777" w:rsidTr="005C00A5">
        <w:tc>
          <w:tcPr>
            <w:tcW w:w="1170" w:type="dxa"/>
          </w:tcPr>
          <w:p w14:paraId="6AFF76D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MG-3.2.1</w:t>
            </w:r>
          </w:p>
        </w:tc>
        <w:tc>
          <w:tcPr>
            <w:tcW w:w="2160" w:type="dxa"/>
          </w:tcPr>
          <w:p w14:paraId="657E8FE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Model Risk and Remediation Protocols</w:t>
            </w:r>
          </w:p>
        </w:tc>
        <w:tc>
          <w:tcPr>
            <w:tcW w:w="6740" w:type="dxa"/>
          </w:tcPr>
          <w:p w14:paraId="4362CE7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maintains a risk management approach for pre-trained models, including developing protocols for model validation, monitoring, and potential remediation, defining model limitations, and creating frameworks for AI system adjustment, replacement, or decommissioning based on identified risks and performance metrics.</w:t>
            </w:r>
          </w:p>
          <w:p w14:paraId="409733EC" w14:textId="77777777" w:rsidR="00963E47" w:rsidRPr="00963E47" w:rsidRDefault="00963E47" w:rsidP="004C3837">
            <w:pPr>
              <w:keepNext/>
              <w:rPr>
                <w:rFonts w:ascii="Aptos" w:hAnsi="Aptos" w:cs="Times New Roman"/>
                <w:b/>
                <w:bCs/>
                <w:color w:val="000000"/>
                <w:sz w:val="20"/>
                <w:szCs w:val="20"/>
              </w:rPr>
            </w:pPr>
          </w:p>
          <w:p w14:paraId="03AFC146" w14:textId="77777777" w:rsidR="00963E47" w:rsidRPr="00963E47" w:rsidRDefault="00963E47" w:rsidP="004C3837">
            <w:pPr>
              <w:keepNext/>
              <w:rPr>
                <w:rFonts w:ascii="Aptos" w:hAnsi="Aptos" w:cs="Times New Roman"/>
                <w:b/>
                <w:bCs/>
                <w:color w:val="000000"/>
                <w:sz w:val="20"/>
                <w:szCs w:val="20"/>
              </w:rPr>
            </w:pPr>
            <w:hyperlink r:id="rId228" w:anchor="manage-3-2" w:history="1">
              <w:r w:rsidRPr="00963E47">
                <w:rPr>
                  <w:rFonts w:ascii="Aptos" w:hAnsi="Aptos" w:cs="Times New Roman"/>
                  <w:color w:val="000000"/>
                  <w:sz w:val="20"/>
                  <w:szCs w:val="20"/>
                  <w:u w:val="single"/>
                </w:rPr>
                <w:t>Link to NIST AI RMF Playbook</w:t>
              </w:r>
            </w:hyperlink>
          </w:p>
        </w:tc>
      </w:tr>
    </w:tbl>
    <w:p w14:paraId="0B17995C"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36313C6"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2AFA52FF"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0388F799" w14:textId="77777777" w:rsidTr="005C00A5">
        <w:trPr>
          <w:tblHeader/>
        </w:trPr>
        <w:tc>
          <w:tcPr>
            <w:tcW w:w="2160" w:type="dxa"/>
            <w:shd w:val="clear" w:color="auto" w:fill="CCDCDC"/>
            <w:vAlign w:val="center"/>
          </w:tcPr>
          <w:p w14:paraId="604EBFBA"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481E1A29"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45DE7DB2"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2FF799DE" w14:textId="77777777" w:rsidTr="005C00A5">
        <w:tc>
          <w:tcPr>
            <w:tcW w:w="2160" w:type="dxa"/>
            <w:shd w:val="clear" w:color="auto" w:fill="CCDCDC"/>
          </w:tcPr>
          <w:p w14:paraId="388F6B9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711E825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A7B870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B482EB8" w14:textId="77777777" w:rsidTr="005C00A5">
        <w:tc>
          <w:tcPr>
            <w:tcW w:w="2160" w:type="dxa"/>
            <w:shd w:val="clear" w:color="auto" w:fill="CCDCDC"/>
          </w:tcPr>
          <w:p w14:paraId="48D6A55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6D914C8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A3195A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12FDF22" w14:textId="77777777" w:rsidTr="005C00A5">
        <w:tc>
          <w:tcPr>
            <w:tcW w:w="2160" w:type="dxa"/>
            <w:shd w:val="clear" w:color="auto" w:fill="CCDCDC"/>
          </w:tcPr>
          <w:p w14:paraId="7B35221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4069664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685AC4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60158F14" w14:textId="77777777" w:rsidTr="005C00A5">
        <w:tc>
          <w:tcPr>
            <w:tcW w:w="2160" w:type="dxa"/>
            <w:shd w:val="clear" w:color="auto" w:fill="CCDCDC"/>
          </w:tcPr>
          <w:p w14:paraId="5490216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385E1E3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DBB28B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maintaining a dynamic, data-driven risk management approach for pre-trained models, with continuously evolving protocols for model validation, monitoring, and potential remediation based on real-time insights. Explainable AI techniques are seamlessly integrated to proactively understand model limitations, and adaptive frameworks for model adjustment, replacement, or decommissioning are automatically triggered based on identified risks and performance metrics, ensuring optimal alignment with organizational risk management processes.</w:t>
            </w:r>
          </w:p>
        </w:tc>
      </w:tr>
    </w:tbl>
    <w:p w14:paraId="361EDE9D"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31A799E2" w14:textId="77777777" w:rsidTr="005C00A5">
        <w:tc>
          <w:tcPr>
            <w:tcW w:w="2250" w:type="dxa"/>
          </w:tcPr>
          <w:p w14:paraId="594EF98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45C7E81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211EB23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2FA4A178" w14:textId="77777777" w:rsidTr="005C00A5">
        <w:tc>
          <w:tcPr>
            <w:tcW w:w="2250" w:type="dxa"/>
          </w:tcPr>
          <w:p w14:paraId="05C74BE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49B74D0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Unmanaged Pre-Trained Risks</w:t>
            </w:r>
          </w:p>
        </w:tc>
        <w:tc>
          <w:tcPr>
            <w:tcW w:w="5300" w:type="dxa"/>
          </w:tcPr>
          <w:p w14:paraId="181318A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Pre-trained model risks are not managed through validation and remediation</w:t>
            </w:r>
          </w:p>
        </w:tc>
      </w:tr>
    </w:tbl>
    <w:p w14:paraId="59D34F4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A95836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74DFD99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AAC674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Maintain a risk management approach for pre-trained models that includes protocols for model validation, monitoring, and potential remediation. This approach should be based on a thorough understanding of the models' characteristics, limitations, and potential risks, and should be aligned with the organization's overall risk appetite and tolerance.</w:t>
      </w:r>
    </w:p>
    <w:p w14:paraId="5301EEF8"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C398F7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Create frameworks for model adjustment, replacement, or decommissioning based on identified risks and performance metrics. These frameworks should include clear criteria for when and how to modify or retire pre-trained models, as well as procedures for communicating these decisions to relevant stakeholders. Ensure that these frameworks are regularly reviewed and updated as new risks or performance issues are identified.</w:t>
      </w:r>
    </w:p>
    <w:p w14:paraId="17409262"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33C732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lastRenderedPageBreak/>
        <w:t xml:space="preserve">Example Controls and Evidence: </w:t>
      </w:r>
    </w:p>
    <w:p w14:paraId="611A3F7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70176B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PTM Validation and Acceptance Protocols</w:t>
      </w:r>
    </w:p>
    <w:p w14:paraId="1E345D6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Define and apply pre</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deployment validation procedures tailored for PTMs—including provenance checks, performance benchmarking on representative data, bias/fairness assessments, and security/privacy evaluations—before acceptance.</w:t>
      </w:r>
    </w:p>
    <w:p w14:paraId="59F08CE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C5ACBF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PTM intake/validation checklist and completed validation reports (provenance, benchmark metrics, fairness/security findings).</w:t>
      </w:r>
    </w:p>
    <w:p w14:paraId="424EBBB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 datasets and benchmark results demonstrating performance against acceptance criteria.</w:t>
      </w:r>
    </w:p>
    <w:p w14:paraId="618402F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Vendor/third</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party attestations or SBOM (model/data pedigree) documentation.</w:t>
      </w:r>
    </w:p>
    <w:p w14:paraId="2072B35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Formal acceptance sign</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offs by model owner, risk, and validation teams.</w:t>
      </w:r>
    </w:p>
    <w:p w14:paraId="6B57FDB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9ADCDF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Operational Monitoring and Performance Metrics for PTMs</w:t>
      </w:r>
    </w:p>
    <w:p w14:paraId="0BC27CA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continuous monitoring of PTM behavior in production (performance, drift, anomalous outputs, privacy leakage, toxicity), with KPIs and alerting tied to risk thresholds.</w:t>
      </w:r>
    </w:p>
    <w:p w14:paraId="3F35E8C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230757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dashboards showing PTM KPIs, drift detectors, and alert histories.</w:t>
      </w:r>
    </w:p>
    <w:p w14:paraId="6816EEC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Alert/ticket logs and incident records for PTM anomalies.</w:t>
      </w:r>
    </w:p>
    <w:p w14:paraId="52D444D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Periodic monitoring review reports and metric trend analyses.</w:t>
      </w:r>
    </w:p>
    <w:p w14:paraId="34624E3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Configured thresholds and documented escalation procedures.</w:t>
      </w:r>
    </w:p>
    <w:p w14:paraId="3A605B5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D9D090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Defined Remediation, Adjustment, and Replacement Pathways</w:t>
      </w:r>
    </w:p>
    <w:p w14:paraId="2C6F0A2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documented remediation options and decision criteria (fine</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tuning, data augmentation, mitigation wrappers, gating, replacement, or decommissioning) and the operational workflows to execute them.</w:t>
      </w:r>
    </w:p>
    <w:p w14:paraId="3AE5937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45754D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Decision matrix mapping issues to remediation actions (fine</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tune, apply filters, switch models, retire).</w:t>
      </w:r>
    </w:p>
    <w:p w14:paraId="755F55D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requests, retraining logs, or deployment rollbacks showing remediation execution.</w:t>
      </w:r>
    </w:p>
    <w:p w14:paraId="656CCB6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Playbooks for applying mitigation wrappers (e.g., output filters, guardrails) and verification tests.</w:t>
      </w:r>
    </w:p>
    <w:p w14:paraId="19C343F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Approval records for model replacement or decommissioning.</w:t>
      </w:r>
    </w:p>
    <w:p w14:paraId="7312707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572092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PTM Limitations and Usage Constraints</w:t>
      </w:r>
    </w:p>
    <w:p w14:paraId="22D621B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clear, accessible documentation of PTM provenance, intended scope, known limitations, failure modes, and prohibited uses to guide safe deployment and operator expectations.</w:t>
      </w:r>
    </w:p>
    <w:p w14:paraId="0BD84FB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475BD2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PTM model cards or technical datasheets describing data sources, limitations, confidence bounds, and intended use cases.</w:t>
      </w:r>
    </w:p>
    <w:p w14:paraId="33E5323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Usage policy documents and integration guidelines referencing PTM constraints.</w:t>
      </w:r>
    </w:p>
    <w:p w14:paraId="7AC44DA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materials and briefings for operators highlighting failure modes and override procedures.</w:t>
      </w:r>
    </w:p>
    <w:p w14:paraId="57E4128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Traceability records linking PTM documentation to deployed instances.</w:t>
      </w:r>
    </w:p>
    <w:p w14:paraId="63A79F7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09E14B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Governance, Periodic Review, and Continuous Improvement</w:t>
      </w:r>
    </w:p>
    <w:p w14:paraId="3B8E757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Govern PTM risk management via periodic reviews, audits, and incorporation of lessons learned—updating validation criteria, monitoring rules, and remediation frameworks to reflect operational experience and evolving standards.</w:t>
      </w:r>
    </w:p>
    <w:p w14:paraId="633C67A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F60AE2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Scheduled review/audit reports, TEVV updates, and governance meeting minutes addressing PTM posture.</w:t>
      </w:r>
    </w:p>
    <w:p w14:paraId="5B061B7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Post</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incident reviews and lessons learned documentation that led to control changes.</w:t>
      </w:r>
    </w:p>
    <w:p w14:paraId="14592D8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validation protocols, monitoring configurations, or decommissioning policies with version history.</w:t>
      </w:r>
    </w:p>
    <w:p w14:paraId="3C355B5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and communications records showing dissemination of updated PTM risk practices.</w:t>
      </w:r>
    </w:p>
    <w:p w14:paraId="65FD8EF0"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4B617CD5"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75FEC39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49A1FA8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2F4534F4" w14:textId="77777777" w:rsidTr="005C00A5">
        <w:tc>
          <w:tcPr>
            <w:tcW w:w="1170" w:type="dxa"/>
          </w:tcPr>
          <w:p w14:paraId="6615E1B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70820CC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4831884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484228DB" w14:textId="77777777" w:rsidTr="005C00A5">
        <w:tc>
          <w:tcPr>
            <w:tcW w:w="1170" w:type="dxa"/>
          </w:tcPr>
          <w:p w14:paraId="0D0D3A7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MG-3.2.2</w:t>
            </w:r>
          </w:p>
        </w:tc>
        <w:tc>
          <w:tcPr>
            <w:tcW w:w="2160" w:type="dxa"/>
          </w:tcPr>
          <w:p w14:paraId="4F8918E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Performance Deviation Detection</w:t>
            </w:r>
          </w:p>
        </w:tc>
        <w:tc>
          <w:tcPr>
            <w:tcW w:w="6740" w:type="dxa"/>
          </w:tcPr>
          <w:p w14:paraId="598C89A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develops monitoring mechanisms to detect and evaluate performance deviations, risks, and behaviors of pre-trained models in production systems, tracking performance metrics across development and production contexts, establishing indicators for model drift, bias, or degradation, implementing assessment processes to identify and address emerging risks, and documenting variations in model performance.</w:t>
            </w:r>
          </w:p>
          <w:p w14:paraId="7F8935DC" w14:textId="77777777" w:rsidR="00963E47" w:rsidRPr="00963E47" w:rsidRDefault="00963E47" w:rsidP="004C3837">
            <w:pPr>
              <w:keepNext/>
              <w:rPr>
                <w:rFonts w:ascii="Aptos" w:hAnsi="Aptos" w:cs="Times New Roman"/>
                <w:b/>
                <w:bCs/>
                <w:color w:val="000000"/>
                <w:sz w:val="20"/>
                <w:szCs w:val="20"/>
              </w:rPr>
            </w:pPr>
          </w:p>
          <w:p w14:paraId="4DE43E98" w14:textId="77777777" w:rsidR="00963E47" w:rsidRPr="00963E47" w:rsidRDefault="00963E47" w:rsidP="004C3837">
            <w:pPr>
              <w:keepNext/>
              <w:rPr>
                <w:rFonts w:ascii="Aptos" w:hAnsi="Aptos" w:cs="Times New Roman"/>
                <w:b/>
                <w:bCs/>
                <w:color w:val="000000"/>
                <w:sz w:val="20"/>
                <w:szCs w:val="20"/>
              </w:rPr>
            </w:pPr>
            <w:hyperlink r:id="rId229" w:anchor="manage-3-2" w:history="1">
              <w:r w:rsidRPr="00963E47">
                <w:rPr>
                  <w:rFonts w:ascii="Aptos" w:hAnsi="Aptos" w:cs="Times New Roman"/>
                  <w:color w:val="000000"/>
                  <w:sz w:val="20"/>
                  <w:szCs w:val="20"/>
                  <w:u w:val="single"/>
                </w:rPr>
                <w:t>Link to NIST AI RMF Playbook</w:t>
              </w:r>
            </w:hyperlink>
          </w:p>
        </w:tc>
      </w:tr>
    </w:tbl>
    <w:p w14:paraId="2D263905"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E663807"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22803BC3"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296338DE" w14:textId="77777777" w:rsidTr="005C00A5">
        <w:trPr>
          <w:tblHeader/>
        </w:trPr>
        <w:tc>
          <w:tcPr>
            <w:tcW w:w="2160" w:type="dxa"/>
            <w:shd w:val="clear" w:color="auto" w:fill="CCDCDC"/>
            <w:vAlign w:val="center"/>
          </w:tcPr>
          <w:p w14:paraId="2C816BCD"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7C1167A5"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42C20C6B"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15541C81" w14:textId="77777777" w:rsidTr="005C00A5">
        <w:tc>
          <w:tcPr>
            <w:tcW w:w="2160" w:type="dxa"/>
            <w:shd w:val="clear" w:color="auto" w:fill="CCDCDC"/>
          </w:tcPr>
          <w:p w14:paraId="5E8967E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5862E44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4DD355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1D56C0CF" w14:textId="77777777" w:rsidTr="005C00A5">
        <w:tc>
          <w:tcPr>
            <w:tcW w:w="2160" w:type="dxa"/>
            <w:shd w:val="clear" w:color="auto" w:fill="CCDCDC"/>
          </w:tcPr>
          <w:p w14:paraId="56D648C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75B37BF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01A7CC5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665AE677" w14:textId="77777777" w:rsidTr="005C00A5">
        <w:tc>
          <w:tcPr>
            <w:tcW w:w="2160" w:type="dxa"/>
            <w:shd w:val="clear" w:color="auto" w:fill="CCDCDC"/>
          </w:tcPr>
          <w:p w14:paraId="242F7635"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4BD6864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FEA9B7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202DF829" w14:textId="77777777" w:rsidTr="005C00A5">
        <w:tc>
          <w:tcPr>
            <w:tcW w:w="2160" w:type="dxa"/>
            <w:shd w:val="clear" w:color="auto" w:fill="CCDCDC"/>
          </w:tcPr>
          <w:p w14:paraId="484852F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19A3077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E61921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monitoring mechanisms to continuously detect and evaluate performance deviations, risks, and behaviors of pre-trained models in production systems in real-time, dynamically tracking performance metrics across development and production contexts, establishing adaptive indicators for model drift, bias, or degradation based on evolving needs, implementing proactive assessment processes to identify and address emerging risks, and automatically documenting variations in model performance for seamless integration with organizational risk management processes.</w:t>
            </w:r>
          </w:p>
        </w:tc>
      </w:tr>
    </w:tbl>
    <w:p w14:paraId="1E961024"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0A3B5996" w14:textId="77777777" w:rsidTr="005C00A5">
        <w:tc>
          <w:tcPr>
            <w:tcW w:w="2250" w:type="dxa"/>
          </w:tcPr>
          <w:p w14:paraId="7DF6075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6284CC1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1B96FB8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6170F56E" w14:textId="77777777" w:rsidTr="005C00A5">
        <w:tc>
          <w:tcPr>
            <w:tcW w:w="2250" w:type="dxa"/>
          </w:tcPr>
          <w:p w14:paraId="21E87B2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Explainable &amp; Interpretable</w:t>
            </w:r>
          </w:p>
        </w:tc>
        <w:tc>
          <w:tcPr>
            <w:tcW w:w="2520" w:type="dxa"/>
          </w:tcPr>
          <w:p w14:paraId="6ECA433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Insufficient Monitoring Mechanisms</w:t>
            </w:r>
          </w:p>
        </w:tc>
        <w:tc>
          <w:tcPr>
            <w:tcW w:w="5300" w:type="dxa"/>
          </w:tcPr>
          <w:p w14:paraId="608174F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Monitoring mechanisms for pre-trained model drift and bias are insufficient</w:t>
            </w:r>
          </w:p>
        </w:tc>
      </w:tr>
    </w:tbl>
    <w:p w14:paraId="458464A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316903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13A7929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EB00B1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Monitor and detect performance deviations, risks, and behaviors of pre-trained models in production systems. These mechanisms should track performance metrics across development and production contexts, establishing indicators for model drift, bias, or degradation.</w:t>
      </w:r>
    </w:p>
    <w:p w14:paraId="62A76154"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4A4DAEC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Implement assessment processes to identify and address emerging risks associated with pre-trained models. These processes should include regular testing, validation, and benchmarking of model performance, as well as procedures for documenting and communicating any variations or anomalies detected. Ensure that these processes are aligned with the organization's overall risk management strategy and that they are regularly reviewed and updated as needed.</w:t>
      </w:r>
    </w:p>
    <w:p w14:paraId="2136EB47"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2ECB43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lastRenderedPageBreak/>
        <w:t xml:space="preserve">Example Controls and Evidence: </w:t>
      </w:r>
    </w:p>
    <w:p w14:paraId="5DCBAA3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94E6F0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End</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to</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End Monitoring Framework</w:t>
      </w:r>
    </w:p>
    <w:p w14:paraId="01053D7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Define and implement a monitoring framework that spans development, staging, and production, specifying KPIs, measurement cadence, data sources, and ownership for PTM monitoring.</w:t>
      </w:r>
    </w:p>
    <w:p w14:paraId="4114291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D78506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Written monitoring framework or SOP detailing metrics (accuracy, latency, calibration, fairness measures), data sources, measurement frequency, and owners.</w:t>
      </w:r>
    </w:p>
    <w:p w14:paraId="4BB1AC4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Inventory linking deployed PTM instances to corresponding monitoring pipelines.</w:t>
      </w:r>
    </w:p>
    <w:p w14:paraId="7A2AFB5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Dashboards showing baseline vs. live metrics across environments.</w:t>
      </w:r>
    </w:p>
    <w:p w14:paraId="5DF9AA8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Onboarding records showing monitoring responsibilities assigned to teams.</w:t>
      </w:r>
    </w:p>
    <w:p w14:paraId="4E10AAA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06EC04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Drift, Bias, and Anomaly Detection Mechanisms</w:t>
      </w:r>
    </w:p>
    <w:p w14:paraId="63D40D5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Deploy automated detectors and statistical tests to identify data drift, concept drift, distributional shifts, and fairness/bias anomalies, with configurable alerting thresholds.</w:t>
      </w:r>
    </w:p>
    <w:p w14:paraId="59105B1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38403D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Drift detection logs and reports (population, feature, label drift) with statistical test outputs.</w:t>
      </w:r>
    </w:p>
    <w:p w14:paraId="5A94DBB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Automated fairness/bias monitors producing subgroup metrics and alerts.</w:t>
      </w:r>
    </w:p>
    <w:p w14:paraId="1BBE290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Alert configuration records and examples of triggered alerts with timestamps.</w:t>
      </w:r>
    </w:p>
    <w:p w14:paraId="69384C0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Test results validating detector sensitivity and false</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positive rates.</w:t>
      </w:r>
    </w:p>
    <w:p w14:paraId="2FC89C2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E1A68B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Performance Assessment and Triage Processes</w:t>
      </w:r>
    </w:p>
    <w:p w14:paraId="162F2BD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procedures for rapid assessment, triage, and root</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cause analysis when deviations are detected, including impact evaluation and recommended remediation paths (e.g., retrain, recalibrate, apply mitigations, rollback).</w:t>
      </w:r>
    </w:p>
    <w:p w14:paraId="2AB0986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3D3E9C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Incident/ticketing entries for model anomalies with triage notes and RCA outputs.</w:t>
      </w:r>
    </w:p>
    <w:p w14:paraId="03BC7E3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Standard triage playbooks mapping deviation types to investigation steps and remediation options.</w:t>
      </w:r>
    </w:p>
    <w:p w14:paraId="7143C92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Time</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to</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detect and time</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to</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remediate metrics tracked over incidents.</w:t>
      </w:r>
    </w:p>
    <w:p w14:paraId="50895CB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Post</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incident reports documenting chosen remediation and verification tests.</w:t>
      </w:r>
    </w:p>
    <w:p w14:paraId="40B7FB6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D348D7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and Versioned Performance Records</w:t>
      </w:r>
    </w:p>
    <w:p w14:paraId="1423C90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versioned records of model performance across releases and production periods, documenting metric trends, identified regressions, applied fixes, and any contextual factors affecting performance.</w:t>
      </w:r>
    </w:p>
    <w:p w14:paraId="3BE4C1D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1ECAE2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Versioned performance logs or time</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series reports tied to model version IDs and deployment timestamps.</w:t>
      </w:r>
    </w:p>
    <w:p w14:paraId="7FE189E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linking code/data/config changes to observed performance shifts.</w:t>
      </w:r>
    </w:p>
    <w:p w14:paraId="0A7408D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Periodic performance review summaries used in governance reviews.</w:t>
      </w:r>
    </w:p>
    <w:p w14:paraId="2083A9E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Annotated datasets or example inputs illustrating failure patterns.</w:t>
      </w:r>
    </w:p>
    <w:p w14:paraId="761A94B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4C7B2A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Review, Calibration, and Governance Integration</w:t>
      </w:r>
    </w:p>
    <w:p w14:paraId="2C1D94D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Periodically review monitoring effectiveness, recalibrate thresholds and detectors, incorporate stakeholder feedback (operators, users, domain experts), and escalate persistent issues into governance/TEVV processes.</w:t>
      </w:r>
    </w:p>
    <w:p w14:paraId="05E41D2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B3E3BB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meeting minutes showing threshold adjustments, detector tuning, and stakeholder inputs.</w:t>
      </w:r>
    </w:p>
    <w:p w14:paraId="3D86260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TEVV or MRM escalations triggered by monitoring findings.</w:t>
      </w:r>
    </w:p>
    <w:p w14:paraId="5E6D19F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monitoring configurations and validation test results after calibration.</w:t>
      </w:r>
    </w:p>
    <w:p w14:paraId="1A898FD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Metrics demonstrating reduced undetected drift or faster remediation after improvements.</w:t>
      </w:r>
    </w:p>
    <w:p w14:paraId="2A5F072A"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78" w:name="_Toc214874823"/>
      <w:r w:rsidRPr="00963E47">
        <w:rPr>
          <w:rFonts w:ascii="Aptos" w:eastAsia="Aptos" w:hAnsi="Aptos" w:cs="Times New Roman"/>
          <w:b/>
          <w:bCs/>
          <w:noProof/>
          <w:color w:val="35256B"/>
          <w:kern w:val="2"/>
          <w:sz w:val="24"/>
          <w14:ligatures w14:val="standardContextual"/>
        </w:rPr>
        <w:lastRenderedPageBreak/>
        <w:t>MANAGE / Ongoing Risk Response / Post-Deployment Risk Management</w:t>
      </w:r>
      <w:bookmarkEnd w:id="78"/>
      <w:r w:rsidRPr="00963E47">
        <w:rPr>
          <w:rFonts w:ascii="Aptos" w:eastAsia="Aptos" w:hAnsi="Aptos" w:cs="Times New Roman"/>
          <w:b/>
          <w:bCs/>
          <w:noProof/>
          <w:color w:val="35256B"/>
          <w:kern w:val="2"/>
          <w:sz w:val="24"/>
          <w14:ligatures w14:val="standardContextual"/>
        </w:rPr>
        <w:t xml:space="preserve"> </w:t>
      </w:r>
    </w:p>
    <w:p w14:paraId="1AA29F9D"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6BD21D3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76B7458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098802AD" w14:textId="77777777" w:rsidTr="005C00A5">
        <w:tc>
          <w:tcPr>
            <w:tcW w:w="1170" w:type="dxa"/>
          </w:tcPr>
          <w:p w14:paraId="6FF4478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0969ECE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3FB1229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7B467CAF" w14:textId="77777777" w:rsidTr="005C00A5">
        <w:tc>
          <w:tcPr>
            <w:tcW w:w="1170" w:type="dxa"/>
          </w:tcPr>
          <w:p w14:paraId="41DB4CD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MG-4.1.1</w:t>
            </w:r>
          </w:p>
        </w:tc>
        <w:tc>
          <w:tcPr>
            <w:tcW w:w="2160" w:type="dxa"/>
          </w:tcPr>
          <w:p w14:paraId="151F8B1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Post-deployment Oversight</w:t>
            </w:r>
          </w:p>
        </w:tc>
        <w:tc>
          <w:tcPr>
            <w:tcW w:w="6740" w:type="dxa"/>
          </w:tcPr>
          <w:p w14:paraId="76284AB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conducts ongoing monitoring, maintenance, and improvement of the AI systems, as well as the exploration and development of new AI-powered capabilities aligned with the organization's strategic objectives.</w:t>
            </w:r>
          </w:p>
          <w:p w14:paraId="02C772BA" w14:textId="77777777" w:rsidR="00963E47" w:rsidRPr="00963E47" w:rsidRDefault="00963E47" w:rsidP="004C3837">
            <w:pPr>
              <w:keepNext/>
              <w:rPr>
                <w:rFonts w:ascii="Aptos" w:hAnsi="Aptos" w:cs="Times New Roman"/>
                <w:b/>
                <w:bCs/>
                <w:color w:val="000000"/>
                <w:sz w:val="20"/>
                <w:szCs w:val="20"/>
              </w:rPr>
            </w:pPr>
          </w:p>
          <w:p w14:paraId="3889030B" w14:textId="77777777" w:rsidR="00963E47" w:rsidRPr="00963E47" w:rsidRDefault="00963E47" w:rsidP="004C3837">
            <w:pPr>
              <w:keepNext/>
              <w:rPr>
                <w:rFonts w:ascii="Aptos" w:hAnsi="Aptos" w:cs="Times New Roman"/>
                <w:b/>
                <w:bCs/>
                <w:color w:val="000000"/>
                <w:sz w:val="20"/>
                <w:szCs w:val="20"/>
              </w:rPr>
            </w:pPr>
            <w:hyperlink r:id="rId230" w:anchor="manage-4-1" w:history="1">
              <w:r w:rsidRPr="00963E47">
                <w:rPr>
                  <w:rFonts w:ascii="Aptos" w:hAnsi="Aptos" w:cs="Times New Roman"/>
                  <w:color w:val="000000"/>
                  <w:sz w:val="20"/>
                  <w:szCs w:val="20"/>
                  <w:u w:val="single"/>
                </w:rPr>
                <w:t>Link to NIST AI RMF Playbook</w:t>
              </w:r>
            </w:hyperlink>
          </w:p>
        </w:tc>
      </w:tr>
    </w:tbl>
    <w:p w14:paraId="5A2A458D"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2BB155B"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7E2F0372"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2413920E" w14:textId="77777777" w:rsidTr="005C00A5">
        <w:trPr>
          <w:tblHeader/>
        </w:trPr>
        <w:tc>
          <w:tcPr>
            <w:tcW w:w="2160" w:type="dxa"/>
            <w:shd w:val="clear" w:color="auto" w:fill="CCDCDC"/>
            <w:vAlign w:val="center"/>
          </w:tcPr>
          <w:p w14:paraId="6CA41FE0"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6F67D121"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7CCEC975"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7F2BEE11" w14:textId="77777777" w:rsidTr="005C00A5">
        <w:tc>
          <w:tcPr>
            <w:tcW w:w="2160" w:type="dxa"/>
            <w:shd w:val="clear" w:color="auto" w:fill="CCDCDC"/>
          </w:tcPr>
          <w:p w14:paraId="1DD6E30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57CF4E8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703FDC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0B36C259" w14:textId="77777777" w:rsidTr="005C00A5">
        <w:tc>
          <w:tcPr>
            <w:tcW w:w="2160" w:type="dxa"/>
            <w:shd w:val="clear" w:color="auto" w:fill="CCDCDC"/>
          </w:tcPr>
          <w:p w14:paraId="5359118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1B01BAD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C6A75D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16EC80FD" w14:textId="77777777" w:rsidTr="005C00A5">
        <w:tc>
          <w:tcPr>
            <w:tcW w:w="2160" w:type="dxa"/>
            <w:shd w:val="clear" w:color="auto" w:fill="CCDCDC"/>
          </w:tcPr>
          <w:p w14:paraId="4ECA87A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4AC2074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09DF5D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1D95177" w14:textId="77777777" w:rsidTr="005C00A5">
        <w:tc>
          <w:tcPr>
            <w:tcW w:w="2160" w:type="dxa"/>
            <w:shd w:val="clear" w:color="auto" w:fill="CCDCDC"/>
          </w:tcPr>
          <w:p w14:paraId="0A1D1B8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19B553D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5C5F5F5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AI that underpins critical decisions and internal development, requiring formalized, continuous monitoring, maintenance, and lifecycle management to preserve safety, performance, and compliance across the enterprise. Strategic development of new AI capabilities must be coordinated with governance, change control, and risk management to ensure scalable, organization-wide benefit.</w:t>
            </w:r>
          </w:p>
        </w:tc>
      </w:tr>
    </w:tbl>
    <w:p w14:paraId="1917194D"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2E7E56D1" w14:textId="77777777" w:rsidTr="005C00A5">
        <w:tc>
          <w:tcPr>
            <w:tcW w:w="2250" w:type="dxa"/>
          </w:tcPr>
          <w:p w14:paraId="263254F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73F3930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625D407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26B83C99" w14:textId="77777777" w:rsidTr="005C00A5">
        <w:tc>
          <w:tcPr>
            <w:tcW w:w="2250" w:type="dxa"/>
          </w:tcPr>
          <w:p w14:paraId="3FD55E0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77840A2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Unmaintained Improvement</w:t>
            </w:r>
          </w:p>
        </w:tc>
        <w:tc>
          <w:tcPr>
            <w:tcW w:w="5300" w:type="dxa"/>
          </w:tcPr>
          <w:p w14:paraId="1F875AE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Ongoing monitoring and improvement of AI capabilities are not maintained</w:t>
            </w:r>
          </w:p>
        </w:tc>
      </w:tr>
    </w:tbl>
    <w:p w14:paraId="04F96EC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01BC72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74B3C42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F78498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processes for ongoing monitoring, maintenance, and improvement of AI systems during their deployment. Activities should ensure that the AI system remains aligned with organizational goals and values throughout its deployment.</w:t>
      </w:r>
    </w:p>
    <w:p w14:paraId="34AABA82"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4C1D29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6AB98C2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B429A1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Monitoring and Health Management</w:t>
      </w:r>
    </w:p>
    <w:p w14:paraId="751D7F9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continuous operational monitoring (performance, reliability, security, fairness, privacy) with defined KPIs and alerting to detect degradation or emerging risks requiring maintenance or intervention.</w:t>
      </w:r>
    </w:p>
    <w:p w14:paraId="07B41EE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412E23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Real</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time monitoring dashboards and KPI definitions (latency, accuracy, drift, error rates, fairness metrics).</w:t>
      </w:r>
    </w:p>
    <w:p w14:paraId="037DC88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Alert and incident logs showing detected anomalies and responses.</w:t>
      </w:r>
    </w:p>
    <w:p w14:paraId="0B81B2E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SLAs and uptime/availability reports tied to monitored metrics.</w:t>
      </w:r>
    </w:p>
    <w:p w14:paraId="09B886E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Scheduled monitoring review meeting minutes.</w:t>
      </w:r>
    </w:p>
    <w:p w14:paraId="071B4C7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D514C3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Planned Maintenance, Patch, and Update Processes</w:t>
      </w:r>
    </w:p>
    <w:p w14:paraId="72E4E14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formal procedures for routine maintenance, patching, model retraining, and controlled updates (including validation and rollback plans) to ensure systems remain secure, performant, and compliant.</w:t>
      </w:r>
    </w:p>
    <w:p w14:paraId="51A2FC5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74B875F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Maintenance schedules, change requests, and deployment runbooks with rollback steps.</w:t>
      </w:r>
    </w:p>
    <w:p w14:paraId="639374E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Patch/upgrade records and validation test results post</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update.</w:t>
      </w:r>
    </w:p>
    <w:p w14:paraId="2AF9986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Model retraining logs and performance validation reports.</w:t>
      </w:r>
    </w:p>
    <w:p w14:paraId="4458FF1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approval records and post</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deployment verification checklists.</w:t>
      </w:r>
    </w:p>
    <w:p w14:paraId="253DD983"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0CE421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Improvement and Performance Optimization</w:t>
      </w:r>
    </w:p>
    <w:p w14:paraId="13CB565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feedback loops (operational metrics, user feedback, incident analyses) to prioritize and implement improvements to models, data pipelines, and system design to enhance value and trustworthiness.</w:t>
      </w:r>
    </w:p>
    <w:p w14:paraId="7ABBE81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5C4E70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Improvement backlog and prioritized roadmaps linking issues to system enhancements.</w:t>
      </w:r>
    </w:p>
    <w:p w14:paraId="3DDF8B1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A/B tests, ablation studies, or model tuning experiments with results.</w:t>
      </w:r>
    </w:p>
    <w:p w14:paraId="43E8279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Post</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implementation reviews demonstrating measured performance gains.</w:t>
      </w:r>
    </w:p>
    <w:p w14:paraId="3C434F6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Customer/user feedback summaries informing improvements.</w:t>
      </w:r>
    </w:p>
    <w:p w14:paraId="7D49045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5378D9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Research, Innovation, and Capability Roadmapping</w:t>
      </w:r>
    </w:p>
    <w:p w14:paraId="6F3F9E9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a strategic roadmap for exploring and developing new AI capabilities aligned with organizational objectives, including prototyping, TEVV of new features, and go/no</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go decision gates.</w:t>
      </w:r>
    </w:p>
    <w:p w14:paraId="76B2E9E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8C3486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AI capability roadmap, project charters, and prioritization criteria aligned to strategy.</w:t>
      </w:r>
    </w:p>
    <w:p w14:paraId="06BDBEB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Proof</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of</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concept and prototype reports with TEVV outputs and go/no</w:t>
      </w:r>
      <w:r w:rsidRPr="00963E47">
        <w:rPr>
          <w:rFonts w:ascii="Cambria Math" w:eastAsia="Aptos" w:hAnsi="Cambria Math" w:cs="Cambria Math"/>
          <w:noProof/>
          <w:color w:val="auto"/>
          <w:kern w:val="2"/>
          <w:sz w:val="20"/>
          <w:szCs w:val="20"/>
          <w14:ligatures w14:val="standardContextual"/>
        </w:rPr>
        <w:t>‑</w:t>
      </w:r>
      <w:r w:rsidRPr="00963E47">
        <w:rPr>
          <w:rFonts w:ascii="Aptos" w:eastAsia="Aptos" w:hAnsi="Aptos" w:cs="Times New Roman"/>
          <w:noProof/>
          <w:color w:val="auto"/>
          <w:kern w:val="2"/>
          <w:sz w:val="20"/>
          <w:szCs w:val="20"/>
          <w14:ligatures w14:val="standardContextual"/>
        </w:rPr>
        <w:t>go decisions.</w:t>
      </w:r>
    </w:p>
    <w:p w14:paraId="384AFCE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Resource plans and funding approvals for innovation projects.</w:t>
      </w:r>
    </w:p>
    <w:p w14:paraId="2FD5E6A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Governance meeting minutes approving capability launches.</w:t>
      </w:r>
    </w:p>
    <w:p w14:paraId="3BFDF38D"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875372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Governance, Compliance, and Knowledge Management</w:t>
      </w:r>
    </w:p>
    <w:p w14:paraId="63D0845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Embed governance controls and documentation (policies, model cards, runbooks) to ensure maintenance and innovation activities comply with risk appetite and regulatory requirements, and preserve institutional knowledge.</w:t>
      </w:r>
    </w:p>
    <w:p w14:paraId="5172D76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DBE484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policies, model cards, and operational runbooks for production models.</w:t>
      </w:r>
    </w:p>
    <w:p w14:paraId="47E8D9E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logs, compliance attestations, and MRM/TEVV review records.</w:t>
      </w:r>
    </w:p>
    <w:p w14:paraId="4AFBB57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Knowledge repository with versioned artifacts (data lineage, experiment records).</w:t>
      </w:r>
    </w:p>
    <w:p w14:paraId="356DE54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records and handover documentation for operational teams.</w:t>
      </w:r>
    </w:p>
    <w:p w14:paraId="5400E9F2"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421BC201"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3DEE791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00A7D08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5BF327C3" w14:textId="77777777" w:rsidTr="005C00A5">
        <w:tc>
          <w:tcPr>
            <w:tcW w:w="1170" w:type="dxa"/>
          </w:tcPr>
          <w:p w14:paraId="40F6AF5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52B18B9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00446C1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528D7530" w14:textId="77777777" w:rsidTr="005C00A5">
        <w:tc>
          <w:tcPr>
            <w:tcW w:w="1170" w:type="dxa"/>
          </w:tcPr>
          <w:p w14:paraId="1A493E4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MG-4.1.2</w:t>
            </w:r>
          </w:p>
        </w:tc>
        <w:tc>
          <w:tcPr>
            <w:tcW w:w="2160" w:type="dxa"/>
          </w:tcPr>
          <w:p w14:paraId="06E71B3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Vulnerability and Security Review</w:t>
            </w:r>
          </w:p>
        </w:tc>
        <w:tc>
          <w:tcPr>
            <w:tcW w:w="6740" w:type="dxa"/>
          </w:tcPr>
          <w:p w14:paraId="6B0CA6C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has integrated its AI systems into the overall vulnerability management and security review processes, ensuring that AI-specific vulnerabilities and security risks are identified, assessed, and remediated on a regular basis, in alignment with the organization's broader cybersecurity strategy and controls.</w:t>
            </w:r>
          </w:p>
          <w:p w14:paraId="5F674CA0" w14:textId="77777777" w:rsidR="00963E47" w:rsidRPr="00963E47" w:rsidRDefault="00963E47" w:rsidP="004C3837">
            <w:pPr>
              <w:keepNext/>
              <w:rPr>
                <w:rFonts w:ascii="Aptos" w:hAnsi="Aptos" w:cs="Times New Roman"/>
                <w:b/>
                <w:bCs/>
                <w:color w:val="000000"/>
                <w:sz w:val="20"/>
                <w:szCs w:val="20"/>
              </w:rPr>
            </w:pPr>
          </w:p>
          <w:p w14:paraId="18F38DA3" w14:textId="77777777" w:rsidR="00963E47" w:rsidRPr="00963E47" w:rsidRDefault="00963E47" w:rsidP="004C3837">
            <w:pPr>
              <w:keepNext/>
              <w:rPr>
                <w:rFonts w:ascii="Aptos" w:hAnsi="Aptos" w:cs="Times New Roman"/>
                <w:b/>
                <w:bCs/>
                <w:color w:val="000000"/>
                <w:sz w:val="20"/>
                <w:szCs w:val="20"/>
              </w:rPr>
            </w:pPr>
            <w:hyperlink r:id="rId231" w:anchor="manage-4-1" w:history="1">
              <w:r w:rsidRPr="00963E47">
                <w:rPr>
                  <w:rFonts w:ascii="Aptos" w:hAnsi="Aptos" w:cs="Times New Roman"/>
                  <w:color w:val="000000"/>
                  <w:sz w:val="20"/>
                  <w:szCs w:val="20"/>
                  <w:u w:val="single"/>
                </w:rPr>
                <w:t>Link to NIST AI RMF Playbook</w:t>
              </w:r>
            </w:hyperlink>
          </w:p>
        </w:tc>
      </w:tr>
    </w:tbl>
    <w:p w14:paraId="17D59D83"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90873B7"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544C3E79"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0E7B5EE9" w14:textId="77777777" w:rsidTr="005C00A5">
        <w:trPr>
          <w:tblHeader/>
        </w:trPr>
        <w:tc>
          <w:tcPr>
            <w:tcW w:w="2160" w:type="dxa"/>
            <w:shd w:val="clear" w:color="auto" w:fill="CCDCDC"/>
            <w:vAlign w:val="center"/>
          </w:tcPr>
          <w:p w14:paraId="0C057FB4"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4A00C467"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1A7B7D1C"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65BADD4B" w14:textId="77777777" w:rsidTr="005C00A5">
        <w:tc>
          <w:tcPr>
            <w:tcW w:w="2160" w:type="dxa"/>
            <w:shd w:val="clear" w:color="auto" w:fill="CCDCDC"/>
          </w:tcPr>
          <w:p w14:paraId="2DF4CBE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233F9D7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5A8970D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2C6814F4" w14:textId="77777777" w:rsidTr="005C00A5">
        <w:tc>
          <w:tcPr>
            <w:tcW w:w="2160" w:type="dxa"/>
            <w:shd w:val="clear" w:color="auto" w:fill="CCDCDC"/>
          </w:tcPr>
          <w:p w14:paraId="4CC8636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2: Minimal</w:t>
            </w:r>
          </w:p>
        </w:tc>
        <w:tc>
          <w:tcPr>
            <w:tcW w:w="1350" w:type="dxa"/>
          </w:tcPr>
          <w:p w14:paraId="3E9977F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09C6F5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3B891E6" w14:textId="77777777" w:rsidTr="005C00A5">
        <w:tc>
          <w:tcPr>
            <w:tcW w:w="2160" w:type="dxa"/>
            <w:shd w:val="clear" w:color="auto" w:fill="CCDCDC"/>
          </w:tcPr>
          <w:p w14:paraId="2FF89EE5"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6FF4914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475513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0192C9DD" w14:textId="77777777" w:rsidTr="005C00A5">
        <w:tc>
          <w:tcPr>
            <w:tcW w:w="2160" w:type="dxa"/>
            <w:shd w:val="clear" w:color="auto" w:fill="CCDCDC"/>
          </w:tcPr>
          <w:p w14:paraId="0AC2213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5481DE3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537325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seamlessly integrating their AI systems into the overall vulnerability management and security review processes, with real-time identification, assessment, and remediation of AI-specific vulnerabilities and security risks based on data-driven insights. These processes are dynamically aligned with the organization's broader cybersecurity strategy and controls, ensuring proactive optimization and adaptation based on evolving needs and emerging threats.</w:t>
            </w:r>
          </w:p>
        </w:tc>
      </w:tr>
    </w:tbl>
    <w:p w14:paraId="7756D4BC"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122D7EFD" w14:textId="77777777" w:rsidTr="005C00A5">
        <w:tc>
          <w:tcPr>
            <w:tcW w:w="2250" w:type="dxa"/>
          </w:tcPr>
          <w:p w14:paraId="592C2C0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0EA1038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5211DBE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7B6E5854" w14:textId="77777777" w:rsidTr="005C00A5">
        <w:tc>
          <w:tcPr>
            <w:tcW w:w="2250" w:type="dxa"/>
          </w:tcPr>
          <w:p w14:paraId="766D7C7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Secure &amp; Resilient</w:t>
            </w:r>
          </w:p>
        </w:tc>
        <w:tc>
          <w:tcPr>
            <w:tcW w:w="2520" w:type="dxa"/>
          </w:tcPr>
          <w:p w14:paraId="614D935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Unintegrated Vulnerabilities</w:t>
            </w:r>
          </w:p>
        </w:tc>
        <w:tc>
          <w:tcPr>
            <w:tcW w:w="5300" w:type="dxa"/>
          </w:tcPr>
          <w:p w14:paraId="78193E0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vulnerabilities are not integrated into broader security and remediation</w:t>
            </w:r>
          </w:p>
        </w:tc>
      </w:tr>
    </w:tbl>
    <w:p w14:paraId="533F860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705899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3A7C57E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F44D79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Integrate AI systems into the organization's overall vulnerability management and security review processes. Ensure that AI-specific vulnerabilities and security risks are identified, assessed, and remediated on a regular basis, in alignment with the organization's broader cybersecurity strategy and controls.</w:t>
      </w:r>
    </w:p>
    <w:p w14:paraId="1F0E9451"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D5CBB9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specific procedures for managing AI system vulnerabilities, including criteria for prioritizing vulnerabilities based on their potential impact and likelihood, protocols for testing and validating vulnerability remediation efforts, and requirements for documenting and communicating vulnerabilities and remediation efforts to relevant stakeholders.</w:t>
      </w:r>
    </w:p>
    <w:p w14:paraId="3994A934"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72C0F9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105E528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D90832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AI Vulnerability Assessment Framework</w:t>
      </w:r>
    </w:p>
    <w:p w14:paraId="7C04F41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framework for identifying and assessing vulnerabilities specific to AI systems, integrating these assessments into the organization's overall vulnerability management process.</w:t>
      </w:r>
    </w:p>
    <w:p w14:paraId="65141C2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F88ADE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outlining the AI vulnerability assessment framework, including methodologies used for identifying vulnerabilities.</w:t>
      </w:r>
    </w:p>
    <w:p w14:paraId="4984576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identified AI-specific vulnerabilities and their assessed risk levels.</w:t>
      </w:r>
    </w:p>
    <w:p w14:paraId="751AC8A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detailing the assessment results and any trends identified in vulnerabilities across AI systems.</w:t>
      </w:r>
    </w:p>
    <w:p w14:paraId="1F8FFF7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from discussions on integrating AI vulnerability assessment into existing security processes.</w:t>
      </w:r>
    </w:p>
    <w:p w14:paraId="7248419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908EAA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with Cybersecurity Strategy</w:t>
      </w:r>
    </w:p>
    <w:p w14:paraId="461F473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Ensure that AI vulnerabilities and security risks are systematically integrated into the broader cybersecurity strategy and controls of the organization.</w:t>
      </w:r>
    </w:p>
    <w:p w14:paraId="38FBB91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BF84BF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demonstrating how AI vulnerabilities align with the organization's overall cybersecurity policies and strategies.</w:t>
      </w:r>
    </w:p>
    <w:p w14:paraId="6F8848A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management reports that include AI-specific vulnerabilities alongside other cybersecurity risks.</w:t>
      </w:r>
    </w:p>
    <w:p w14:paraId="5A5838C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cybersecurity audits that assess the effectiveness of AI vulnerability management practices.</w:t>
      </w:r>
    </w:p>
    <w:p w14:paraId="058661B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cybersecurity teams on the effectiveness of AI integration into vulnerability management processes.</w:t>
      </w:r>
    </w:p>
    <w:p w14:paraId="0F5E766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5F1229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 Vulnerability Scanning</w:t>
      </w:r>
    </w:p>
    <w:p w14:paraId="7EC9A8A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regular vulnerability scanning specifically tailored for AI systems to proactively identify and remediate potential security risks.</w:t>
      </w:r>
    </w:p>
    <w:p w14:paraId="1958747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179236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Logs of vulnerability scans conducted on AI systems, including tools used and frequency of scans.</w:t>
      </w:r>
    </w:p>
    <w:p w14:paraId="4F4FA09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detailing vulnerabilities detected during scans, including remediation actions taken.</w:t>
      </w:r>
    </w:p>
    <w:p w14:paraId="3CCFFAF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any patch management processes that were triggered by scan outcomes.</w:t>
      </w:r>
    </w:p>
    <w:p w14:paraId="11DB041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follow-up assessments verifying that identified vulnerabilities have been effectively remediated.</w:t>
      </w:r>
    </w:p>
    <w:p w14:paraId="1A378DB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04560C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Incident Response Planning for AI Vulnerabilities</w:t>
      </w:r>
    </w:p>
    <w:p w14:paraId="609E995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incident response plans that specifically address AI vulnerabilities, outlining procedures for quick response and mitigation of any identified security incidents.</w:t>
      </w:r>
    </w:p>
    <w:p w14:paraId="3F6CAF4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78C7A5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Documented incident response plans that clearly outline steps for addressing AI-related security incidents.</w:t>
      </w:r>
    </w:p>
    <w:p w14:paraId="733DABF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Tabletop exercises or simulations that test the effectiveness of the incident response plans specific to AI vulnerabilities.</w:t>
      </w:r>
    </w:p>
    <w:p w14:paraId="1FFA756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incidents related to AI vulnerabilities and the steps taken to resolve them, including lessons learned.</w:t>
      </w:r>
    </w:p>
    <w:p w14:paraId="6676A81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Communication logs detailing stakeholder engagement during incident response activities related to AI vulnerabilities.</w:t>
      </w:r>
    </w:p>
    <w:p w14:paraId="711B529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03D768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Improvement Measures</w:t>
      </w:r>
    </w:p>
    <w:p w14:paraId="10F9E28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processes for the continuous improvement of AI vulnerability management practices based on lessons learned from assessments, incidents, and industry best practices.</w:t>
      </w:r>
    </w:p>
    <w:p w14:paraId="5D733C3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8D8E8A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logs detailing changes made to vulnerability management practices following reviews and assessments.</w:t>
      </w:r>
    </w:p>
    <w:p w14:paraId="2462727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lessons learned sessions that summarize insights gained from past vulnerabilities and incidents.</w:t>
      </w:r>
    </w:p>
    <w:p w14:paraId="6FCDF54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training materials reflecting new best practices and recommendations for AI security management.</w:t>
      </w:r>
    </w:p>
    <w:p w14:paraId="4B46970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analyzing the effectiveness of improvements implemented over time and their impact on reducing vulnerabilities.</w:t>
      </w:r>
    </w:p>
    <w:p w14:paraId="6E1CCE44"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62220807"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4E9AE22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26E3352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244DFD09" w14:textId="77777777" w:rsidTr="005C00A5">
        <w:tc>
          <w:tcPr>
            <w:tcW w:w="1170" w:type="dxa"/>
          </w:tcPr>
          <w:p w14:paraId="757A24F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69E8890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18DE542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7CE7A958" w14:textId="77777777" w:rsidTr="005C00A5">
        <w:tc>
          <w:tcPr>
            <w:tcW w:w="1170" w:type="dxa"/>
          </w:tcPr>
          <w:p w14:paraId="5EF0F897"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MG-4.1.3</w:t>
            </w:r>
          </w:p>
        </w:tc>
        <w:tc>
          <w:tcPr>
            <w:tcW w:w="2160" w:type="dxa"/>
          </w:tcPr>
          <w:p w14:paraId="5D7DAD2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Application and Update Management</w:t>
            </w:r>
          </w:p>
        </w:tc>
        <w:tc>
          <w:tcPr>
            <w:tcW w:w="6740" w:type="dxa"/>
          </w:tcPr>
          <w:p w14:paraId="39683AA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has established robust application management and upgrade processes that specifically address the unique requirements and considerations of its AI systems, including the management of model updates, algorithm changes, and data updates, to ensure the continued reliability, security, and performance of the AI applications.</w:t>
            </w:r>
          </w:p>
          <w:p w14:paraId="6EA02809" w14:textId="77777777" w:rsidR="00963E47" w:rsidRPr="00963E47" w:rsidRDefault="00963E47" w:rsidP="004C3837">
            <w:pPr>
              <w:keepNext/>
              <w:rPr>
                <w:rFonts w:ascii="Aptos" w:hAnsi="Aptos" w:cs="Times New Roman"/>
                <w:b/>
                <w:bCs/>
                <w:color w:val="000000"/>
                <w:sz w:val="20"/>
                <w:szCs w:val="20"/>
              </w:rPr>
            </w:pPr>
          </w:p>
          <w:p w14:paraId="112CC0A8" w14:textId="77777777" w:rsidR="00963E47" w:rsidRPr="00963E47" w:rsidRDefault="00963E47" w:rsidP="004C3837">
            <w:pPr>
              <w:keepNext/>
              <w:rPr>
                <w:rFonts w:ascii="Aptos" w:hAnsi="Aptos" w:cs="Times New Roman"/>
                <w:b/>
                <w:bCs/>
                <w:color w:val="000000"/>
                <w:sz w:val="20"/>
                <w:szCs w:val="20"/>
              </w:rPr>
            </w:pPr>
            <w:hyperlink r:id="rId232" w:anchor="manage-4-1" w:history="1">
              <w:r w:rsidRPr="00963E47">
                <w:rPr>
                  <w:rFonts w:ascii="Aptos" w:hAnsi="Aptos" w:cs="Times New Roman"/>
                  <w:color w:val="000000"/>
                  <w:sz w:val="20"/>
                  <w:szCs w:val="20"/>
                  <w:u w:val="single"/>
                </w:rPr>
                <w:t>Link to NIST AI RMF Playbook</w:t>
              </w:r>
            </w:hyperlink>
          </w:p>
        </w:tc>
      </w:tr>
    </w:tbl>
    <w:p w14:paraId="5E589DA3"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8A45C0C"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246BE611"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3FB22AFF" w14:textId="77777777" w:rsidTr="005C00A5">
        <w:trPr>
          <w:tblHeader/>
        </w:trPr>
        <w:tc>
          <w:tcPr>
            <w:tcW w:w="2160" w:type="dxa"/>
            <w:shd w:val="clear" w:color="auto" w:fill="CCDCDC"/>
            <w:vAlign w:val="center"/>
          </w:tcPr>
          <w:p w14:paraId="5A65EC5F"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1329DC52"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47F5E72B"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785B87A6" w14:textId="77777777" w:rsidTr="005C00A5">
        <w:tc>
          <w:tcPr>
            <w:tcW w:w="2160" w:type="dxa"/>
            <w:shd w:val="clear" w:color="auto" w:fill="CCDCDC"/>
          </w:tcPr>
          <w:p w14:paraId="3128525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72EB243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1DA8CE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67C0E8B7" w14:textId="77777777" w:rsidTr="005C00A5">
        <w:tc>
          <w:tcPr>
            <w:tcW w:w="2160" w:type="dxa"/>
            <w:shd w:val="clear" w:color="auto" w:fill="CCDCDC"/>
          </w:tcPr>
          <w:p w14:paraId="6A6FEB6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62A7CC2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5A50C5C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CE85066" w14:textId="77777777" w:rsidTr="005C00A5">
        <w:tc>
          <w:tcPr>
            <w:tcW w:w="2160" w:type="dxa"/>
            <w:shd w:val="clear" w:color="auto" w:fill="CCDCDC"/>
          </w:tcPr>
          <w:p w14:paraId="6EACAAD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7123E02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085C6DA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E5E9E1B" w14:textId="77777777" w:rsidTr="005C00A5">
        <w:tc>
          <w:tcPr>
            <w:tcW w:w="2160" w:type="dxa"/>
            <w:shd w:val="clear" w:color="auto" w:fill="CCDCDC"/>
          </w:tcPr>
          <w:p w14:paraId="57614EF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4B203C5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2EB8B0A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Organizations at the embedded stage have advanced, automated processes for application management and upgrades that dynamically </w:t>
            </w:r>
            <w:r w:rsidRPr="00963E47">
              <w:rPr>
                <w:rFonts w:ascii="Aptos" w:hAnsi="Aptos" w:cs="Times New Roman"/>
                <w:noProof/>
                <w:color w:val="auto"/>
                <w:sz w:val="20"/>
                <w:szCs w:val="20"/>
              </w:rPr>
              <w:lastRenderedPageBreak/>
              <w:t>address the unique requirements and considerations of AI systems in real-time, with seamless management of model updates, algorithm changes, and data updates based on data-driven insights. These processes proactively ensure the continued reliability, security, and performance of the AI applications, with continuous optimization and adaptation based on evolving needs and emerging best practices.</w:t>
            </w:r>
          </w:p>
        </w:tc>
      </w:tr>
    </w:tbl>
    <w:p w14:paraId="0EE47A08"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086CFCC8" w14:textId="77777777" w:rsidTr="005C00A5">
        <w:tc>
          <w:tcPr>
            <w:tcW w:w="2250" w:type="dxa"/>
          </w:tcPr>
          <w:p w14:paraId="6E2A411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660F4A4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73A1274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684C8CBE" w14:textId="77777777" w:rsidTr="005C00A5">
        <w:tc>
          <w:tcPr>
            <w:tcW w:w="2250" w:type="dxa"/>
          </w:tcPr>
          <w:p w14:paraId="582A2F7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Valid &amp; Reliable</w:t>
            </w:r>
          </w:p>
        </w:tc>
        <w:tc>
          <w:tcPr>
            <w:tcW w:w="2520" w:type="dxa"/>
          </w:tcPr>
          <w:p w14:paraId="656AD10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Inadequate Management Processes</w:t>
            </w:r>
          </w:p>
        </w:tc>
        <w:tc>
          <w:tcPr>
            <w:tcW w:w="5300" w:type="dxa"/>
          </w:tcPr>
          <w:p w14:paraId="4DE1BE4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application management and upgrade processes are inadequate</w:t>
            </w:r>
          </w:p>
        </w:tc>
      </w:tr>
    </w:tbl>
    <w:p w14:paraId="5BC039A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870935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11D111A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C9EEB3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robust application management and upgrade processes that specifically address the unique requirements and considerations of AI systems, including the management of model updates, algorithm changes, and data updates. Ensure that these processes are designed to maintain the continued reliability, security, and performance of the AI applications over time.</w:t>
      </w:r>
    </w:p>
    <w:p w14:paraId="17B18122"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FB3B00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specific procedures for managing AI application updates and upgrades, including criteria for determining when updates are necessary, protocols for testing and validating updates, and requirements for documenting and communicating updates to relevant stakeholders. Ensure that these procedures are aligned with the organization's overall application management strategy and best practices.</w:t>
      </w:r>
    </w:p>
    <w:p w14:paraId="7B749245"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21C54D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53EF3B4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BC2131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AI Application Update Protocols</w:t>
      </w:r>
    </w:p>
    <w:p w14:paraId="7F62722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and implement formal protocols for updating AI applications, including model updates, algorithm changes, and data updates, ensuring all updates are systematically reviewed and approved.</w:t>
      </w:r>
    </w:p>
    <w:p w14:paraId="7EC323F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F4822F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update protocols detailing the processes and steps for managing AI application updates.</w:t>
      </w:r>
    </w:p>
    <w:p w14:paraId="2D71011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approval for each update, including stakeholders involved in the review process.</w:t>
      </w:r>
    </w:p>
    <w:p w14:paraId="6342C5A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 timelines and checklists that confirm all required steps were followed prior to implementation.</w:t>
      </w:r>
    </w:p>
    <w:p w14:paraId="13A4DD9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Communication logs demonstrating notifications sent out to relevant stakeholders regarding planned updates.</w:t>
      </w:r>
    </w:p>
    <w:p w14:paraId="36D6193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E9121C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Model and Algorithm Version Control</w:t>
      </w:r>
    </w:p>
    <w:p w14:paraId="30C992E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version control practices for models and algorithms used in AI applications to track changes and ensure that only validated versions are deployed.</w:t>
      </w:r>
    </w:p>
    <w:p w14:paraId="4014956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0B5990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 history logs for each model and algorithm showing changes made, including dates and reasons for updates.</w:t>
      </w:r>
    </w:p>
    <w:p w14:paraId="01BD0D0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testing results for each version prior to deployment, ensuring validation against performance benchmarks.</w:t>
      </w:r>
    </w:p>
    <w:p w14:paraId="4CAA34F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Comparison reports demonstrating the differences in performance metrics between versions of models and algorithms.</w:t>
      </w:r>
    </w:p>
    <w:p w14:paraId="38BDC22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trails documenting who approved each version before its deployment.</w:t>
      </w:r>
    </w:p>
    <w:p w14:paraId="62CDBF9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A3BB58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Impact Assessment for Updates</w:t>
      </w:r>
    </w:p>
    <w:p w14:paraId="2FB00CA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impact assessments for proposed updates to AI applications, evaluating their potential effects on system performance, reliability, and security before implementation.</w:t>
      </w:r>
    </w:p>
    <w:p w14:paraId="0FE2523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879B36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Impact assessment reports analyzing the expected effects of updates on existing capabilities and potential risks.</w:t>
      </w:r>
    </w:p>
    <w:p w14:paraId="6FE3FD3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Records of discussions during impact assessment meetings, including stakeholder contributions and feedback.</w:t>
      </w:r>
    </w:p>
    <w:p w14:paraId="1876D50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criteria used to evaluate the impact of updates, such as performance metrics and risk benchmarks.</w:t>
      </w:r>
    </w:p>
    <w:p w14:paraId="21D6DBC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Follow-up evaluations confirming that updates performed as intended without negatively affecting other system components.</w:t>
      </w:r>
    </w:p>
    <w:p w14:paraId="4ABA85F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0B2F7D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 Review of Update Processes</w:t>
      </w:r>
    </w:p>
    <w:p w14:paraId="1CDA4D5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Schedule regular reviews of the application management and update processes for AI systems, incorporating lessons learned and feedback to enhance effectiveness and efficiency.</w:t>
      </w:r>
    </w:p>
    <w:p w14:paraId="7DD5EDD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311B51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review meeting agendas and summaries discussing the effectiveness of update processes.</w:t>
      </w:r>
    </w:p>
    <w:p w14:paraId="295CC32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items generated from reviews that outline specific changes to processes or practices based on findings.</w:t>
      </w:r>
    </w:p>
    <w:p w14:paraId="66B8089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training or workshops conducted to address improvements in update management practices.</w:t>
      </w:r>
    </w:p>
    <w:p w14:paraId="3D2F272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showing metric evaluations before and after adjustments to the update processes.</w:t>
      </w:r>
    </w:p>
    <w:p w14:paraId="54FE053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01C01F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Stakeholder Communication and Training</w:t>
      </w:r>
    </w:p>
    <w:p w14:paraId="3D83ACB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Ensure effective communication and training for stakeholders involved in the AI application and update management processes, promoting understanding of the unique requirements and considerations for AI systems.</w:t>
      </w:r>
    </w:p>
    <w:p w14:paraId="7F86598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025507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materials covering the processes related to AI application updates and the importance of model integrity.</w:t>
      </w:r>
    </w:p>
    <w:p w14:paraId="128D609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Attendance records from training sessions or workshops for stakeholders on the update management process.</w:t>
      </w:r>
    </w:p>
    <w:p w14:paraId="54C0506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surveys completed by participants assessing the clarity and relevance of the training provided.</w:t>
      </w:r>
    </w:p>
    <w:p w14:paraId="70D8A84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ongoing communications regarding updates, including email blasts or newsletters summarizing key changes and stakeholder roles.</w:t>
      </w:r>
    </w:p>
    <w:p w14:paraId="42BC7C1E"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53F259F2"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13718AF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05EC9E0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06DD5877" w14:textId="77777777" w:rsidTr="005C00A5">
        <w:tc>
          <w:tcPr>
            <w:tcW w:w="1170" w:type="dxa"/>
          </w:tcPr>
          <w:p w14:paraId="6176BE1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236772D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52AE617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708BBFD0" w14:textId="77777777" w:rsidTr="005C00A5">
        <w:tc>
          <w:tcPr>
            <w:tcW w:w="1170" w:type="dxa"/>
          </w:tcPr>
          <w:p w14:paraId="74977EF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MG-4.1.4</w:t>
            </w:r>
          </w:p>
        </w:tc>
        <w:tc>
          <w:tcPr>
            <w:tcW w:w="2160" w:type="dxa"/>
          </w:tcPr>
          <w:p w14:paraId="72EF546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Change Management for AI Systems</w:t>
            </w:r>
          </w:p>
        </w:tc>
        <w:tc>
          <w:tcPr>
            <w:tcW w:w="6740" w:type="dxa"/>
          </w:tcPr>
          <w:p w14:paraId="6285B89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incorporates AI systems into existing change management processes, conducting system updates, modifications, and decommissioning through structured approaches that include documentation, stakeholder communication, and tracking of dataset modifications (e.g., deletions, rectifications).</w:t>
            </w:r>
          </w:p>
          <w:p w14:paraId="3F06D26B" w14:textId="77777777" w:rsidR="00963E47" w:rsidRPr="00963E47" w:rsidRDefault="00963E47" w:rsidP="004C3837">
            <w:pPr>
              <w:keepNext/>
              <w:rPr>
                <w:rFonts w:ascii="Aptos" w:hAnsi="Aptos" w:cs="Times New Roman"/>
                <w:b/>
                <w:bCs/>
                <w:color w:val="000000"/>
                <w:sz w:val="20"/>
                <w:szCs w:val="20"/>
              </w:rPr>
            </w:pPr>
          </w:p>
          <w:p w14:paraId="03C325BF" w14:textId="77777777" w:rsidR="00963E47" w:rsidRPr="00963E47" w:rsidRDefault="00963E47" w:rsidP="004C3837">
            <w:pPr>
              <w:keepNext/>
              <w:rPr>
                <w:rFonts w:ascii="Aptos" w:hAnsi="Aptos" w:cs="Times New Roman"/>
                <w:b/>
                <w:bCs/>
                <w:color w:val="000000"/>
                <w:sz w:val="20"/>
                <w:szCs w:val="20"/>
              </w:rPr>
            </w:pPr>
            <w:hyperlink r:id="rId233" w:anchor="manage-4-1" w:history="1">
              <w:r w:rsidRPr="00963E47">
                <w:rPr>
                  <w:rFonts w:ascii="Aptos" w:hAnsi="Aptos" w:cs="Times New Roman"/>
                  <w:color w:val="000000"/>
                  <w:sz w:val="20"/>
                  <w:szCs w:val="20"/>
                  <w:u w:val="single"/>
                </w:rPr>
                <w:t>Link to NIST AI RMF Playbook</w:t>
              </w:r>
            </w:hyperlink>
          </w:p>
        </w:tc>
      </w:tr>
    </w:tbl>
    <w:p w14:paraId="3C4A8DF1"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334284D"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52FACBF7"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3509F7B0" w14:textId="77777777" w:rsidTr="005C00A5">
        <w:trPr>
          <w:tblHeader/>
        </w:trPr>
        <w:tc>
          <w:tcPr>
            <w:tcW w:w="2160" w:type="dxa"/>
            <w:shd w:val="clear" w:color="auto" w:fill="CCDCDC"/>
            <w:vAlign w:val="center"/>
          </w:tcPr>
          <w:p w14:paraId="7A6FB332"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2A3A77A8"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200D307D"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0DE7122A" w14:textId="77777777" w:rsidTr="005C00A5">
        <w:tc>
          <w:tcPr>
            <w:tcW w:w="2160" w:type="dxa"/>
            <w:shd w:val="clear" w:color="auto" w:fill="CCDCDC"/>
          </w:tcPr>
          <w:p w14:paraId="5A6FF15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138A0DE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244A12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17579845" w14:textId="77777777" w:rsidTr="005C00A5">
        <w:tc>
          <w:tcPr>
            <w:tcW w:w="2160" w:type="dxa"/>
            <w:shd w:val="clear" w:color="auto" w:fill="CCDCDC"/>
          </w:tcPr>
          <w:p w14:paraId="74B0833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32A5AF8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94C189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2E156C85" w14:textId="77777777" w:rsidTr="005C00A5">
        <w:tc>
          <w:tcPr>
            <w:tcW w:w="2160" w:type="dxa"/>
            <w:shd w:val="clear" w:color="auto" w:fill="CCDCDC"/>
          </w:tcPr>
          <w:p w14:paraId="167952E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476D43F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5D5972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1144C90C" w14:textId="77777777" w:rsidTr="005C00A5">
        <w:tc>
          <w:tcPr>
            <w:tcW w:w="2160" w:type="dxa"/>
            <w:shd w:val="clear" w:color="auto" w:fill="CCDCDC"/>
          </w:tcPr>
          <w:p w14:paraId="06F0F5A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650B9D4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99E197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Organizations at the embedded stage have advanced, automated processes for seamlessly incorporating AI systems into existing change management processes, conducting system updates, modifications, and decommissioning through dynamic, data-driven approaches that include real-time documentation, proactive stakeholder communication, and automated tracking of dataset </w:t>
            </w:r>
            <w:r w:rsidRPr="00963E47">
              <w:rPr>
                <w:rFonts w:ascii="Aptos" w:hAnsi="Aptos" w:cs="Times New Roman"/>
                <w:noProof/>
                <w:color w:val="auto"/>
                <w:sz w:val="20"/>
                <w:szCs w:val="20"/>
              </w:rPr>
              <w:lastRenderedPageBreak/>
              <w:t>modifications (e.g., deletions, rectifications) based on evolving needs and insights.</w:t>
            </w:r>
          </w:p>
        </w:tc>
      </w:tr>
    </w:tbl>
    <w:p w14:paraId="16E195C6"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7AA1FCF3" w14:textId="77777777" w:rsidTr="005C00A5">
        <w:tc>
          <w:tcPr>
            <w:tcW w:w="2250" w:type="dxa"/>
          </w:tcPr>
          <w:p w14:paraId="673B7A2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6FCB522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661CD19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1E2B3FD7" w14:textId="77777777" w:rsidTr="005C00A5">
        <w:tc>
          <w:tcPr>
            <w:tcW w:w="2250" w:type="dxa"/>
          </w:tcPr>
          <w:p w14:paraId="3371E7B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33D357F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Unmanaged System Changes</w:t>
            </w:r>
          </w:p>
        </w:tc>
        <w:tc>
          <w:tcPr>
            <w:tcW w:w="5300" w:type="dxa"/>
          </w:tcPr>
          <w:p w14:paraId="4DE325B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systems are not included in change management and dataset tracking</w:t>
            </w:r>
          </w:p>
        </w:tc>
      </w:tr>
    </w:tbl>
    <w:p w14:paraId="7C3CEAD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809AB0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35F3B1B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60F5A8D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Incorporate AI systems into the organization's existing change management processes, ensuring that system updates, modifications, and decommissioning are conducted through structured approaches that include documentation, stakeholder communication, and tracking of dataset modifications.</w:t>
      </w:r>
    </w:p>
    <w:p w14:paraId="4B5A7D58"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698778E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specific procedures for managing changes to AI systems, including criteria for determining when changes are necessary, protocols for testing and validating changes, and requirements for documenting and communicating changes to relevant stakeholders. Ensure that these procedures are aligned with the organization's overall change management strategy and best practices.</w:t>
      </w:r>
    </w:p>
    <w:p w14:paraId="0D351666"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8A9058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1746921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95E779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Change Management Process Integration</w:t>
      </w:r>
    </w:p>
    <w:p w14:paraId="081E6E1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Integrate AI systems into the existing change management framework, ensuring that all updates, modifications, and decommissioning processes follow structured protocols.</w:t>
      </w:r>
    </w:p>
    <w:p w14:paraId="12713AF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CF0302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outlining the change management processes specific to AI systems, including workflows and approval steps.</w:t>
      </w:r>
    </w:p>
    <w:p w14:paraId="4574563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change requests submitted for AI system updates, including relevant details and justifications.</w:t>
      </w:r>
    </w:p>
    <w:p w14:paraId="1B1CFE4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from change management review sessions discussing AI system modifications.</w:t>
      </w:r>
    </w:p>
    <w:p w14:paraId="4253083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history logs that capture all modifications made to AI systems, detailing the rationale and outcomes.</w:t>
      </w:r>
    </w:p>
    <w:p w14:paraId="066FD2F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AFD408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Documentation of Changes</w:t>
      </w:r>
    </w:p>
    <w:p w14:paraId="30A112A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comprehensive documentation for all changes made to AI systems, including updates, modifications, and dataset alterations (e.g., deletions, rectifications).</w:t>
      </w:r>
    </w:p>
    <w:p w14:paraId="2E55261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3A364F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detailing individual updates made to AI models, algorithms, and datasets, including timestamps and responsible parties.</w:t>
      </w:r>
    </w:p>
    <w:p w14:paraId="7E6580C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documents showing the evolution of AI system configurations and datasets.</w:t>
      </w:r>
    </w:p>
    <w:p w14:paraId="1709D70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Written records capturing the rationale behind significant changes, including analysis of impacts.</w:t>
      </w:r>
    </w:p>
    <w:p w14:paraId="6F8A790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summarizing the status of documentation for all adjustments made during the change management process.</w:t>
      </w:r>
    </w:p>
    <w:p w14:paraId="2E5149A6"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F832BF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Stakeholder Communication Protocol</w:t>
      </w:r>
    </w:p>
    <w:p w14:paraId="663A613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communication protocols to keep stakeholders informed about changes to AI systems, ensuring transparency and alignment during updates and decommissioning.</w:t>
      </w:r>
    </w:p>
    <w:p w14:paraId="68B08E1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846EB2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Communication templates used to inform stakeholders of upcoming changes, including planned timelines and impacts.</w:t>
      </w:r>
    </w:p>
    <w:p w14:paraId="33B8343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stakeholder communications regarding significant changes, such as emails or notifications sent.</w:t>
      </w:r>
    </w:p>
    <w:p w14:paraId="3CB84E9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received from stakeholders on the clarity and usefulness of communication regarding change initiatives.</w:t>
      </w:r>
    </w:p>
    <w:p w14:paraId="05ACCA0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notes documenting discussions with stakeholders about changes and their implications.</w:t>
      </w:r>
    </w:p>
    <w:p w14:paraId="50D05FF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4FD66C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Dataset Modification Tracking</w:t>
      </w:r>
    </w:p>
    <w:p w14:paraId="685C01E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tracking mechanisms to monitor modifications made to datasets used by AI systems, including deletions and rectifications, ensuring transparency and accountability.</w:t>
      </w:r>
    </w:p>
    <w:p w14:paraId="2CC11A0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710AA6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Dataset modification logs that detail when, why, and how modifications were made, including approval records.</w:t>
      </w:r>
    </w:p>
    <w:p w14:paraId="25670BA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data governance policies outlining requirements for dataset changes.</w:t>
      </w:r>
    </w:p>
    <w:p w14:paraId="7D373A1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analyzing the impact of dataset modifications on AI system performance and outcomes.</w:t>
      </w:r>
    </w:p>
    <w:p w14:paraId="4ABC938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trails verifying compliance with data handling and modification protocols.</w:t>
      </w:r>
    </w:p>
    <w:p w14:paraId="3F7519D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A6CCE2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Review and Continuous Improvement of Change Management Practices</w:t>
      </w:r>
    </w:p>
    <w:p w14:paraId="0B2D9CD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review and refine change management practices for AI systems based on lessons learned from previous changes, stakeholder feedback, and best practices.</w:t>
      </w:r>
    </w:p>
    <w:p w14:paraId="6FE6A27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DF2CE0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summarizing findings from reviews of past change management processes, highlighting successes and areas for improvement.</w:t>
      </w:r>
    </w:p>
    <w:p w14:paraId="66D78C1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Updated process documentation reflecting changes made to improve the change management framework.</w:t>
      </w:r>
    </w:p>
    <w:p w14:paraId="7625E6D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training sessions provided to personnel on improved change management practices.</w:t>
      </w:r>
    </w:p>
    <w:p w14:paraId="2716489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plans detailing changes implemented as a result of stakeholder and process review feedback.</w:t>
      </w:r>
    </w:p>
    <w:p w14:paraId="1CEC55A0"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319DA382"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0796778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32749D4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79B28060" w14:textId="77777777" w:rsidTr="005C00A5">
        <w:tc>
          <w:tcPr>
            <w:tcW w:w="1170" w:type="dxa"/>
          </w:tcPr>
          <w:p w14:paraId="3EC2BD2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4FE0686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6F10FC7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272E933F" w14:textId="77777777" w:rsidTr="005C00A5">
        <w:tc>
          <w:tcPr>
            <w:tcW w:w="1170" w:type="dxa"/>
          </w:tcPr>
          <w:p w14:paraId="4FF3DB9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MG-4.1.5</w:t>
            </w:r>
          </w:p>
        </w:tc>
        <w:tc>
          <w:tcPr>
            <w:tcW w:w="2160" w:type="dxa"/>
          </w:tcPr>
          <w:p w14:paraId="593BD4F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Safety Metrics and Incident Response</w:t>
            </w:r>
          </w:p>
        </w:tc>
        <w:tc>
          <w:tcPr>
            <w:tcW w:w="6740" w:type="dxa"/>
          </w:tcPr>
          <w:p w14:paraId="67651E6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defines, monitors, and refines safety metrics that reflect system reliability, robustness, and failure response times. Real-time monitoring capabilities are integrated into the system to identify deviations. Incident response plans include predefined mitigation steps, communication protocols, and post-incident reviews. Regular drills are conducted to ensure preparedness for AI-related safety incidents.</w:t>
            </w:r>
          </w:p>
          <w:p w14:paraId="2D4B609B" w14:textId="77777777" w:rsidR="00963E47" w:rsidRPr="00963E47" w:rsidRDefault="00963E47" w:rsidP="004C3837">
            <w:pPr>
              <w:keepNext/>
              <w:rPr>
                <w:rFonts w:ascii="Aptos" w:hAnsi="Aptos" w:cs="Times New Roman"/>
                <w:b/>
                <w:bCs/>
                <w:color w:val="000000"/>
                <w:sz w:val="20"/>
                <w:szCs w:val="20"/>
              </w:rPr>
            </w:pPr>
          </w:p>
          <w:p w14:paraId="3FC5ED54" w14:textId="77777777" w:rsidR="00963E47" w:rsidRPr="00963E47" w:rsidRDefault="00963E47" w:rsidP="004C3837">
            <w:pPr>
              <w:keepNext/>
              <w:rPr>
                <w:rFonts w:ascii="Aptos" w:hAnsi="Aptos" w:cs="Times New Roman"/>
                <w:b/>
                <w:bCs/>
                <w:color w:val="000000"/>
                <w:sz w:val="20"/>
                <w:szCs w:val="20"/>
              </w:rPr>
            </w:pPr>
            <w:hyperlink r:id="rId234" w:anchor="manage-4-1" w:history="1">
              <w:r w:rsidRPr="00963E47">
                <w:rPr>
                  <w:rFonts w:ascii="Aptos" w:hAnsi="Aptos" w:cs="Times New Roman"/>
                  <w:color w:val="000000"/>
                  <w:sz w:val="20"/>
                  <w:szCs w:val="20"/>
                  <w:u w:val="single"/>
                </w:rPr>
                <w:t>Link to NIST AI RMF Playbook</w:t>
              </w:r>
            </w:hyperlink>
          </w:p>
        </w:tc>
      </w:tr>
    </w:tbl>
    <w:p w14:paraId="40D3A8A9"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2FA2DE5"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22BF5D25"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61B9B0B8" w14:textId="77777777" w:rsidTr="005C00A5">
        <w:trPr>
          <w:tblHeader/>
        </w:trPr>
        <w:tc>
          <w:tcPr>
            <w:tcW w:w="2160" w:type="dxa"/>
            <w:shd w:val="clear" w:color="auto" w:fill="CCDCDC"/>
            <w:vAlign w:val="center"/>
          </w:tcPr>
          <w:p w14:paraId="22651BB3"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1BE471E7"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25F27686"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5A55AC62" w14:textId="77777777" w:rsidTr="005C00A5">
        <w:tc>
          <w:tcPr>
            <w:tcW w:w="2160" w:type="dxa"/>
            <w:shd w:val="clear" w:color="auto" w:fill="CCDCDC"/>
          </w:tcPr>
          <w:p w14:paraId="2BBD6BF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1CE3DCD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C9CE6F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0F109514" w14:textId="77777777" w:rsidTr="005C00A5">
        <w:tc>
          <w:tcPr>
            <w:tcW w:w="2160" w:type="dxa"/>
            <w:shd w:val="clear" w:color="auto" w:fill="CCDCDC"/>
          </w:tcPr>
          <w:p w14:paraId="23C301D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0B2A97E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C1364D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minimal stage, organizations define simple reliability and failure metrics (e.g., uptime, false-positive rates) and establish low-friction detection (periodic checks or lightweight alerts) to catch obvious deviations. Incident plans can be scaled-down: predefined mitigation steps and communication paths for the small user base or internal teams, plus occasional tabletop exercises, provide preparedness without the full operational overhead required at higher adoption stages.</w:t>
            </w:r>
          </w:p>
        </w:tc>
      </w:tr>
      <w:tr w:rsidR="00963E47" w:rsidRPr="00963E47" w14:paraId="362D125E" w14:textId="77777777" w:rsidTr="005C00A5">
        <w:tc>
          <w:tcPr>
            <w:tcW w:w="2160" w:type="dxa"/>
            <w:shd w:val="clear" w:color="auto" w:fill="CCDCDC"/>
          </w:tcPr>
          <w:p w14:paraId="0A33D53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01886F1D"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A1B58D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evolving stage, organizations consistently define, monitor, and refine safety metrics that reflect system reliability, robustness, and failure response times. Real-time monitoring capabilities are integrated into the system to identify deviations. Incident response plans include predefined mitigation steps, communication protocols, </w:t>
            </w:r>
            <w:r w:rsidRPr="00963E47">
              <w:rPr>
                <w:rFonts w:ascii="Aptos" w:hAnsi="Aptos" w:cs="Times New Roman"/>
                <w:noProof/>
                <w:color w:val="auto"/>
                <w:sz w:val="20"/>
                <w:szCs w:val="20"/>
              </w:rPr>
              <w:lastRenderedPageBreak/>
              <w:t>and post-incident reviews. Regular drills are conducted to ensure preparedness for AI-related safety incidents.</w:t>
            </w:r>
          </w:p>
        </w:tc>
      </w:tr>
      <w:tr w:rsidR="00963E47" w:rsidRPr="00963E47" w14:paraId="51607F59" w14:textId="77777777" w:rsidTr="005C00A5">
        <w:tc>
          <w:tcPr>
            <w:tcW w:w="2160" w:type="dxa"/>
            <w:shd w:val="clear" w:color="auto" w:fill="CCDCDC"/>
          </w:tcPr>
          <w:p w14:paraId="7A267DA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4: Embedded</w:t>
            </w:r>
          </w:p>
        </w:tc>
        <w:tc>
          <w:tcPr>
            <w:tcW w:w="1350" w:type="dxa"/>
          </w:tcPr>
          <w:p w14:paraId="31AF8A3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657623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continuously defining, monitoring, and refining safety metrics that reflect system reliability, robustness, and failure response times, with real-time monitoring capabilities integrated into the system to identify deviations based on data-driven insights. Incident response plans include dynamically updated mitigation steps, communication protocols, and post-incident reviews. Regular drills are conducted to ensure preparedness for AI-related safety incidents, with seamless integration into the organization's risk management and incident response frameworks, ensuring the highest level of proactive safety management and incident preparedness.</w:t>
            </w:r>
          </w:p>
        </w:tc>
      </w:tr>
    </w:tbl>
    <w:p w14:paraId="7E025437"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67FCB0EF" w14:textId="77777777" w:rsidTr="005C00A5">
        <w:tc>
          <w:tcPr>
            <w:tcW w:w="2250" w:type="dxa"/>
          </w:tcPr>
          <w:p w14:paraId="3A65CED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6EBD20E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68A39E4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44507301" w14:textId="77777777" w:rsidTr="005C00A5">
        <w:tc>
          <w:tcPr>
            <w:tcW w:w="2250" w:type="dxa"/>
          </w:tcPr>
          <w:p w14:paraId="641CAD2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Safe</w:t>
            </w:r>
          </w:p>
        </w:tc>
        <w:tc>
          <w:tcPr>
            <w:tcW w:w="2520" w:type="dxa"/>
          </w:tcPr>
          <w:p w14:paraId="3B2C3D7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Lacking Safety Metrics</w:t>
            </w:r>
          </w:p>
        </w:tc>
        <w:tc>
          <w:tcPr>
            <w:tcW w:w="5300" w:type="dxa"/>
          </w:tcPr>
          <w:p w14:paraId="2B3FA95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Safety metrics and real-time monitoring for AI incidents are lacking</w:t>
            </w:r>
          </w:p>
        </w:tc>
      </w:tr>
    </w:tbl>
    <w:p w14:paraId="5D58C5A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1A28A4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439FA90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F232B5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Define a set of safety metrics that reflect the AI system's reliability, robustness, and failure response times. Establish a process for monitoring and refining these metrics over time, based on real-world performance data and evolving industry best practices.</w:t>
      </w:r>
    </w:p>
    <w:p w14:paraId="63433166"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23CB131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Integrate real-time monitoring capabilities into the AI system to identify deviations from expected performance and potential safety issues. Develop incident response plans that include predefined mitigation steps, communication protocols, and post-incident review processes. Conduct regular drills to ensure that all relevant personnel are prepared to respond effectively to AI-related safety incidents.</w:t>
      </w:r>
    </w:p>
    <w:p w14:paraId="40A8F915"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2D68614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a process for regularly reviewing and updating safety metrics, monitoring capabilities, and incident response plans based on lessons learned from real-world incidents and evolving best practices. Ensure that all relevant stakeholders are involved in this process and that any changes are communicated clearly and effectively.</w:t>
      </w:r>
    </w:p>
    <w:p w14:paraId="18691260"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1F2B31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26CD0E0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3A04E3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Safety Metrics Development</w:t>
      </w:r>
    </w:p>
    <w:p w14:paraId="57E5000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and define a set of safety metrics that reflect system reliability, robustness, and failure response times, ensuring they align with organizational safety goals.</w:t>
      </w:r>
    </w:p>
    <w:p w14:paraId="073FC06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3C5D6F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outlining the defined safety metrics, including their definitions and calculation methods.</w:t>
      </w:r>
    </w:p>
    <w:p w14:paraId="47D377A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baseline performance levels for the safety metrics prior to AI system deployment.</w:t>
      </w:r>
    </w:p>
    <w:p w14:paraId="16A1F99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detailing the rationale for selecting specific safety metrics based on risk assessments.</w:t>
      </w:r>
    </w:p>
    <w:p w14:paraId="5EEFF67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Dashboards displaying real-time tracking of safety metrics and trends over time.</w:t>
      </w:r>
    </w:p>
    <w:p w14:paraId="36CFBF7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AF16949"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Real-Time Monitoring Implementation</w:t>
      </w:r>
    </w:p>
    <w:p w14:paraId="7A60F7A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real-time monitoring capabilities within the AI system to identify deviations from established safety metrics and trigger alerts for potential issues.</w:t>
      </w:r>
    </w:p>
    <w:p w14:paraId="750A7FB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ED3520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Technical documentation of the monitoring tools and systems used for real-time data collection.</w:t>
      </w:r>
    </w:p>
    <w:p w14:paraId="7BFF6ED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Logs of incidents triggered by real-time monitoring alerts, detailing response actions taken.</w:t>
      </w:r>
    </w:p>
    <w:p w14:paraId="114C688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Performance reports demonstrating the effectiveness of real-time monitoring in detecting deviations.</w:t>
      </w:r>
    </w:p>
    <w:p w14:paraId="3B52D9E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system adjustments made in response to findings from the real-time monitoring data.</w:t>
      </w:r>
    </w:p>
    <w:p w14:paraId="747DA0F2"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29448B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Incident Response Planning</w:t>
      </w:r>
    </w:p>
    <w:p w14:paraId="5DB593F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comprehensive incident response plans that outline predefined mitigation steps, communication protocols, and processes for post-incident reviews related to AI safety incidents.</w:t>
      </w:r>
    </w:p>
    <w:p w14:paraId="19FACA5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5305FD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Documented incident response plans, including step-by-step instructions for responding to various AI-related incidents.</w:t>
      </w:r>
    </w:p>
    <w:p w14:paraId="6BDA845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Communication protocols detailing how information regarding incidents will be disseminated to stakeholders.</w:t>
      </w:r>
    </w:p>
    <w:p w14:paraId="3913DC6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post-incident review templates that capture lessons learned and recommendations for improvement.</w:t>
      </w:r>
    </w:p>
    <w:p w14:paraId="49FAB9A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Approval records showing that incident response plans have been reviewed and accepted by relevant stakeholders.</w:t>
      </w:r>
    </w:p>
    <w:p w14:paraId="32B00C0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6CA981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 Drill Execution</w:t>
      </w:r>
    </w:p>
    <w:p w14:paraId="4539E75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regular drills to test the effectiveness of incident response plans and ensure preparedness for AI-related safety incidents across the organization.</w:t>
      </w:r>
    </w:p>
    <w:p w14:paraId="596C38B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7C97F7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Drill schedules indicating frequency and types of incidents simulated during training exercises.</w:t>
      </w:r>
    </w:p>
    <w:p w14:paraId="782C5CD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drill outcomes, including participant feedback and areas identified for improvement.</w:t>
      </w:r>
    </w:p>
    <w:p w14:paraId="58F25EB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attendance and participation in drills by relevant personnel.</w:t>
      </w:r>
    </w:p>
    <w:p w14:paraId="6527D4A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plans formulated based on drill results, detailing improvements to be made in response protocols.</w:t>
      </w:r>
    </w:p>
    <w:p w14:paraId="44165D3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902F08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Refinement of Safety Practices</w:t>
      </w:r>
    </w:p>
    <w:p w14:paraId="70D34EC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processes for continuously reviewing and refining safety metrics, monitoring practices, and incident response strategies based on incident outcomes and evolving best practices.</w:t>
      </w:r>
    </w:p>
    <w:p w14:paraId="7582F8C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C8F7A5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regular review meetings discussing the effectiveness of safety practices and proposed improvements.</w:t>
      </w:r>
    </w:p>
    <w:p w14:paraId="6755E39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documenting changes made to safety metrics and incident response protocols in response to evaluations.</w:t>
      </w:r>
    </w:p>
    <w:p w14:paraId="65087B8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forms from stakeholders regarding the clarity and effectiveness of safety measures.</w:t>
      </w:r>
    </w:p>
    <w:p w14:paraId="1177F74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best practices identified through industry research that are incorporated into organizational safety standards.</w:t>
      </w:r>
    </w:p>
    <w:p w14:paraId="42566E0E"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08C8F451"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20518A1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732C475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38256EDE" w14:textId="77777777" w:rsidTr="005C00A5">
        <w:tc>
          <w:tcPr>
            <w:tcW w:w="1170" w:type="dxa"/>
          </w:tcPr>
          <w:p w14:paraId="04B98F0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5DB1B34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05375E3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42028725" w14:textId="77777777" w:rsidTr="005C00A5">
        <w:tc>
          <w:tcPr>
            <w:tcW w:w="1170" w:type="dxa"/>
          </w:tcPr>
          <w:p w14:paraId="0F1B182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MG-4.1.6</w:t>
            </w:r>
          </w:p>
        </w:tc>
        <w:tc>
          <w:tcPr>
            <w:tcW w:w="2160" w:type="dxa"/>
          </w:tcPr>
          <w:p w14:paraId="1D7AAAB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 Incident Response and Recovery Procedures</w:t>
            </w:r>
          </w:p>
        </w:tc>
        <w:tc>
          <w:tcPr>
            <w:tcW w:w="6740" w:type="dxa"/>
          </w:tcPr>
          <w:p w14:paraId="05F530A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implements AI-specific incident response and recovery procedures into existing organizational incident management processes, outlining steps for addressing system failures, security breaches, and other AI-related incidents while considering the unique characteristics of AI systems, and periodically reviews and updates these procedures based on lessons learned, emerging risks, and evolving industry practices.</w:t>
            </w:r>
          </w:p>
          <w:p w14:paraId="2A58A3FB" w14:textId="77777777" w:rsidR="00963E47" w:rsidRPr="00963E47" w:rsidRDefault="00963E47" w:rsidP="004C3837">
            <w:pPr>
              <w:keepNext/>
              <w:rPr>
                <w:rFonts w:ascii="Aptos" w:hAnsi="Aptos" w:cs="Times New Roman"/>
                <w:b/>
                <w:bCs/>
                <w:color w:val="000000"/>
                <w:sz w:val="20"/>
                <w:szCs w:val="20"/>
              </w:rPr>
            </w:pPr>
          </w:p>
          <w:p w14:paraId="25978CD5" w14:textId="77777777" w:rsidR="00963E47" w:rsidRPr="00963E47" w:rsidRDefault="00963E47" w:rsidP="004C3837">
            <w:pPr>
              <w:keepNext/>
              <w:rPr>
                <w:rFonts w:ascii="Aptos" w:hAnsi="Aptos" w:cs="Times New Roman"/>
                <w:b/>
                <w:bCs/>
                <w:color w:val="000000"/>
                <w:sz w:val="20"/>
                <w:szCs w:val="20"/>
              </w:rPr>
            </w:pPr>
            <w:hyperlink r:id="rId235" w:anchor="manage-4-1" w:history="1">
              <w:r w:rsidRPr="00963E47">
                <w:rPr>
                  <w:rFonts w:ascii="Aptos" w:hAnsi="Aptos" w:cs="Times New Roman"/>
                  <w:color w:val="000000"/>
                  <w:sz w:val="20"/>
                  <w:szCs w:val="20"/>
                  <w:u w:val="single"/>
                </w:rPr>
                <w:t>Link to NIST AI RMF Playbook</w:t>
              </w:r>
            </w:hyperlink>
          </w:p>
        </w:tc>
      </w:tr>
    </w:tbl>
    <w:p w14:paraId="76076005"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3FB87E5"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33991B35"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25397521" w14:textId="77777777" w:rsidTr="005C00A5">
        <w:trPr>
          <w:tblHeader/>
        </w:trPr>
        <w:tc>
          <w:tcPr>
            <w:tcW w:w="2160" w:type="dxa"/>
            <w:shd w:val="clear" w:color="auto" w:fill="CCDCDC"/>
            <w:vAlign w:val="center"/>
          </w:tcPr>
          <w:p w14:paraId="13B590E1"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3783CC4C"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5641612A"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55DB23D5" w14:textId="77777777" w:rsidTr="005C00A5">
        <w:tc>
          <w:tcPr>
            <w:tcW w:w="2160" w:type="dxa"/>
            <w:shd w:val="clear" w:color="auto" w:fill="CCDCDC"/>
          </w:tcPr>
          <w:p w14:paraId="284F49E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04D317B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142419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0FC38EF3" w14:textId="77777777" w:rsidTr="005C00A5">
        <w:tc>
          <w:tcPr>
            <w:tcW w:w="2160" w:type="dxa"/>
            <w:shd w:val="clear" w:color="auto" w:fill="CCDCDC"/>
          </w:tcPr>
          <w:p w14:paraId="52FA8462"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6FB593E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3F882E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0BBFF55C" w14:textId="77777777" w:rsidTr="005C00A5">
        <w:tc>
          <w:tcPr>
            <w:tcW w:w="2160" w:type="dxa"/>
            <w:shd w:val="clear" w:color="auto" w:fill="CCDCDC"/>
          </w:tcPr>
          <w:p w14:paraId="5C4FB36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3: Evolving</w:t>
            </w:r>
          </w:p>
        </w:tc>
        <w:tc>
          <w:tcPr>
            <w:tcW w:w="1350" w:type="dxa"/>
          </w:tcPr>
          <w:p w14:paraId="78A1656E"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2BD1AF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7241A9F" w14:textId="77777777" w:rsidTr="005C00A5">
        <w:tc>
          <w:tcPr>
            <w:tcW w:w="2160" w:type="dxa"/>
            <w:shd w:val="clear" w:color="auto" w:fill="CCDCDC"/>
          </w:tcPr>
          <w:p w14:paraId="5E34816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1F55CC27"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985A55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developing and integrating adaptive AI-specific incident response and recovery procedures into existing organizational incident management processes, with real-time outlining of steps for addressing system failures, security breaches, and other AI-related incidents based on the unique characteristics of AI systems. These procedures are continuously reviewed and updated based on lessons learned, emerging risks, and evolving industry practices, with seamless integration and proactive optimization based on data-driven insights.</w:t>
            </w:r>
          </w:p>
        </w:tc>
      </w:tr>
    </w:tbl>
    <w:p w14:paraId="1F1E2BD1"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0F4C3293" w14:textId="77777777" w:rsidTr="005C00A5">
        <w:tc>
          <w:tcPr>
            <w:tcW w:w="2250" w:type="dxa"/>
          </w:tcPr>
          <w:p w14:paraId="6383B38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4E8B7AF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57F93AA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1056E553" w14:textId="77777777" w:rsidTr="005C00A5">
        <w:tc>
          <w:tcPr>
            <w:tcW w:w="2250" w:type="dxa"/>
          </w:tcPr>
          <w:p w14:paraId="793CE85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30A99776"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Unintegrated Recovery Procedures</w:t>
            </w:r>
          </w:p>
        </w:tc>
        <w:tc>
          <w:tcPr>
            <w:tcW w:w="5300" w:type="dxa"/>
          </w:tcPr>
          <w:p w14:paraId="7524658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AI-specific incident response and recovery procedures are not integrated</w:t>
            </w:r>
          </w:p>
        </w:tc>
      </w:tr>
    </w:tbl>
    <w:p w14:paraId="70A8648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724DAB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2BE88D4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37FD57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Implement AI-specific incident response and recovery procedures that outline steps for addressing system failures, security breaches, and other AI-related incidents. Ensure that these procedures consider the unique characteristics of AI systems, such as their complexity, opacity, and potential for unintended consequences.</w:t>
      </w:r>
    </w:p>
    <w:p w14:paraId="2A2D5B26"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290E92A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Integrate these AI-specific procedures into the organization's existing incident management processes, ensuring that they are aligned with overall incident response and recovery strategies. Regularly review and update these procedures based on lessons learned from past incidents, emerging risks, and evolving industry practices.</w:t>
      </w:r>
    </w:p>
    <w:p w14:paraId="2F1BEB74"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D24871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5D60A32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F5EEDE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AI Incident Response Procedures</w:t>
      </w:r>
    </w:p>
    <w:p w14:paraId="57DA54C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AI-specific incident response procedures integrated into existing organizational incident management processes, detailing steps for effectively addressing system failures and security breaches.</w:t>
      </w:r>
    </w:p>
    <w:p w14:paraId="6DF2E1D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9CE812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Documented incident response procedures specifically designed for AI-related incidents, outlining clear steps and responsibilities.</w:t>
      </w:r>
    </w:p>
    <w:p w14:paraId="223E31E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Flowcharts illustrating the decision-making process for handling different types of AI incidents.</w:t>
      </w:r>
    </w:p>
    <w:p w14:paraId="470D383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materials provided to staff on the implementation of AI incident response procedures.</w:t>
      </w:r>
    </w:p>
    <w:p w14:paraId="61338DB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stakeholder approvals and reviews confirming the adequacy of the documented procedures.</w:t>
      </w:r>
    </w:p>
    <w:p w14:paraId="11D1AF7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444D18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with Existing Incident Management Processes</w:t>
      </w:r>
    </w:p>
    <w:p w14:paraId="4F27007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Ensure that AI incident response procedures are seamlessly integrated into the organization's overall incident management framework, facilitating coordinated responses across functions.</w:t>
      </w:r>
    </w:p>
    <w:p w14:paraId="26496F3C"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A3D056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showing how AI incident response procedures align with existing organizational incident management protocols.</w:t>
      </w:r>
    </w:p>
    <w:p w14:paraId="4204E12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from discussions regarding the integration of AI-specific procedures into broader processes.</w:t>
      </w:r>
    </w:p>
    <w:p w14:paraId="503ECA3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communication with other departments outlining roles and responsibilities during AI incidents.</w:t>
      </w:r>
    </w:p>
    <w:p w14:paraId="13DFB40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demonstrating how incidents involving AI systems were managed in conjunction with standard incident response procedures.</w:t>
      </w:r>
    </w:p>
    <w:p w14:paraId="08099463"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28E3D6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Periodic Review and Update of Procedures</w:t>
      </w:r>
    </w:p>
    <w:p w14:paraId="55D6956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periodic reviews of AI incident response and recovery procedures to incorporate lessons learned, emerging risks, and evolving industry standards.</w:t>
      </w:r>
    </w:p>
    <w:p w14:paraId="242E42F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DCCFB6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and agendas detailing when and how incident response procedures are evaluated.</w:t>
      </w:r>
    </w:p>
    <w:p w14:paraId="5BD5F5F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changes made to procedures following review sessions, including rationale for updates.</w:t>
      </w:r>
    </w:p>
    <w:p w14:paraId="3A4AB4A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stakeholder feedback incorporated into revised incident response procedures.</w:t>
      </w:r>
    </w:p>
    <w:p w14:paraId="5F00C73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trails reflecting previous versions of incident response procedures and documented changes over time.</w:t>
      </w:r>
    </w:p>
    <w:p w14:paraId="3BE7D922"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881B7C1"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Training and Awareness for Incident Response</w:t>
      </w:r>
    </w:p>
    <w:p w14:paraId="33734F1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Provide regular training and awareness programs for relevant personnel on AI incident response and recovery procedures to ensure effective incident management.</w:t>
      </w:r>
    </w:p>
    <w:p w14:paraId="69AEE9D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64EDDC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materials covering AI incident response procedures, emphasizing unique characteristics and challenges.</w:t>
      </w:r>
    </w:p>
    <w:p w14:paraId="4A9F56B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Attendance records for training sessions conducted for team members involved in incident management.</w:t>
      </w:r>
    </w:p>
    <w:p w14:paraId="5DCD82B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surveys from participants assessing the effectiveness and clarity of the training provided.</w:t>
      </w:r>
    </w:p>
    <w:p w14:paraId="301C8C1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competency assessments demonstrating an understanding of AI incident management among staff.</w:t>
      </w:r>
    </w:p>
    <w:p w14:paraId="5236E728"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F4EC81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Incident Tracking and Analysis</w:t>
      </w:r>
    </w:p>
    <w:p w14:paraId="2C5EFD0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tracking mechanisms for AI incidents to analyze response effectiveness, identify patterns, and inform future improvements in incident response procedures.</w:t>
      </w:r>
    </w:p>
    <w:p w14:paraId="531E249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66E013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Incident logs documenting all AI-related incidents, including response actions taken and their outcomes.</w:t>
      </w:r>
    </w:p>
    <w:p w14:paraId="0532088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analyzing incident data to identify trends and areas for improvement in incident management.</w:t>
      </w:r>
    </w:p>
    <w:p w14:paraId="6B7D0F0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lessons learned sessions focused on discussions of incident handling effectiveness and outcomes.</w:t>
      </w:r>
    </w:p>
    <w:p w14:paraId="37B7964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Recommendations for process improvements based on analyses of tracked incidents and stakeholder feedback.</w:t>
      </w:r>
    </w:p>
    <w:p w14:paraId="190C135B"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79" w:name="_Toc214874824"/>
      <w:r w:rsidRPr="00963E47">
        <w:rPr>
          <w:rFonts w:ascii="Aptos" w:eastAsia="Aptos" w:hAnsi="Aptos" w:cs="Times New Roman"/>
          <w:b/>
          <w:bCs/>
          <w:noProof/>
          <w:color w:val="35256B"/>
          <w:kern w:val="2"/>
          <w:sz w:val="24"/>
          <w14:ligatures w14:val="standardContextual"/>
        </w:rPr>
        <w:t>MANAGE / Ongoing Risk Response / Continuously Improving AI Systems</w:t>
      </w:r>
      <w:bookmarkEnd w:id="79"/>
      <w:r w:rsidRPr="00963E47">
        <w:rPr>
          <w:rFonts w:ascii="Aptos" w:eastAsia="Aptos" w:hAnsi="Aptos" w:cs="Times New Roman"/>
          <w:b/>
          <w:bCs/>
          <w:noProof/>
          <w:color w:val="35256B"/>
          <w:kern w:val="2"/>
          <w:sz w:val="24"/>
          <w14:ligatures w14:val="standardContextual"/>
        </w:rPr>
        <w:t xml:space="preserve"> </w:t>
      </w:r>
    </w:p>
    <w:p w14:paraId="7F4F586E"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2200740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066F814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41798964" w14:textId="77777777" w:rsidTr="005C00A5">
        <w:tc>
          <w:tcPr>
            <w:tcW w:w="1170" w:type="dxa"/>
          </w:tcPr>
          <w:p w14:paraId="7EBECFF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793C19E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11BAAC8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114B78F7" w14:textId="77777777" w:rsidTr="005C00A5">
        <w:tc>
          <w:tcPr>
            <w:tcW w:w="1170" w:type="dxa"/>
          </w:tcPr>
          <w:p w14:paraId="6E988CB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MG-4.2.1</w:t>
            </w:r>
          </w:p>
        </w:tc>
        <w:tc>
          <w:tcPr>
            <w:tcW w:w="2160" w:type="dxa"/>
          </w:tcPr>
          <w:p w14:paraId="6D5ACB4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Content Lineage and Provenance Training</w:t>
            </w:r>
          </w:p>
        </w:tc>
        <w:tc>
          <w:tcPr>
            <w:tcW w:w="6740" w:type="dxa"/>
          </w:tcPr>
          <w:p w14:paraId="4F344BD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establishes an ongoing program to evaluate the ability of operators and end users to understand content lineage, origin, and provenance information related to the AI system. The organization evaluates the adequacy of existing training and adapts training and certification programs to address identified gaps.</w:t>
            </w:r>
          </w:p>
          <w:p w14:paraId="244D4441" w14:textId="77777777" w:rsidR="00963E47" w:rsidRPr="00963E47" w:rsidRDefault="00963E47" w:rsidP="004C3837">
            <w:pPr>
              <w:keepNext/>
              <w:rPr>
                <w:rFonts w:ascii="Aptos" w:hAnsi="Aptos" w:cs="Times New Roman"/>
                <w:b/>
                <w:bCs/>
                <w:color w:val="000000"/>
                <w:sz w:val="20"/>
                <w:szCs w:val="20"/>
              </w:rPr>
            </w:pPr>
          </w:p>
          <w:p w14:paraId="43403559" w14:textId="77777777" w:rsidR="00963E47" w:rsidRPr="00963E47" w:rsidRDefault="00963E47" w:rsidP="004C3837">
            <w:pPr>
              <w:keepNext/>
              <w:rPr>
                <w:rFonts w:ascii="Aptos" w:hAnsi="Aptos" w:cs="Times New Roman"/>
                <w:b/>
                <w:bCs/>
                <w:color w:val="000000"/>
                <w:sz w:val="20"/>
                <w:szCs w:val="20"/>
              </w:rPr>
            </w:pPr>
            <w:hyperlink r:id="rId236" w:anchor="manage-4-2" w:history="1">
              <w:r w:rsidRPr="00963E47">
                <w:rPr>
                  <w:rFonts w:ascii="Aptos" w:hAnsi="Aptos" w:cs="Times New Roman"/>
                  <w:color w:val="000000"/>
                  <w:sz w:val="20"/>
                  <w:szCs w:val="20"/>
                  <w:u w:val="single"/>
                </w:rPr>
                <w:t>Link to NIST AI RMF Playbook</w:t>
              </w:r>
            </w:hyperlink>
          </w:p>
        </w:tc>
      </w:tr>
    </w:tbl>
    <w:p w14:paraId="176C6936"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50CE90D"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4B55668C"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2D6B4A05" w14:textId="77777777" w:rsidTr="005C00A5">
        <w:trPr>
          <w:tblHeader/>
        </w:trPr>
        <w:tc>
          <w:tcPr>
            <w:tcW w:w="2160" w:type="dxa"/>
            <w:shd w:val="clear" w:color="auto" w:fill="CCDCDC"/>
            <w:vAlign w:val="center"/>
          </w:tcPr>
          <w:p w14:paraId="264BE5FF"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48C33902"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046EE59C"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5450BBB4" w14:textId="77777777" w:rsidTr="005C00A5">
        <w:tc>
          <w:tcPr>
            <w:tcW w:w="2160" w:type="dxa"/>
            <w:shd w:val="clear" w:color="auto" w:fill="CCDCDC"/>
          </w:tcPr>
          <w:p w14:paraId="08036C1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0655C89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3FDA28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4A5AA2E" w14:textId="77777777" w:rsidTr="005C00A5">
        <w:tc>
          <w:tcPr>
            <w:tcW w:w="2160" w:type="dxa"/>
            <w:shd w:val="clear" w:color="auto" w:fill="CCDCDC"/>
          </w:tcPr>
          <w:p w14:paraId="383DDE1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387E72F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60E7B8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293E5875" w14:textId="77777777" w:rsidTr="005C00A5">
        <w:tc>
          <w:tcPr>
            <w:tcW w:w="2160" w:type="dxa"/>
            <w:shd w:val="clear" w:color="auto" w:fill="CCDCDC"/>
          </w:tcPr>
          <w:p w14:paraId="727E932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7CDF52D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E79299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2191E15" w14:textId="77777777" w:rsidTr="005C00A5">
        <w:tc>
          <w:tcPr>
            <w:tcW w:w="2160" w:type="dxa"/>
            <w:shd w:val="clear" w:color="auto" w:fill="CCDCDC"/>
          </w:tcPr>
          <w:p w14:paraId="57D453F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07A65EA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4894B4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 xml:space="preserve">At the embedded stage, organizations have AI that is embedded in critical functions and internal model development, so comprehensive operator and user comprehension of content provenance is essential for legal, safety, and auditability requirements; ongoing evaluation and </w:t>
            </w:r>
            <w:r w:rsidRPr="00963E47">
              <w:rPr>
                <w:rFonts w:ascii="Aptos" w:hAnsi="Aptos" w:cs="Times New Roman"/>
                <w:noProof/>
                <w:color w:val="auto"/>
                <w:sz w:val="20"/>
                <w:szCs w:val="20"/>
              </w:rPr>
              <w:lastRenderedPageBreak/>
              <w:t>certification programs ensure enterprise-wide competency. Continuously updating training to address identified gaps supports compliance, incident response, and reliable decision-making across interconnected systems.</w:t>
            </w:r>
          </w:p>
        </w:tc>
      </w:tr>
    </w:tbl>
    <w:p w14:paraId="48A3F62D"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572A296F" w14:textId="77777777" w:rsidTr="005C00A5">
        <w:tc>
          <w:tcPr>
            <w:tcW w:w="2250" w:type="dxa"/>
          </w:tcPr>
          <w:p w14:paraId="5528019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7AD14D7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4A9527F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0B1FB32D" w14:textId="77777777" w:rsidTr="005C00A5">
        <w:tc>
          <w:tcPr>
            <w:tcW w:w="2250" w:type="dxa"/>
          </w:tcPr>
          <w:p w14:paraId="07845BD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7BC4431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Unevaluated User Understanding</w:t>
            </w:r>
          </w:p>
        </w:tc>
        <w:tc>
          <w:tcPr>
            <w:tcW w:w="5300" w:type="dxa"/>
          </w:tcPr>
          <w:p w14:paraId="334F7A9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Operator and user understanding of content provenance is not evaluated</w:t>
            </w:r>
          </w:p>
        </w:tc>
      </w:tr>
    </w:tbl>
    <w:p w14:paraId="5A298C8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701065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4D5BFAC9"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CB0D50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Evaluate the ability of operators and end-users to understand content lineage, origin, and provenance information related to the AI system, and adapt training and certification programs to address identified gaps. Conduct assessments or surveys to gauge the level of understanding and awareness among these stakeholders regarding the sources, quality, and potential biases of the data and algorithms used to train and operate the AI system. </w:t>
      </w:r>
    </w:p>
    <w:p w14:paraId="06EA1A02"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DF480B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Identify areas where knowledge or skills are insufficient and develop targeted training modules or resources to address gaps. Incorporate this content into the overall training and certification programs for the AI system, ensuring that relevant stakeholders have or acquire the necessary knowledge and skills to interpret and act upon content lineage, origin, and provenance information in a responsible and informed manner.</w:t>
      </w:r>
    </w:p>
    <w:p w14:paraId="07FBAD7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Regularly review and update these training programs to ensure they remain effective and relevant as the AI system and its data sources evolve over time.</w:t>
      </w:r>
    </w:p>
    <w:p w14:paraId="5D3ADA7D"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5DCDDF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753BACBC"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D5E930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Content Lineage and Provenance Training Program</w:t>
      </w:r>
    </w:p>
    <w:p w14:paraId="003A0D4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 comprehensive training program focused on content lineage, origin, and provenance information, ensuring that operators and end users are equipped with the necessary knowledge and skills.</w:t>
      </w:r>
    </w:p>
    <w:p w14:paraId="4E1CA2C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B9C9BE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materials and presentations specifically designed for content lineage and provenance training.</w:t>
      </w:r>
    </w:p>
    <w:p w14:paraId="0215FAB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Course outlines detailing topics covered, learning objectives, and expected outcomes for participants.</w:t>
      </w:r>
    </w:p>
    <w:p w14:paraId="203ED88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Attendance records of personnel participating in the training program.</w:t>
      </w:r>
    </w:p>
    <w:p w14:paraId="26057B6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forms completed by participants assessing the quality and effectiveness of the training.</w:t>
      </w:r>
    </w:p>
    <w:p w14:paraId="3B5CE0E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52D1C1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Evaluation of Training Effectiveness</w:t>
      </w:r>
    </w:p>
    <w:p w14:paraId="5E9B893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regular evaluations of the training program's effectiveness by assessing participants' understanding of content lineage and provenance concepts before and after training sessions.</w:t>
      </w:r>
    </w:p>
    <w:p w14:paraId="0FEB6AA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5667B0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Pre- and post-training assessment scores demonstrating changes in participant knowledge regarding content lineage and provenance.</w:t>
      </w:r>
    </w:p>
    <w:p w14:paraId="578B966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surveys analyzing participant perceptions of the training's relevance and clarity.</w:t>
      </w:r>
    </w:p>
    <w:p w14:paraId="211526B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follow-up evaluations assessing participants' ability to apply learned concepts in real-world scenarios.</w:t>
      </w:r>
    </w:p>
    <w:p w14:paraId="4379F5C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any adjustments made to training based on evaluation findings.</w:t>
      </w:r>
    </w:p>
    <w:p w14:paraId="38D74E0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6D84D5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Gap Analysis of Existing Training Programs</w:t>
      </w:r>
    </w:p>
    <w:p w14:paraId="231CA9D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Perform gap analyses of existing training and certification programs to identify areas needing enhancement regarding content lineage, origin, and provenance information.</w:t>
      </w:r>
    </w:p>
    <w:p w14:paraId="1DABD09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36E92B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Gap analysis reports detailing deficiencies in current training methods and content related to content lineage and provenance.</w:t>
      </w:r>
    </w:p>
    <w:p w14:paraId="23FE559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Comparisons of current training programs against best practices or industry standards for lineage and provenance education.</w:t>
      </w:r>
    </w:p>
    <w:p w14:paraId="6F271C2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Stakeholder feedback summaries identifying perceived gaps in training and certification.</w:t>
      </w:r>
    </w:p>
    <w:p w14:paraId="4A71211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planned improvements or modifications to address identified gaps in training.</w:t>
      </w:r>
    </w:p>
    <w:p w14:paraId="710F96D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E19CED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Certification and Competency Verification</w:t>
      </w:r>
    </w:p>
    <w:p w14:paraId="3F21760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certification process for operators and end users that evaluates their competencies in understanding content lineage and provenance, ensuring accountability and expertise in handling AI systems.</w:t>
      </w:r>
    </w:p>
    <w:p w14:paraId="01B90B77"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2F9747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Certification criteria and testing materials that assess knowledge of content lineage and provenance concepts.</w:t>
      </w:r>
    </w:p>
    <w:p w14:paraId="26F53DA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earned certifications by personnel, including issue dates and competencies measured.</w:t>
      </w:r>
    </w:p>
    <w:p w14:paraId="294B841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assessment results for each participant completing the certification process.</w:t>
      </w:r>
    </w:p>
    <w:p w14:paraId="51173E5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certified personnel on the certification process and its applicability to their roles.</w:t>
      </w:r>
    </w:p>
    <w:p w14:paraId="03BEB313"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5E886D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Training Program Refinement</w:t>
      </w:r>
    </w:p>
    <w:p w14:paraId="048AB78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a process for the continuous refinement of the training and certification programs based on participant feedback, evolving industry practices, and emerging challenges in content lineage and provenance.</w:t>
      </w:r>
    </w:p>
    <w:p w14:paraId="58AECD4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50692A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Updates to training materials reflecting the latest best practices and industry standards in content lineage and provenance.</w:t>
      </w:r>
    </w:p>
    <w:p w14:paraId="2834294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periodic reviews conducted to assess the relevance and effectiveness of training programs.</w:t>
      </w:r>
    </w:p>
    <w:p w14:paraId="741FFC6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participant feedback used to inform changes or enhancements to training programs.</w:t>
      </w:r>
    </w:p>
    <w:p w14:paraId="0A23E2E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plans outlining upcoming revisions to the training curriculum based on lessons learned and industry developments.</w:t>
      </w:r>
    </w:p>
    <w:p w14:paraId="1DC5655B"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38CE23EF"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5745536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199E610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6BFC4EE7" w14:textId="77777777" w:rsidTr="005C00A5">
        <w:tc>
          <w:tcPr>
            <w:tcW w:w="1170" w:type="dxa"/>
          </w:tcPr>
          <w:p w14:paraId="6BFC261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434F6D6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5924988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412945DB" w14:textId="77777777" w:rsidTr="005C00A5">
        <w:tc>
          <w:tcPr>
            <w:tcW w:w="1170" w:type="dxa"/>
          </w:tcPr>
          <w:p w14:paraId="496BE84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MG-4.2.2</w:t>
            </w:r>
          </w:p>
        </w:tc>
        <w:tc>
          <w:tcPr>
            <w:tcW w:w="2160" w:type="dxa"/>
          </w:tcPr>
          <w:p w14:paraId="4BBAEF7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Stakeholder Engagement for Improvement</w:t>
            </w:r>
          </w:p>
        </w:tc>
        <w:tc>
          <w:tcPr>
            <w:tcW w:w="6740" w:type="dxa"/>
          </w:tcPr>
          <w:p w14:paraId="5D80A15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regularly engages a wide range of stakeholders (e.g., users, domain experts, affected communities, other relevant AI stakeholders) to gather feedback and insights on the performance, impacts, and potential improvements of its AI systems.</w:t>
            </w:r>
          </w:p>
          <w:p w14:paraId="2ABB2210" w14:textId="77777777" w:rsidR="00963E47" w:rsidRPr="00963E47" w:rsidRDefault="00963E47" w:rsidP="004C3837">
            <w:pPr>
              <w:keepNext/>
              <w:rPr>
                <w:rFonts w:ascii="Aptos" w:hAnsi="Aptos" w:cs="Times New Roman"/>
                <w:b/>
                <w:bCs/>
                <w:color w:val="000000"/>
                <w:sz w:val="20"/>
                <w:szCs w:val="20"/>
              </w:rPr>
            </w:pPr>
          </w:p>
          <w:p w14:paraId="681678E8" w14:textId="77777777" w:rsidR="00963E47" w:rsidRPr="00963E47" w:rsidRDefault="00963E47" w:rsidP="004C3837">
            <w:pPr>
              <w:keepNext/>
              <w:rPr>
                <w:rFonts w:ascii="Aptos" w:hAnsi="Aptos" w:cs="Times New Roman"/>
                <w:b/>
                <w:bCs/>
                <w:color w:val="000000"/>
                <w:sz w:val="20"/>
                <w:szCs w:val="20"/>
              </w:rPr>
            </w:pPr>
            <w:hyperlink r:id="rId237" w:anchor="manage-4-2" w:history="1">
              <w:r w:rsidRPr="00963E47">
                <w:rPr>
                  <w:rFonts w:ascii="Aptos" w:hAnsi="Aptos" w:cs="Times New Roman"/>
                  <w:color w:val="000000"/>
                  <w:sz w:val="20"/>
                  <w:szCs w:val="20"/>
                  <w:u w:val="single"/>
                </w:rPr>
                <w:t>Link to NIST AI RMF Playbook</w:t>
              </w:r>
            </w:hyperlink>
          </w:p>
        </w:tc>
      </w:tr>
    </w:tbl>
    <w:p w14:paraId="6769B9C6"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E08CB40"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126A4CCA"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036108CE" w14:textId="77777777" w:rsidTr="005C00A5">
        <w:trPr>
          <w:tblHeader/>
        </w:trPr>
        <w:tc>
          <w:tcPr>
            <w:tcW w:w="2160" w:type="dxa"/>
            <w:shd w:val="clear" w:color="auto" w:fill="CCDCDC"/>
            <w:vAlign w:val="center"/>
          </w:tcPr>
          <w:p w14:paraId="1310A280"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0036B610"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4DF321B5"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089D5E64" w14:textId="77777777" w:rsidTr="005C00A5">
        <w:tc>
          <w:tcPr>
            <w:tcW w:w="2160" w:type="dxa"/>
            <w:shd w:val="clear" w:color="auto" w:fill="CCDCDC"/>
          </w:tcPr>
          <w:p w14:paraId="3C9B85D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356ACCD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5D4058D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6CDDEC20" w14:textId="77777777" w:rsidTr="005C00A5">
        <w:tc>
          <w:tcPr>
            <w:tcW w:w="2160" w:type="dxa"/>
            <w:shd w:val="clear" w:color="auto" w:fill="CCDCDC"/>
          </w:tcPr>
          <w:p w14:paraId="183AE8D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270330A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06E91D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4B9245AA" w14:textId="77777777" w:rsidTr="005C00A5">
        <w:tc>
          <w:tcPr>
            <w:tcW w:w="2160" w:type="dxa"/>
            <w:shd w:val="clear" w:color="auto" w:fill="CCDCDC"/>
          </w:tcPr>
          <w:p w14:paraId="18B86D9B"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76518F06"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1E8D07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0CA412DE" w14:textId="77777777" w:rsidTr="005C00A5">
        <w:tc>
          <w:tcPr>
            <w:tcW w:w="2160" w:type="dxa"/>
            <w:shd w:val="clear" w:color="auto" w:fill="CCDCDC"/>
          </w:tcPr>
          <w:p w14:paraId="45875BD5"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74DAC26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076018C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continuously engaging a broad range of stakeholders to gather feedback and insights on the performance, impacts, and potential improvements of their AI systems in real-time, with proactive outreach and seamless integration of stakeholder input into the continual improvement process based on data-driven insights and collaborative efforts.</w:t>
            </w:r>
          </w:p>
        </w:tc>
      </w:tr>
    </w:tbl>
    <w:p w14:paraId="0D749070"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42CE1A4D" w14:textId="77777777" w:rsidTr="005C00A5">
        <w:tc>
          <w:tcPr>
            <w:tcW w:w="2250" w:type="dxa"/>
          </w:tcPr>
          <w:p w14:paraId="4BD5DE9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lastRenderedPageBreak/>
              <w:t>AI Principle</w:t>
            </w:r>
          </w:p>
        </w:tc>
        <w:tc>
          <w:tcPr>
            <w:tcW w:w="2520" w:type="dxa"/>
          </w:tcPr>
          <w:p w14:paraId="66C9591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556C9CF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7C8B0DEE" w14:textId="77777777" w:rsidTr="005C00A5">
        <w:tc>
          <w:tcPr>
            <w:tcW w:w="2250" w:type="dxa"/>
          </w:tcPr>
          <w:p w14:paraId="77D3D7C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Fair</w:t>
            </w:r>
          </w:p>
        </w:tc>
        <w:tc>
          <w:tcPr>
            <w:tcW w:w="2520" w:type="dxa"/>
          </w:tcPr>
          <w:p w14:paraId="15091AE0"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Insufficient Stakeholder Engagement</w:t>
            </w:r>
          </w:p>
        </w:tc>
        <w:tc>
          <w:tcPr>
            <w:tcW w:w="5300" w:type="dxa"/>
          </w:tcPr>
          <w:p w14:paraId="1958BE5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Stakeholder engagement on AI performance and impacts is insufficient</w:t>
            </w:r>
          </w:p>
        </w:tc>
      </w:tr>
    </w:tbl>
    <w:p w14:paraId="7DA26D1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B40723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526A4D8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32CC13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Regularly engage a broad range of stakeholders, such as users, domain experts, affected communities, and other relevant AI stakeholders, to gather feedback and insights on the performance, impacts, and potential improvements of AI systems. Establish clear channels and processes for soliciting and capturing stakeholder input, such as surveys, focus groups, or advisory committees.</w:t>
      </w:r>
    </w:p>
    <w:p w14:paraId="76FDCD12"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1B1272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specific procedures for incorporating stakeholder feedback into the continual improvement process, including criteria for prioritizing feedback based on its relevance and potential impact, protocols for validating and acting on feedback, and requirements for documenting and communicating how feedback has been addressed. Ensure that these procedures are designed to promote transparency, accountability, and inclusivity in the improvement process.</w:t>
      </w:r>
    </w:p>
    <w:p w14:paraId="043891BD"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93BAF7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Regularly review and update the organization's resource allocation for AI risk management, considering changes in the AI system's performance, risk profile, operational context, and evolving industry standards. Establish a schedule for conducting these reviews, taking into account the complexity and criticality of the AI system, as well as the pace of change in its operating environment.</w:t>
      </w:r>
    </w:p>
    <w:p w14:paraId="51C754B7"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6709E20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Assign responsibility for conducting these reviews to a designated individual or team, and ensure that they have the necessary expertise and resources to effectively carry out this task. Establish a process for communicating the results of these reviews to relevant stakeholders and for making necessary adjustments to resource allocation based on the findings.</w:t>
      </w:r>
    </w:p>
    <w:p w14:paraId="0130E88F"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C566A6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2A3CAA9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469387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Stakeholder Feedback Collection Process</w:t>
      </w:r>
    </w:p>
    <w:p w14:paraId="03A9519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structured process for collecting feedback from a wide range of stakeholders, ensuring that insights on AI system performance, impacts, and potential improvements are captured systematically.</w:t>
      </w:r>
    </w:p>
    <w:p w14:paraId="11AB74E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9B0AF7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outlining the feedback collection methods used, such as surveys, interviews, or focus groups.</w:t>
      </w:r>
    </w:p>
    <w:p w14:paraId="0A48312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stakeholder engagement sessions, including attendance, agendas, and discussion points.</w:t>
      </w:r>
    </w:p>
    <w:p w14:paraId="0E91DB8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Summaries of feedback gathered from stakeholders, highlighting key themes and areas for improvement.</w:t>
      </w:r>
    </w:p>
    <w:p w14:paraId="0C9F1B9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Communications materials shared with stakeholders explaining how their feedback will be utilized in the improvement process.</w:t>
      </w:r>
    </w:p>
    <w:p w14:paraId="4EF2320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C75AC3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Stakeholder Participation Documentation</w:t>
      </w:r>
    </w:p>
    <w:p w14:paraId="095C1E3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comprehensive records of stakeholder involvement in feedback sessions, documenting contributions, insights, and recommendations received during engagements.</w:t>
      </w:r>
    </w:p>
    <w:p w14:paraId="2DFEBC0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07F3E6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Logs of stakeholder participation in feedback sessions, including names, roles, and affiliations.</w:t>
      </w:r>
    </w:p>
    <w:p w14:paraId="4C8A505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Detailed minutes or notes from each engagement session documenting feedback and suggestions.</w:t>
      </w:r>
    </w:p>
    <w:p w14:paraId="7139A9D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how stakeholder feedback was analyzed and incorporated into decision-making processes.</w:t>
      </w:r>
    </w:p>
    <w:p w14:paraId="4C34B34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summarizing the outcomes of stakeholder engagement related to AI system improvements.</w:t>
      </w:r>
    </w:p>
    <w:p w14:paraId="1CCFA542"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5039A5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 Performance Review Meetings</w:t>
      </w:r>
    </w:p>
    <w:p w14:paraId="56459CE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Schedule and conduct regular performance review meetings with stakeholders to discuss AI system performance, gather insights, and address any concerns or suggestions for improvement.</w:t>
      </w:r>
    </w:p>
    <w:p w14:paraId="47A12FD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0DB4665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agendas and minutes documenting discussions on AI performance and stakeholder insights.</w:t>
      </w:r>
    </w:p>
    <w:p w14:paraId="5CC6729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Attendance records for stakeholders participating in performance review meetings.</w:t>
      </w:r>
    </w:p>
    <w:p w14:paraId="4426EF0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items resulting from meetings that specify improvements to be made based on stakeholder feedback.</w:t>
      </w:r>
    </w:p>
    <w:p w14:paraId="24AD007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Evaluation reports showing how stakeholder input has influenced ongoing AI system performance management.</w:t>
      </w:r>
    </w:p>
    <w:p w14:paraId="1BF89B8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B73FF0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Feedback Mechanism</w:t>
      </w:r>
    </w:p>
    <w:p w14:paraId="1C0CBAF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ongoing mechanisms for stakeholders to provide feedback on AI systems, ensuring that insights are gathered continuously and not just during scheduled sessions.</w:t>
      </w:r>
    </w:p>
    <w:p w14:paraId="2F6C76E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F1992F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Established channels for ongoing feedback collection (e.g., online platforms, suggestion boxes) accessible to all stakeholders.</w:t>
      </w:r>
    </w:p>
    <w:p w14:paraId="4327156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feedback received through these continuous mechanisms, organized by themes or categories.</w:t>
      </w:r>
    </w:p>
    <w:p w14:paraId="4D6CA89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periodic reviews of continuous feedback data to identify emerging issues or requests.</w:t>
      </w:r>
    </w:p>
    <w:p w14:paraId="5C8DA8F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outlining changes made to AI systems in response to ongoing stakeholder feedback.</w:t>
      </w:r>
    </w:p>
    <w:p w14:paraId="4196DC7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394ED4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of Stakeholder Insights into Improvement Plans</w:t>
      </w:r>
    </w:p>
    <w:p w14:paraId="135F255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Integrate stakeholder insights and feedback into the organization’s AI system improvement plans to ensure that enhancements are aligned with the needs and expectations of users and affected communities.</w:t>
      </w:r>
    </w:p>
    <w:p w14:paraId="44285A1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B14016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plans that reflect stakeholder suggestions and outline specific improvements to be implemented in AI systems.</w:t>
      </w:r>
    </w:p>
    <w:p w14:paraId="29860A2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decisions made based on stakeholder input, including justification for selected enhancements.</w:t>
      </w:r>
    </w:p>
    <w:p w14:paraId="1641710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stakeholder review sessions where proposed improvements based on their insights are discussed and validated.</w:t>
      </w:r>
    </w:p>
    <w:p w14:paraId="679A367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Performance metrics showing the effects of implemented changes based on stakeholder feedback on overall system effectiveness.</w:t>
      </w:r>
    </w:p>
    <w:p w14:paraId="22277487"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5EAE32F6"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5BE5F1F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1F8162F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2310EA1E" w14:textId="77777777" w:rsidTr="005C00A5">
        <w:tc>
          <w:tcPr>
            <w:tcW w:w="1170" w:type="dxa"/>
          </w:tcPr>
          <w:p w14:paraId="41BE27F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3711370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2A79F0A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70112614" w14:textId="77777777" w:rsidTr="005C00A5">
        <w:tc>
          <w:tcPr>
            <w:tcW w:w="1170" w:type="dxa"/>
          </w:tcPr>
          <w:p w14:paraId="5AF2390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MG-4.2.3</w:t>
            </w:r>
          </w:p>
        </w:tc>
        <w:tc>
          <w:tcPr>
            <w:tcW w:w="2160" w:type="dxa"/>
          </w:tcPr>
          <w:p w14:paraId="1982508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Feedback Integration and Continuous Improvement</w:t>
            </w:r>
          </w:p>
        </w:tc>
        <w:tc>
          <w:tcPr>
            <w:tcW w:w="6740" w:type="dxa"/>
          </w:tcPr>
          <w:p w14:paraId="37583179" w14:textId="28F84D73"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 xml:space="preserve">The organization integrates feedback from AI </w:t>
            </w:r>
            <w:r w:rsidR="00406CC4">
              <w:rPr>
                <w:rFonts w:ascii="Aptos" w:hAnsi="Aptos" w:cs="Times New Roman"/>
                <w:noProof/>
                <w:color w:val="000000"/>
                <w:sz w:val="20"/>
                <w:szCs w:val="20"/>
              </w:rPr>
              <w:t>stakeholders</w:t>
            </w:r>
            <w:r w:rsidRPr="00963E47">
              <w:rPr>
                <w:rFonts w:ascii="Aptos" w:hAnsi="Aptos" w:cs="Times New Roman"/>
                <w:noProof/>
                <w:color w:val="000000"/>
                <w:sz w:val="20"/>
                <w:szCs w:val="20"/>
              </w:rPr>
              <w:t xml:space="preserve"> and insights from independent oversight into the AI system’s development, deployment, monitoring, and TEVV processes, facilitating effective implementation, user acceptance testing, ongoing monitoring, evaluation, and optimization of AI systems throughout their lifecycle. This integration ensures that measurement data and stakeholder feedback directly inform decisions, enhance system performance, and promote trustworthiness. The framework is designed to support continuous improvements driven by data-driven insights and stakeholder perspectives, ensuring that changes meet user needs and operate as intended.</w:t>
            </w:r>
          </w:p>
          <w:p w14:paraId="4D6EAE0C" w14:textId="77777777" w:rsidR="00963E47" w:rsidRPr="00963E47" w:rsidRDefault="00963E47" w:rsidP="004C3837">
            <w:pPr>
              <w:keepNext/>
              <w:rPr>
                <w:rFonts w:ascii="Aptos" w:hAnsi="Aptos" w:cs="Times New Roman"/>
                <w:b/>
                <w:bCs/>
                <w:color w:val="000000"/>
                <w:sz w:val="20"/>
                <w:szCs w:val="20"/>
              </w:rPr>
            </w:pPr>
          </w:p>
          <w:p w14:paraId="2A17D9F4" w14:textId="77777777" w:rsidR="00963E47" w:rsidRPr="00963E47" w:rsidRDefault="00963E47" w:rsidP="004C3837">
            <w:pPr>
              <w:keepNext/>
              <w:rPr>
                <w:rFonts w:ascii="Aptos" w:hAnsi="Aptos" w:cs="Times New Roman"/>
                <w:b/>
                <w:bCs/>
                <w:color w:val="000000"/>
                <w:sz w:val="20"/>
                <w:szCs w:val="20"/>
              </w:rPr>
            </w:pPr>
            <w:hyperlink r:id="rId238" w:anchor="manage-4-2" w:history="1">
              <w:r w:rsidRPr="00963E47">
                <w:rPr>
                  <w:rFonts w:ascii="Aptos" w:hAnsi="Aptos" w:cs="Times New Roman"/>
                  <w:color w:val="000000"/>
                  <w:sz w:val="20"/>
                  <w:szCs w:val="20"/>
                  <w:u w:val="single"/>
                </w:rPr>
                <w:t>Link to NIST AI RMF Playbook</w:t>
              </w:r>
            </w:hyperlink>
          </w:p>
        </w:tc>
      </w:tr>
    </w:tbl>
    <w:p w14:paraId="5CEEAF32"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BC3FA96"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38713C23"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31159D79" w14:textId="77777777" w:rsidTr="005C00A5">
        <w:trPr>
          <w:tblHeader/>
        </w:trPr>
        <w:tc>
          <w:tcPr>
            <w:tcW w:w="2160" w:type="dxa"/>
            <w:shd w:val="clear" w:color="auto" w:fill="CCDCDC"/>
            <w:vAlign w:val="center"/>
          </w:tcPr>
          <w:p w14:paraId="6B1CD6EA"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4C6DC4CB"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2A238E44"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35B1CF0D" w14:textId="77777777" w:rsidTr="005C00A5">
        <w:tc>
          <w:tcPr>
            <w:tcW w:w="2160" w:type="dxa"/>
            <w:shd w:val="clear" w:color="auto" w:fill="CCDCDC"/>
          </w:tcPr>
          <w:p w14:paraId="2546EB7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2CC4437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005E1E0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F5BACC0" w14:textId="77777777" w:rsidTr="005C00A5">
        <w:tc>
          <w:tcPr>
            <w:tcW w:w="2160" w:type="dxa"/>
            <w:shd w:val="clear" w:color="auto" w:fill="CCDCDC"/>
          </w:tcPr>
          <w:p w14:paraId="0160F288"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7F44EDD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1266732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0C106F53" w14:textId="77777777" w:rsidTr="005C00A5">
        <w:tc>
          <w:tcPr>
            <w:tcW w:w="2160" w:type="dxa"/>
            <w:shd w:val="clear" w:color="auto" w:fill="CCDCDC"/>
          </w:tcPr>
          <w:p w14:paraId="7AFF33F0"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lastRenderedPageBreak/>
              <w:t>Stage 3: Evolving</w:t>
            </w:r>
          </w:p>
        </w:tc>
        <w:tc>
          <w:tcPr>
            <w:tcW w:w="1350" w:type="dxa"/>
          </w:tcPr>
          <w:p w14:paraId="2B78777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78D1FF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382DD4B5" w14:textId="77777777" w:rsidTr="005C00A5">
        <w:tc>
          <w:tcPr>
            <w:tcW w:w="2160" w:type="dxa"/>
            <w:shd w:val="clear" w:color="auto" w:fill="CCDCDC"/>
          </w:tcPr>
          <w:p w14:paraId="6D8B6AC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188CA49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693338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AI systems drive critical decisions and internal model development, requiring formal pipelines to ingest feedback and oversight insights into all lifecycle activities. This integration ensures that improvements and mitigations are consistently implemented and verified, supporting enterprise-wide traceability, accountability, and sustained user trust. Organizations at this stage have advanced, automated processes for the continual improvement of AI systems, with dynamic, data-driven, and measurable activities and metrics for assessing system performance, trustworthiness, and alignment with organizational values in real-time. They proactively engage a wide range of stakeholders to gather feedback and insights on the performance, impacts, and potential improvements of their AI systems, enabling seamless integration and optimization based on evolving needs and collaborative efforts.</w:t>
            </w:r>
          </w:p>
        </w:tc>
      </w:tr>
    </w:tbl>
    <w:p w14:paraId="514602D6"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327B639F" w14:textId="77777777" w:rsidTr="005C00A5">
        <w:tc>
          <w:tcPr>
            <w:tcW w:w="2250" w:type="dxa"/>
          </w:tcPr>
          <w:p w14:paraId="05E7B8D7"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25AAD59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25CFDDC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544656DE" w14:textId="77777777" w:rsidTr="005C00A5">
        <w:tc>
          <w:tcPr>
            <w:tcW w:w="2250" w:type="dxa"/>
          </w:tcPr>
          <w:p w14:paraId="42A9A62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0158D6E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Unintegrated Feedback / Lack of Stakeholder Input Consideration</w:t>
            </w:r>
          </w:p>
        </w:tc>
        <w:tc>
          <w:tcPr>
            <w:tcW w:w="5300" w:type="dxa"/>
          </w:tcPr>
          <w:p w14:paraId="48392B7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Feedback and independent oversight are not integrated into TEVV processes, and the continuous improvement efforts do not consider  stakeholder input</w:t>
            </w:r>
          </w:p>
        </w:tc>
      </w:tr>
    </w:tbl>
    <w:p w14:paraId="297F5CA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611B8D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40EC47C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38B527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Establish clear roles and responsibilities for incorporating feedback and oversight insights into the AI system’s lifecycle, including stakeholders such as system owners, developers, risk management teams, and external oversight bodies. Develop a standardized process for reviewing, prioritizing, and tracking feedback and oversight recommendations based on potential impact, feasibility, and alignment with organizational goals and values. Define specific procedures for collecting, analyzing, and documenting measurement data and stakeholder feedback, supporting ongoing system enhancements aligned with organizational values and overall quality management strategies.  </w:t>
      </w:r>
    </w:p>
    <w:p w14:paraId="52E6CA7C"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7AF2E68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Establish clear timelines and milestones for implementing approved recommendations, assigning ownership and accountability for each action item. Regularly monitor and report on the progress of implementation, using quantitative and qualitative metrics to assess the effectiveness and impact of each improvement or risk mitigation measure. Validate the changes through ongoing testing, evaluation, and monitoring, with a focus on user acceptance testing involving relevant stakeholders to ensure the changes meet user needs and operate as intended. Engage independent oversight to provide an objective assessment of their effectiveness and potential unintended consequences. </w:t>
      </w:r>
    </w:p>
    <w:p w14:paraId="538320C3"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688CB094" w14:textId="0FCF4425"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Communicate the process and results to relevant stakeholders—including AI </w:t>
      </w:r>
      <w:r w:rsidR="00406CC4">
        <w:rPr>
          <w:rFonts w:ascii="Aptos" w:eastAsia="Aptos" w:hAnsi="Aptos" w:cs="Times New Roman"/>
          <w:noProof/>
          <w:color w:val="auto"/>
          <w:kern w:val="2"/>
          <w:sz w:val="20"/>
          <w:szCs w:val="20"/>
          <w14:ligatures w14:val="standardContextual"/>
        </w:rPr>
        <w:t>stakeholders</w:t>
      </w:r>
      <w:r w:rsidRPr="00963E47">
        <w:rPr>
          <w:rFonts w:ascii="Aptos" w:eastAsia="Aptos" w:hAnsi="Aptos" w:cs="Times New Roman"/>
          <w:noProof/>
          <w:color w:val="auto"/>
          <w:kern w:val="2"/>
          <w:sz w:val="20"/>
          <w:szCs w:val="20"/>
          <w14:ligatures w14:val="standardContextual"/>
        </w:rPr>
        <w:t xml:space="preserve"> and oversight bodies—to demonstrate the organization’s commitment to continuous improvement and responsible AI development and deployment. Document all improvement activities, feedback, oversight insights, and testing outcomes in a centralized repository, ensuring it is regularly reviewed and updated as the AI system evolves or new insights emerge. This comprehensive approach promotes ongoing, data-driven, and stakeholder-informed enhancements to AI systems throughout their lifecycle.</w:t>
      </w:r>
    </w:p>
    <w:p w14:paraId="785F1280"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255B88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lastRenderedPageBreak/>
        <w:t xml:space="preserve">Example Controls and Evidence: </w:t>
      </w:r>
    </w:p>
    <w:p w14:paraId="5D95E36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A41825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Structured Feedback Collection Framework</w:t>
      </w:r>
    </w:p>
    <w:p w14:paraId="1E33207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 structured framework for collecting feedback from AI stakeholders throughout the AI system's development and deployment to facilitate multidisciplinary input into process improvements.</w:t>
      </w:r>
    </w:p>
    <w:p w14:paraId="2A71910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1D4C56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outlining the methods and channels used for collecting stakeholder feedback (e.g., surveys, interviews, focus groups).</w:t>
      </w:r>
    </w:p>
    <w:p w14:paraId="3AA5EBC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Collection logs that detail the feedback received, categorized by source and themes.</w:t>
      </w:r>
    </w:p>
    <w:p w14:paraId="0A53896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or reports summarizing insights gathered during feedback sessions with stakeholders.</w:t>
      </w:r>
    </w:p>
    <w:p w14:paraId="41CA6F1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stakeholder communications regarding how their feedback will inform future decisions.</w:t>
      </w:r>
    </w:p>
    <w:p w14:paraId="0E155E57"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4D0E8E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of Stakeholder Input in Development Processes</w:t>
      </w:r>
    </w:p>
    <w:p w14:paraId="3D84A43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Integrate stakeholder feedback and independent oversight insights into the AI system development processes, ensuring that all perspectives are considered during system enhancement.</w:t>
      </w:r>
    </w:p>
    <w:p w14:paraId="249C9CD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73982D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showing how stakeholder feedback has been incorporated into development priorities and project plans.</w:t>
      </w:r>
    </w:p>
    <w:p w14:paraId="645CC49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Version-controlled change logs indicating revisions made based on stakeholder recommendations.</w:t>
      </w:r>
    </w:p>
    <w:p w14:paraId="55EFFE2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highlighting changes made to the AI system development process in response to external insights.</w:t>
      </w:r>
    </w:p>
    <w:p w14:paraId="72F5D15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Confirmation from stakeholders indicating their perspectives were duly considered in development decisions.</w:t>
      </w:r>
    </w:p>
    <w:p w14:paraId="5B6CF92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E9E5102"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Monitoring and Evaluation Mechanisms</w:t>
      </w:r>
    </w:p>
    <w:p w14:paraId="1A96BAC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continuous monitoring and evaluation mechanisms to assess AI system performance, ensuring ongoing integration of feedback for system optimization throughout the lifecycle.</w:t>
      </w:r>
    </w:p>
    <w:p w14:paraId="23874FDD"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90F8B4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Monitoring dashboards displaying real-time performance metrics and feedback data from users and stakeholders.</w:t>
      </w:r>
    </w:p>
    <w:p w14:paraId="045F134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Evaluation reports assessing the effectiveness of AI systems based on monitoring data and stakeholder feedback.</w:t>
      </w:r>
    </w:p>
    <w:p w14:paraId="4E72BD7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internal audits that review the effectiveness of continuous monitoring processes.</w:t>
      </w:r>
    </w:p>
    <w:p w14:paraId="22DB6D0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showing how monitoring insights have led to prompt adjustments or enhancements in system performance.</w:t>
      </w:r>
    </w:p>
    <w:p w14:paraId="56F3580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083CE6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Data-Driven Decision-Making Processes</w:t>
      </w:r>
    </w:p>
    <w:p w14:paraId="6B91BCB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processes that ensure measurement data and stakeholder feedback directly inform decision-making related to AI system improvements and risk management.</w:t>
      </w:r>
    </w:p>
    <w:p w14:paraId="510202B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52EE38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Decision-making frameworks that outline how data and feedback are used to prioritize system updates and changes.</w:t>
      </w:r>
    </w:p>
    <w:p w14:paraId="02DC4D2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meetings where data analysis and stakeholder feedback informed major decisions on system enhancements.</w:t>
      </w:r>
    </w:p>
    <w:p w14:paraId="5887813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plans specifying changes made to the AI system based on data-driven insights and rationale behind those decisions.</w:t>
      </w:r>
    </w:p>
    <w:p w14:paraId="6175FF5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stakeholder reviews validating the alignment of system changes with their input.</w:t>
      </w:r>
    </w:p>
    <w:p w14:paraId="06D198F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1E59525"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Improvement Documentation</w:t>
      </w:r>
    </w:p>
    <w:p w14:paraId="4F97716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document and communicate the outcomes of feedback integration and continuous improvement efforts to maintain transparency and build trust among stakeholders.</w:t>
      </w:r>
    </w:p>
    <w:p w14:paraId="7FE54DE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AEABBE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that summarize how stakeholder feedback has shaped AI system improvements over time.</w:t>
      </w:r>
    </w:p>
    <w:p w14:paraId="3A37B29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lessons learned from feedback processes that inform ongoing enhancements.</w:t>
      </w:r>
    </w:p>
    <w:p w14:paraId="05CAEF4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lastRenderedPageBreak/>
        <w:t>• Meeting records showing discussions on progress made in incorporating feedback into AI system development.</w:t>
      </w:r>
    </w:p>
    <w:p w14:paraId="554A0E8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Communication materials such as newsletters or updates sent to stakeholders detailing changes made in response to their insights.</w:t>
      </w:r>
    </w:p>
    <w:p w14:paraId="151CDA97"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bookmarkStart w:id="80" w:name="_Toc214874825"/>
      <w:r w:rsidRPr="00963E47">
        <w:rPr>
          <w:rFonts w:ascii="Aptos" w:eastAsia="Aptos" w:hAnsi="Aptos" w:cs="Times New Roman"/>
          <w:b/>
          <w:bCs/>
          <w:noProof/>
          <w:color w:val="35256B"/>
          <w:kern w:val="2"/>
          <w:sz w:val="24"/>
          <w14:ligatures w14:val="standardContextual"/>
        </w:rPr>
        <w:t>MANAGE / Ongoing Risk Response / Responding to Incidents</w:t>
      </w:r>
      <w:bookmarkEnd w:id="80"/>
      <w:r w:rsidRPr="00963E47">
        <w:rPr>
          <w:rFonts w:ascii="Aptos" w:eastAsia="Aptos" w:hAnsi="Aptos" w:cs="Times New Roman"/>
          <w:b/>
          <w:bCs/>
          <w:noProof/>
          <w:color w:val="35256B"/>
          <w:kern w:val="2"/>
          <w:sz w:val="24"/>
          <w14:ligatures w14:val="standardContextual"/>
        </w:rPr>
        <w:t xml:space="preserve"> </w:t>
      </w:r>
    </w:p>
    <w:p w14:paraId="0EFAA282"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40390BE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678B4D8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7C12709E" w14:textId="77777777" w:rsidTr="005C00A5">
        <w:tc>
          <w:tcPr>
            <w:tcW w:w="1170" w:type="dxa"/>
          </w:tcPr>
          <w:p w14:paraId="66290F80"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50447FD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6EE9028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23AC2C95" w14:textId="77777777" w:rsidTr="005C00A5">
        <w:tc>
          <w:tcPr>
            <w:tcW w:w="1170" w:type="dxa"/>
          </w:tcPr>
          <w:p w14:paraId="6A77688A"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MG-4.3.1</w:t>
            </w:r>
          </w:p>
        </w:tc>
        <w:tc>
          <w:tcPr>
            <w:tcW w:w="2160" w:type="dxa"/>
          </w:tcPr>
          <w:p w14:paraId="01F25BD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System-Specific Incident Processes</w:t>
            </w:r>
          </w:p>
        </w:tc>
        <w:tc>
          <w:tcPr>
            <w:tcW w:w="6740" w:type="dxa"/>
          </w:tcPr>
          <w:p w14:paraId="49B900B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develops and maintains incident response and recovery processes specific to each AI system, tailored to the system's unique characteristics, potential risks, and operational context. These processes are integrated with existing procedures where practical and include designated roles and responsibilities for key stakeholders. The incident response and recovery processes are regularly reviewed and updated based on actual incidents, simulated scenarios, system performance data, and emerging industry practices, ensuring they remain effective and relevant in addressing the distinct needs of each AI system.</w:t>
            </w:r>
          </w:p>
          <w:p w14:paraId="595C871B" w14:textId="77777777" w:rsidR="00963E47" w:rsidRPr="00963E47" w:rsidRDefault="00963E47" w:rsidP="004C3837">
            <w:pPr>
              <w:keepNext/>
              <w:rPr>
                <w:rFonts w:ascii="Aptos" w:hAnsi="Aptos" w:cs="Times New Roman"/>
                <w:b/>
                <w:bCs/>
                <w:color w:val="000000"/>
                <w:sz w:val="20"/>
                <w:szCs w:val="20"/>
              </w:rPr>
            </w:pPr>
          </w:p>
          <w:p w14:paraId="4DB7EA81" w14:textId="77777777" w:rsidR="00963E47" w:rsidRPr="00963E47" w:rsidRDefault="00963E47" w:rsidP="004C3837">
            <w:pPr>
              <w:keepNext/>
              <w:rPr>
                <w:rFonts w:ascii="Aptos" w:hAnsi="Aptos" w:cs="Times New Roman"/>
                <w:b/>
                <w:bCs/>
                <w:color w:val="000000"/>
                <w:sz w:val="20"/>
                <w:szCs w:val="20"/>
              </w:rPr>
            </w:pPr>
            <w:hyperlink r:id="rId239" w:anchor="manage-4-3" w:history="1">
              <w:r w:rsidRPr="00963E47">
                <w:rPr>
                  <w:rFonts w:ascii="Aptos" w:hAnsi="Aptos" w:cs="Times New Roman"/>
                  <w:color w:val="000000"/>
                  <w:sz w:val="20"/>
                  <w:szCs w:val="20"/>
                  <w:u w:val="single"/>
                </w:rPr>
                <w:t>Link to NIST AI RMF Playbook</w:t>
              </w:r>
            </w:hyperlink>
          </w:p>
        </w:tc>
      </w:tr>
    </w:tbl>
    <w:p w14:paraId="1F37222D"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2126EE38"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6D8D93F6"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77BC7145" w14:textId="77777777" w:rsidTr="005C00A5">
        <w:trPr>
          <w:tblHeader/>
        </w:trPr>
        <w:tc>
          <w:tcPr>
            <w:tcW w:w="2160" w:type="dxa"/>
            <w:shd w:val="clear" w:color="auto" w:fill="CCDCDC"/>
            <w:vAlign w:val="center"/>
          </w:tcPr>
          <w:p w14:paraId="6B72385B"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17E8DBCB"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5B44C167"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042A6DB8" w14:textId="77777777" w:rsidTr="005C00A5">
        <w:tc>
          <w:tcPr>
            <w:tcW w:w="2160" w:type="dxa"/>
            <w:shd w:val="clear" w:color="auto" w:fill="CCDCDC"/>
          </w:tcPr>
          <w:p w14:paraId="135250A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57EC5EB2"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1F9B892"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352D785E" w14:textId="77777777" w:rsidTr="005C00A5">
        <w:tc>
          <w:tcPr>
            <w:tcW w:w="2160" w:type="dxa"/>
            <w:shd w:val="clear" w:color="auto" w:fill="CCDCDC"/>
          </w:tcPr>
          <w:p w14:paraId="6ABFD38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5C23D2C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5597D6C"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13FAC035" w14:textId="77777777" w:rsidTr="005C00A5">
        <w:tc>
          <w:tcPr>
            <w:tcW w:w="2160" w:type="dxa"/>
            <w:shd w:val="clear" w:color="auto" w:fill="CCDCDC"/>
          </w:tcPr>
          <w:p w14:paraId="2C6F89B6"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4E02E39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5FE29F0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2BF5F165" w14:textId="77777777" w:rsidTr="005C00A5">
        <w:tc>
          <w:tcPr>
            <w:tcW w:w="2160" w:type="dxa"/>
            <w:shd w:val="clear" w:color="auto" w:fill="CCDCDC"/>
          </w:tcPr>
          <w:p w14:paraId="15AC78BD"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14A0A914"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283238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developing and maintaining adaptive incident response and recovery processes specific to each AI system, with real-time tailoring to the system's unique characteristics, potential risks, and operational context based on data-driven insights. These processes are continuously reviewed and updated based on actual incidents, simulated scenarios, system performance data, and emerging industry practices, with seamless integration and optimization based on evolving needs and proactive risk management.</w:t>
            </w:r>
          </w:p>
        </w:tc>
      </w:tr>
    </w:tbl>
    <w:p w14:paraId="153A67F7"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1DFE494B" w14:textId="77777777" w:rsidTr="005C00A5">
        <w:tc>
          <w:tcPr>
            <w:tcW w:w="2250" w:type="dxa"/>
          </w:tcPr>
          <w:p w14:paraId="7CB3320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0192A1A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714FD07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15EA5FAA" w14:textId="77777777" w:rsidTr="005C00A5">
        <w:tc>
          <w:tcPr>
            <w:tcW w:w="2250" w:type="dxa"/>
          </w:tcPr>
          <w:p w14:paraId="3F4E874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42A7AD9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Untailored Recovery Processes</w:t>
            </w:r>
          </w:p>
        </w:tc>
        <w:tc>
          <w:tcPr>
            <w:tcW w:w="5300" w:type="dxa"/>
          </w:tcPr>
          <w:p w14:paraId="35BC5A8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Incident response and recovery processes are not tailored per AI system</w:t>
            </w:r>
          </w:p>
        </w:tc>
      </w:tr>
    </w:tbl>
    <w:p w14:paraId="5B64B61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1A9F56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30377B75"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B87FC9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and maintain incident response and recovery processes specific to each AI system, tailored to the system's unique characteristics, potential risks, and operational context. These processes should be designed to minimize the impact of incidents on the organization and its stakeholders, and to ensure timely and effective recovery and restoration of normal operations.</w:t>
      </w:r>
    </w:p>
    <w:p w14:paraId="0AF1F278"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7EEF8F4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Regularly review and update AI system-specific incident response processes based on actual incidents, simulated scenarios, system performance data, and emerging industry practices. Engage relevant stakeholders, such as system </w:t>
      </w:r>
      <w:r w:rsidRPr="00963E47">
        <w:rPr>
          <w:rFonts w:ascii="Aptos" w:eastAsia="Aptos" w:hAnsi="Aptos" w:cs="Times New Roman"/>
          <w:noProof/>
          <w:color w:val="auto"/>
          <w:kern w:val="2"/>
          <w:sz w:val="20"/>
          <w:szCs w:val="20"/>
          <w14:ligatures w14:val="standardContextual"/>
        </w:rPr>
        <w:lastRenderedPageBreak/>
        <w:t>owners, users, and subject matter experts, in the review process to ensure that processes remain relevant and effective.</w:t>
      </w:r>
    </w:p>
    <w:p w14:paraId="47578A27"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45BD66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Ensure that AI system-specific incident response processes are properly integrated with the organization's overall incident management framework, and that there are clear protocols for escalation, communication, and coordination between system-level and organization-level incident response teams.</w:t>
      </w:r>
    </w:p>
    <w:p w14:paraId="523D1E42"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DBEB8F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68C9F62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6F41E2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Development of System-Specific Incident Response Plans</w:t>
      </w:r>
    </w:p>
    <w:p w14:paraId="7E350FD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Create tailored incident response and recovery plans for each AI system, reflecting their unique characteristics, operational context, and potential risks.</w:t>
      </w:r>
    </w:p>
    <w:p w14:paraId="54AE616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0DACD2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incident response plans for each AI system, outlining specific procedures and protocols.</w:t>
      </w:r>
    </w:p>
    <w:p w14:paraId="24FE631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Risk assessments that inform the tailored approaches in the incident response plans.</w:t>
      </w:r>
    </w:p>
    <w:p w14:paraId="4E2C02C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stakeholder reviews and feedback sessions on the adequacy of the response plans.</w:t>
      </w:r>
    </w:p>
    <w:p w14:paraId="0972960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Flowcharts illustrating the incident response process specific to each AI system, highlighting unique steps and considerations.</w:t>
      </w:r>
    </w:p>
    <w:p w14:paraId="0BF37F2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7622D3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with Existing Incident Management Procedures</w:t>
      </w:r>
    </w:p>
    <w:p w14:paraId="2C6CC72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Ensure that AI system incident response processes are integrated with existing organizational incident management procedures to streamline incident handling.</w:t>
      </w:r>
    </w:p>
    <w:p w14:paraId="64221EC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C02B34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detailing how AI-specific incident processes align with broader organizational incident management frameworks.</w:t>
      </w:r>
    </w:p>
    <w:p w14:paraId="5EA534A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cross-functional meetings discussing the integration of AI incident processes into existing procedures.</w:t>
      </w:r>
    </w:p>
    <w:p w14:paraId="02E13CB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Communication logs reflecting updates shared with personnel regarding the integration of procedures.</w:t>
      </w:r>
    </w:p>
    <w:p w14:paraId="15E3EB3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Compliance checklists confirming alignment of AI incident processes with organizational policies.</w:t>
      </w:r>
    </w:p>
    <w:p w14:paraId="63C44F1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D1A09B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Designation of Roles and Responsibilities</w:t>
      </w:r>
    </w:p>
    <w:p w14:paraId="6AF41A8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and document clear roles and responsibilities for key stakeholders involved in incident response and recovery processes related to AI systems.</w:t>
      </w:r>
    </w:p>
    <w:p w14:paraId="31A9C37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8BCAF2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Responsibility matrices delineating specific roles and responsibilities for stakeholders during AI incident responses.</w:t>
      </w:r>
    </w:p>
    <w:p w14:paraId="59976B5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Job descriptions that outline the expectations and duties related to incident management for involved team members.</w:t>
      </w:r>
    </w:p>
    <w:p w14:paraId="20FDC71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training sessions conducted to ensure stakeholders understand their roles in incident response.</w:t>
      </w:r>
    </w:p>
    <w:p w14:paraId="42CB991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Approval records demonstrating that all stakeholders have acknowledged and accepted their assigned responsibilities.</w:t>
      </w:r>
    </w:p>
    <w:p w14:paraId="17BC079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37C8466"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 Review and Update of Incident Response Processes</w:t>
      </w:r>
    </w:p>
    <w:p w14:paraId="7AF014A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regular reviews of incident response and recovery processes to incorporate lessons learned, incident data, and emerging industry practices, ensuring these processes remain relevant and effective.</w:t>
      </w:r>
    </w:p>
    <w:p w14:paraId="6754E4B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ED82EF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Review schedules detailing when incident response processes are evaluated and updated.</w:t>
      </w:r>
    </w:p>
    <w:p w14:paraId="068E2FF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summarizing findings from reviews, including recommendations for improvements to the response plans.</w:t>
      </w:r>
    </w:p>
    <w:p w14:paraId="17D3E59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Logs of meetings discussing changes made to incident response processes based on actual incidents and lessons learned.</w:t>
      </w:r>
    </w:p>
    <w:p w14:paraId="371B7BD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training or workshops carried out to communicate updates to incident response processes.</w:t>
      </w:r>
    </w:p>
    <w:p w14:paraId="3469CFF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A5C757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Simulated Incident Scenarios for Testing</w:t>
      </w:r>
    </w:p>
    <w:p w14:paraId="2814748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simulated incident scenarios to test the effectiveness of incident response plans for AI systems, ensuring readiness for actual events and identifying areas for improvement.</w:t>
      </w:r>
    </w:p>
    <w:p w14:paraId="33C6843B"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1CB9F9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simulation exercises, including scenarios conducted, participants involved, and outcomes observed.</w:t>
      </w:r>
    </w:p>
    <w:p w14:paraId="5BB5C9E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After-action reports evaluating the performance of the incident response team during simulations, including identified gaps and strengths.</w:t>
      </w:r>
    </w:p>
    <w:p w14:paraId="68108F2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items derived from simulation exercises detailing improvements to be made in response protocols.</w:t>
      </w:r>
    </w:p>
    <w:p w14:paraId="5E50568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stakeholder feedback on the effectiveness of the simulation exercises and insights for future training.</w:t>
      </w:r>
    </w:p>
    <w:p w14:paraId="4B1576CD"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117B81EC"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4A34005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47FDFFF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41C42419" w14:textId="77777777" w:rsidTr="005C00A5">
        <w:tc>
          <w:tcPr>
            <w:tcW w:w="1170" w:type="dxa"/>
          </w:tcPr>
          <w:p w14:paraId="76528CCF"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57F0E3B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4F5D1A3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59E59BC7" w14:textId="77777777" w:rsidTr="005C00A5">
        <w:tc>
          <w:tcPr>
            <w:tcW w:w="1170" w:type="dxa"/>
          </w:tcPr>
          <w:p w14:paraId="1CA9A4A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MG-4.3.2</w:t>
            </w:r>
          </w:p>
        </w:tc>
        <w:tc>
          <w:tcPr>
            <w:tcW w:w="2160" w:type="dxa"/>
          </w:tcPr>
          <w:p w14:paraId="331F79A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Centralized Incident Repository and Analysis</w:t>
            </w:r>
          </w:p>
        </w:tc>
        <w:tc>
          <w:tcPr>
            <w:tcW w:w="6740" w:type="dxa"/>
          </w:tcPr>
          <w:p w14:paraId="598A0E3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maintains a centralized database for tracking AI system incidents and errors, including details on the nature of incidents, potential impact, affected parties, and response steps taken, and analyzes this data across all its AI systems to identify common errors, trends, and patterns, enabling proactive risk management and continuous improvement of AI incident response processes.</w:t>
            </w:r>
          </w:p>
          <w:p w14:paraId="204F85E8" w14:textId="77777777" w:rsidR="00963E47" w:rsidRPr="00963E47" w:rsidRDefault="00963E47" w:rsidP="004C3837">
            <w:pPr>
              <w:keepNext/>
              <w:rPr>
                <w:rFonts w:ascii="Aptos" w:hAnsi="Aptos" w:cs="Times New Roman"/>
                <w:b/>
                <w:bCs/>
                <w:color w:val="000000"/>
                <w:sz w:val="20"/>
                <w:szCs w:val="20"/>
              </w:rPr>
            </w:pPr>
          </w:p>
          <w:p w14:paraId="25D0E4C8" w14:textId="77777777" w:rsidR="00963E47" w:rsidRPr="00963E47" w:rsidRDefault="00963E47" w:rsidP="004C3837">
            <w:pPr>
              <w:keepNext/>
              <w:rPr>
                <w:rFonts w:ascii="Aptos" w:hAnsi="Aptos" w:cs="Times New Roman"/>
                <w:b/>
                <w:bCs/>
                <w:color w:val="000000"/>
                <w:sz w:val="20"/>
                <w:szCs w:val="20"/>
              </w:rPr>
            </w:pPr>
            <w:hyperlink r:id="rId240" w:anchor="manage-4-3" w:history="1">
              <w:r w:rsidRPr="00963E47">
                <w:rPr>
                  <w:rFonts w:ascii="Aptos" w:hAnsi="Aptos" w:cs="Times New Roman"/>
                  <w:color w:val="000000"/>
                  <w:sz w:val="20"/>
                  <w:szCs w:val="20"/>
                  <w:u w:val="single"/>
                </w:rPr>
                <w:t>Link to NIST AI RMF Playbook</w:t>
              </w:r>
            </w:hyperlink>
          </w:p>
        </w:tc>
      </w:tr>
    </w:tbl>
    <w:p w14:paraId="58961A4D"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117BE33A"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58C8E715"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40E66ED2" w14:textId="77777777" w:rsidTr="005C00A5">
        <w:trPr>
          <w:tblHeader/>
        </w:trPr>
        <w:tc>
          <w:tcPr>
            <w:tcW w:w="2160" w:type="dxa"/>
            <w:shd w:val="clear" w:color="auto" w:fill="CCDCDC"/>
            <w:vAlign w:val="center"/>
          </w:tcPr>
          <w:p w14:paraId="2E56079E"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356EFCF5"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7DEB248F"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3075848A" w14:textId="77777777" w:rsidTr="005C00A5">
        <w:tc>
          <w:tcPr>
            <w:tcW w:w="2160" w:type="dxa"/>
            <w:shd w:val="clear" w:color="auto" w:fill="CCDCDC"/>
          </w:tcPr>
          <w:p w14:paraId="6336454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340CB09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5DED3F0"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2D29C08" w14:textId="77777777" w:rsidTr="005C00A5">
        <w:tc>
          <w:tcPr>
            <w:tcW w:w="2160" w:type="dxa"/>
            <w:shd w:val="clear" w:color="auto" w:fill="CCDCDC"/>
          </w:tcPr>
          <w:p w14:paraId="276A809F"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3BD5091C"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6CB5D9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2191B5C" w14:textId="77777777" w:rsidTr="005C00A5">
        <w:tc>
          <w:tcPr>
            <w:tcW w:w="2160" w:type="dxa"/>
            <w:shd w:val="clear" w:color="auto" w:fill="CCDCDC"/>
          </w:tcPr>
          <w:p w14:paraId="14B8DD0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13038A8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09E6B0CB"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6951F502" w14:textId="77777777" w:rsidTr="005C00A5">
        <w:tc>
          <w:tcPr>
            <w:tcW w:w="2160" w:type="dxa"/>
            <w:shd w:val="clear" w:color="auto" w:fill="CCDCDC"/>
          </w:tcPr>
          <w:p w14:paraId="483B7A6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2CD497EB"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2D4D08F"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maintaining a dynamic, real-time centralized database for tracking AI system incidents and errors, with comprehensive details on the nature of incidents, potential impact, affected parties, and response steps taken continuously updated based on data-driven insights. This data is proactively analyzed across all AI systems to identify common errors, trends, and patterns, with seamless integration and optimization of proactive risk management and continuous improvement of AI incident response processes based on evolving needs and emerging best practices.</w:t>
            </w:r>
          </w:p>
        </w:tc>
      </w:tr>
    </w:tbl>
    <w:p w14:paraId="08313FB2"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404FD7E5" w14:textId="77777777" w:rsidTr="005C00A5">
        <w:tc>
          <w:tcPr>
            <w:tcW w:w="2250" w:type="dxa"/>
          </w:tcPr>
          <w:p w14:paraId="64654DB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1D62DB84"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748C2AB8"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06E559B9" w14:textId="77777777" w:rsidTr="005C00A5">
        <w:tc>
          <w:tcPr>
            <w:tcW w:w="2250" w:type="dxa"/>
          </w:tcPr>
          <w:p w14:paraId="521A3A3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5337470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Incomplete Incident Tracking</w:t>
            </w:r>
          </w:p>
        </w:tc>
        <w:tc>
          <w:tcPr>
            <w:tcW w:w="5300" w:type="dxa"/>
          </w:tcPr>
          <w:p w14:paraId="0AAC166F"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Centralized incident tracking and analysis across AI systems are incomplete or absent</w:t>
            </w:r>
          </w:p>
        </w:tc>
      </w:tr>
    </w:tbl>
    <w:p w14:paraId="27AFC6EE"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1D6F5F3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54A3C69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A07AA3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Maintain a centralized database for tracking AI system incidents and errors, including details on the nature of incidents, potential impact, affected parties, and response steps taken. Ensure that this database is properly secured, maintained, and accessible to authorized personnel.</w:t>
      </w:r>
    </w:p>
    <w:p w14:paraId="0319BB67"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D37137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Regularly analyze incident data across all AI systems to identify common errors, trends, and patterns. Use this analysis to inform proactive risk management efforts, such as identifying potential vulnerabilities, prioritizing risk mitigation strategies, and allocating resources to high-risk areas.</w:t>
      </w:r>
    </w:p>
    <w:p w14:paraId="14F2AD27"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3CE9715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Leverage incident data analysis to continuously improve AI incident response processes, such as by identifying opportunities for automation, streamlining communication channels, or enhancing training and awareness programs. Ensure that improvements are properly documented, communicated, and integrated into the organization's overall incident management framework.</w:t>
      </w:r>
    </w:p>
    <w:p w14:paraId="62AF2DA7"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7577439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7B6A107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F058543"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Centralized Incident Database Implementation</w:t>
      </w:r>
    </w:p>
    <w:p w14:paraId="01D6167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and maintain a centralized database for tracking AI system incidents and errors, ensuring comprehensive documentation for each incident, including details on nature, impact, affected parties, and response steps taken.</w:t>
      </w:r>
    </w:p>
    <w:p w14:paraId="0D286C6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2D3ACD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the design and structure of the centralized incident database, including data fields and types of incidents recorded.</w:t>
      </w:r>
    </w:p>
    <w:p w14:paraId="6D99D95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Regularly updated records within the database showing all reported incidents and the details associated with each.</w:t>
      </w:r>
    </w:p>
    <w:p w14:paraId="42346A4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Access logs indicating who is managing and updating the incident database.</w:t>
      </w:r>
    </w:p>
    <w:p w14:paraId="6FDCEC31"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generated from the database summarizing incidents by type, frequency, and impact.</w:t>
      </w:r>
    </w:p>
    <w:p w14:paraId="095E16EE"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9A2572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Data Analysis for Incident Insights</w:t>
      </w:r>
    </w:p>
    <w:p w14:paraId="63F5E02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Analyze data collected in the centralized incident database to identify common errors, trends, and patterns across all AI systems, enabling proactive risk management.</w:t>
      </w:r>
    </w:p>
    <w:p w14:paraId="6AA47375"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1EE3A0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Analytical reports detailing trends and patterns revealed through data analysis of incident records.</w:t>
      </w:r>
    </w:p>
    <w:p w14:paraId="6B35E9C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Visual representations (charts or graphs) exhibiting common errors and their frequency across AI systems.</w:t>
      </w:r>
    </w:p>
    <w:p w14:paraId="0E57389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Comparative analyses showing the correlation between incident types and system performance issues.</w:t>
      </w:r>
    </w:p>
    <w:p w14:paraId="4322A78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data analysis methodologies employed, including statistical tools and techniques used.</w:t>
      </w:r>
    </w:p>
    <w:p w14:paraId="238212D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019239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Incident Response Review and Improvement</w:t>
      </w:r>
    </w:p>
    <w:p w14:paraId="6F77F44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evaluate incident response actions documented in the centralized database to identify areas of improvement and implement enhancements to incident management practices.</w:t>
      </w:r>
    </w:p>
    <w:p w14:paraId="67E35B7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83931C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review meetings discussing the effectiveness of past incident responses and identified areas for improvement.</w:t>
      </w:r>
    </w:p>
    <w:p w14:paraId="6536C28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plans outlining steps taken to enhance incident response protocols based on evaluations conducted.</w:t>
      </w:r>
    </w:p>
    <w:p w14:paraId="00D1BA3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collected from incident response team members regarding the adequacy of response measures and lessons learned.</w:t>
      </w:r>
    </w:p>
    <w:p w14:paraId="08E0BB07"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modifications made to incident response procedures as a result of review findings.</w:t>
      </w:r>
    </w:p>
    <w:p w14:paraId="3073AB20"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078B6B7"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Stakeholder Communication and Reporting</w:t>
      </w:r>
    </w:p>
    <w:p w14:paraId="120662A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Develop a process for regularly communicating findings from incident analysis to stakeholders, fostering transparency and collaboration in risk management efforts.</w:t>
      </w:r>
    </w:p>
    <w:p w14:paraId="1A02C26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6E8FCA6"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shared with stakeholders detailing the outcomes of incident analysis and any identified trends.</w:t>
      </w:r>
    </w:p>
    <w:p w14:paraId="6331699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from stakeholder discussions where incident reports and strategies were presented and reviewed.</w:t>
      </w:r>
    </w:p>
    <w:p w14:paraId="79AC6DF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Communication logs showing the distribution of incident analysis reports to relevant parties.</w:t>
      </w:r>
    </w:p>
    <w:p w14:paraId="6702973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forms from stakeholders evaluating the clarity and helpfulness of the communicated incident findings.</w:t>
      </w:r>
    </w:p>
    <w:p w14:paraId="696FB26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D1B232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Improvement Processes</w:t>
      </w:r>
    </w:p>
    <w:p w14:paraId="152183C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continuous improvement processes that leverage insights from incident data analysis to refine AI incident response strategies and enhance overall system reliability.</w:t>
      </w:r>
    </w:p>
    <w:p w14:paraId="41C99B66"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E5B68A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Documented continuous improvement action plans that outline initiatives derived from incident data analyses.</w:t>
      </w:r>
    </w:p>
    <w:p w14:paraId="43CB9FC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workshops or training sessions conducted to disseminate lessons learned from incident analysis to team members.</w:t>
      </w:r>
    </w:p>
    <w:p w14:paraId="75BD2A3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Metrics comparing incident occurrences and response effectiveness before and after implementing improvements.</w:t>
      </w:r>
    </w:p>
    <w:p w14:paraId="7508B40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illustrating how changes made based on incident analysis have enhanced system performance or reduced future incidents.</w:t>
      </w:r>
    </w:p>
    <w:p w14:paraId="69EE5D4F"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787E7C88"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277C6FA2"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6BD3680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74AB8F6B" w14:textId="77777777" w:rsidTr="005C00A5">
        <w:tc>
          <w:tcPr>
            <w:tcW w:w="1170" w:type="dxa"/>
          </w:tcPr>
          <w:p w14:paraId="2849B32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2E6A890E"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4818A62B"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56086017" w14:textId="77777777" w:rsidTr="005C00A5">
        <w:tc>
          <w:tcPr>
            <w:tcW w:w="1170" w:type="dxa"/>
          </w:tcPr>
          <w:p w14:paraId="74A9E6D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MG-4.3.3</w:t>
            </w:r>
          </w:p>
        </w:tc>
        <w:tc>
          <w:tcPr>
            <w:tcW w:w="2160" w:type="dxa"/>
          </w:tcPr>
          <w:p w14:paraId="350ABB2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Incident Communication and Reporting</w:t>
            </w:r>
          </w:p>
        </w:tc>
        <w:tc>
          <w:tcPr>
            <w:tcW w:w="6740" w:type="dxa"/>
          </w:tcPr>
          <w:p w14:paraId="77BB6FC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responds to, recovers from, and communicates AI system incidents and errors to relevant AI stakeholders, including affected communities, in a timely, transparent, and accessible manner, with defined roles and responsibilities for incident management, escalation, and communication.</w:t>
            </w:r>
          </w:p>
          <w:p w14:paraId="6CBD3675" w14:textId="77777777" w:rsidR="00963E47" w:rsidRPr="00963E47" w:rsidRDefault="00963E47" w:rsidP="004C3837">
            <w:pPr>
              <w:keepNext/>
              <w:rPr>
                <w:rFonts w:ascii="Aptos" w:hAnsi="Aptos" w:cs="Times New Roman"/>
                <w:b/>
                <w:bCs/>
                <w:color w:val="000000"/>
                <w:sz w:val="20"/>
                <w:szCs w:val="20"/>
              </w:rPr>
            </w:pPr>
          </w:p>
          <w:p w14:paraId="31DF13D3" w14:textId="77777777" w:rsidR="00963E47" w:rsidRPr="00963E47" w:rsidRDefault="00963E47" w:rsidP="004C3837">
            <w:pPr>
              <w:keepNext/>
              <w:rPr>
                <w:rFonts w:ascii="Aptos" w:hAnsi="Aptos" w:cs="Times New Roman"/>
                <w:b/>
                <w:bCs/>
                <w:color w:val="000000"/>
                <w:sz w:val="20"/>
                <w:szCs w:val="20"/>
              </w:rPr>
            </w:pPr>
            <w:hyperlink r:id="rId241" w:anchor="manage-4-3" w:history="1">
              <w:r w:rsidRPr="00963E47">
                <w:rPr>
                  <w:rFonts w:ascii="Aptos" w:hAnsi="Aptos" w:cs="Times New Roman"/>
                  <w:color w:val="000000"/>
                  <w:sz w:val="20"/>
                  <w:szCs w:val="20"/>
                  <w:u w:val="single"/>
                </w:rPr>
                <w:t>Link to NIST AI RMF Playbook</w:t>
              </w:r>
            </w:hyperlink>
          </w:p>
        </w:tc>
      </w:tr>
    </w:tbl>
    <w:p w14:paraId="1A5B356A"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81CDBEE"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462E0AAF"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439B0BDE" w14:textId="77777777" w:rsidTr="005C00A5">
        <w:trPr>
          <w:tblHeader/>
        </w:trPr>
        <w:tc>
          <w:tcPr>
            <w:tcW w:w="2160" w:type="dxa"/>
            <w:shd w:val="clear" w:color="auto" w:fill="CCDCDC"/>
            <w:vAlign w:val="center"/>
          </w:tcPr>
          <w:p w14:paraId="6F5CB184"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5212FBE7"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3D56BCF0"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19242AEA" w14:textId="77777777" w:rsidTr="005C00A5">
        <w:tc>
          <w:tcPr>
            <w:tcW w:w="2160" w:type="dxa"/>
            <w:shd w:val="clear" w:color="auto" w:fill="CCDCDC"/>
          </w:tcPr>
          <w:p w14:paraId="2E2324D5"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1548C96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2463864E"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786B5E1F" w14:textId="77777777" w:rsidTr="005C00A5">
        <w:tc>
          <w:tcPr>
            <w:tcW w:w="2160" w:type="dxa"/>
            <w:shd w:val="clear" w:color="auto" w:fill="CCDCDC"/>
          </w:tcPr>
          <w:p w14:paraId="1B8F1EE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5CA1AA8F"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41190897"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DE89866" w14:textId="77777777" w:rsidTr="005C00A5">
        <w:tc>
          <w:tcPr>
            <w:tcW w:w="2160" w:type="dxa"/>
            <w:shd w:val="clear" w:color="auto" w:fill="CCDCDC"/>
          </w:tcPr>
          <w:p w14:paraId="4A06C03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00093961"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7CEAFC9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2B3B59F7" w14:textId="77777777" w:rsidTr="005C00A5">
        <w:tc>
          <w:tcPr>
            <w:tcW w:w="2160" w:type="dxa"/>
            <w:shd w:val="clear" w:color="auto" w:fill="CCDCDC"/>
          </w:tcPr>
          <w:p w14:paraId="3F2B786A"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01B761EA"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7333F498"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advanced, automated processes for responding to, recovering from, and communicating AI system incidents and errors to relevant AI stakeholders, including affected communities, in real-time, with dynamic, data-driven approaches that ensure timely, transparent, and accessible communication based on evolving needs and insights. Roles and responsibilities for incident management, escalation, and communication are seamlessly integrated into organizational processes and culture, ensuring proactive and effective action when necessary.</w:t>
            </w:r>
          </w:p>
        </w:tc>
      </w:tr>
    </w:tbl>
    <w:p w14:paraId="1EF7351F"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0A19F071" w14:textId="77777777" w:rsidTr="005C00A5">
        <w:tc>
          <w:tcPr>
            <w:tcW w:w="2250" w:type="dxa"/>
          </w:tcPr>
          <w:p w14:paraId="0CBD985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60891BC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06FBEF5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7945475E" w14:textId="77777777" w:rsidTr="005C00A5">
        <w:tc>
          <w:tcPr>
            <w:tcW w:w="2250" w:type="dxa"/>
          </w:tcPr>
          <w:p w14:paraId="2029E0FD"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01A91DC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Delayed Incident Actions</w:t>
            </w:r>
          </w:p>
        </w:tc>
        <w:tc>
          <w:tcPr>
            <w:tcW w:w="5300" w:type="dxa"/>
          </w:tcPr>
          <w:p w14:paraId="4FE758C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Incident communication and recovery actions are delayed or nontransparent</w:t>
            </w:r>
          </w:p>
        </w:tc>
      </w:tr>
    </w:tbl>
    <w:p w14:paraId="71CFE99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0413D3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71D64E74"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458CB26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xml:space="preserve">Establish clear and well-documented processes for responding to, recovering from, and communicating AI system incidents and errors to relevant AI stakeholders, including affected communities. These processes should be </w:t>
      </w:r>
      <w:r w:rsidRPr="00963E47">
        <w:rPr>
          <w:rFonts w:ascii="Aptos" w:eastAsia="Aptos" w:hAnsi="Aptos" w:cs="Times New Roman"/>
          <w:noProof/>
          <w:color w:val="auto"/>
          <w:kern w:val="2"/>
          <w:sz w:val="20"/>
          <w:szCs w:val="20"/>
          <w14:ligatures w14:val="standardContextual"/>
        </w:rPr>
        <w:lastRenderedPageBreak/>
        <w:t>designed to ensure timely, transparent, and accessible communication, and should clearly define roles and responsibilities for incident management, escalation, and communication.</w:t>
      </w:r>
    </w:p>
    <w:p w14:paraId="41A5C3DC"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0F57949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specific procedures for each stage of the incident response process, including incident detection and identification, initial response and containment, investigation and diagnosis, recovery and remediation, and post-incident review and learning. Ensure that these procedures are aligned with the organization's overall incident management framework and best practices.</w:t>
      </w:r>
    </w:p>
    <w:p w14:paraId="2DECD54D"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71BFC063"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Provide training and resources to ensure that all relevant personnel are equipped to effectively execute their roles and responsibilities in the incident response process. Regularly review and update the incident response processes and documentation to ensure they remain effective and aligned with evolving risks and organizational needs.</w:t>
      </w:r>
    </w:p>
    <w:p w14:paraId="644498DD"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36A93CB7"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158AF79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F4873A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Incident Communication Protocols</w:t>
      </w:r>
    </w:p>
    <w:p w14:paraId="6988CE4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clear protocols for responding to and communicating AI system incidents and errors to relevant AI Stakeholders and affected communities, ensuring timely and consistent information flow.</w:t>
      </w:r>
    </w:p>
    <w:p w14:paraId="405ECED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030EAE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Documented incident communication protocols outlining procedures and timelines for reporting incidents.</w:t>
      </w:r>
    </w:p>
    <w:p w14:paraId="3FB0D55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Communication templates for different incident types, ensuring clarity and consistency in messaging.</w:t>
      </w:r>
    </w:p>
    <w:p w14:paraId="7DF47B1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communications sent to stakeholders during past incidents, including timestamps and content.</w:t>
      </w:r>
    </w:p>
    <w:p w14:paraId="2723D69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stakeholders regarding the clarity and effectiveness of incident communication.</w:t>
      </w:r>
    </w:p>
    <w:p w14:paraId="24EC043F"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D6BB0DE"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Defined Roles and Responsibilities</w:t>
      </w:r>
    </w:p>
    <w:p w14:paraId="776CEF2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Clearly define roles and responsibilities for personnel involved in incident management, escalation, and communication to ensure efficient handling of AI system incidents.</w:t>
      </w:r>
    </w:p>
    <w:p w14:paraId="2920192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F714FB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RACI (Responsible, Accountable, Consulted, Informed) charts outlining roles related to incident management and communication procedures.</w:t>
      </w:r>
    </w:p>
    <w:p w14:paraId="490C374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Job descriptions highlighting specific duties and expectations for team members involved in incident response.</w:t>
      </w:r>
    </w:p>
    <w:p w14:paraId="74B1C58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Training materials used to ensure all personnel understand their responsibilities during incidents.</w:t>
      </w:r>
    </w:p>
    <w:p w14:paraId="62F2EBD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training sessions conducted to clarify roles and responsibilities for incident management.</w:t>
      </w:r>
    </w:p>
    <w:p w14:paraId="1C4E41E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014296CF"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Timeliness of Incident Responses</w:t>
      </w:r>
    </w:p>
    <w:p w14:paraId="72A0218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processes to ensure timely response and communication following AI system incidents, with defined escalation paths for urgent situations.</w:t>
      </w:r>
    </w:p>
    <w:p w14:paraId="0433C0F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507F9A1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Logs tracking the time taken from incident detection to initial communication with stakeholders.</w:t>
      </w:r>
    </w:p>
    <w:p w14:paraId="4A46C7E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incidents and their categorizations to determine urgency and appropriate response protocols.</w:t>
      </w:r>
    </w:p>
    <w:p w14:paraId="186F020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detailing the escalation paths for different types of incidents to ensure prompt action.</w:t>
      </w:r>
    </w:p>
    <w:p w14:paraId="75AE2AC6"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internal teams assessing the timeliness of incident responses and any challenges faced.</w:t>
      </w:r>
    </w:p>
    <w:p w14:paraId="35ABD26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BB3CFF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Accessibility of Incident Information</w:t>
      </w:r>
    </w:p>
    <w:p w14:paraId="5C3D73E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Ensure that all communicated incident information is presented in an accessible manner for multidisciplinary audiences, including non-technical stakeholders and affected communities.</w:t>
      </w:r>
    </w:p>
    <w:p w14:paraId="3C93F12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296702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communications tailored to different audiences, demonstrating language adjustments for clarity.</w:t>
      </w:r>
    </w:p>
    <w:p w14:paraId="3058867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Assessment reports evaluating the effectiveness of incident communication in reaching all relevant stakeholders.</w:t>
      </w:r>
    </w:p>
    <w:p w14:paraId="4F2B735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Samples of user-friendly incident summaries or infographics used during incidents.</w:t>
      </w:r>
    </w:p>
    <w:p w14:paraId="50F406CD"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surveys from stakeholders regarding their understanding of incident information provided.</w:t>
      </w:r>
    </w:p>
    <w:p w14:paraId="3CB5C38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241B292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Post-Incident Review and Continuous Improvement</w:t>
      </w:r>
    </w:p>
    <w:p w14:paraId="410764F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post-incident reviews to evaluate the effectiveness of the communication and response strategies, incorporating lessons learned to improve future incident management processes.</w:t>
      </w:r>
    </w:p>
    <w:p w14:paraId="53B9F5E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201AACE1"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Documented post-incident review reports that summarize findings, including communication effectiveness and response times.</w:t>
      </w:r>
    </w:p>
    <w:p w14:paraId="3A66FC0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items developed from review meetings that outline improvements to be implemented in the incident response process.</w:t>
      </w:r>
    </w:p>
    <w:p w14:paraId="1BE016B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collected from stakeholders regarding the handling of the incident and communication provided.</w:t>
      </w:r>
    </w:p>
    <w:p w14:paraId="7ED3AFA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updates made to incident response protocols based on lessons learned from past incidents.</w:t>
      </w:r>
    </w:p>
    <w:p w14:paraId="1A06D00C"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12681455"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3DE0CEA8"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7464CB5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1FE57D6A" w14:textId="77777777" w:rsidTr="005C00A5">
        <w:tc>
          <w:tcPr>
            <w:tcW w:w="1170" w:type="dxa"/>
          </w:tcPr>
          <w:p w14:paraId="59D986F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091AD08D"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64BF748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6CAF07A5" w14:textId="77777777" w:rsidTr="005C00A5">
        <w:tc>
          <w:tcPr>
            <w:tcW w:w="1170" w:type="dxa"/>
          </w:tcPr>
          <w:p w14:paraId="42090B5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MG-4.3.4</w:t>
            </w:r>
          </w:p>
        </w:tc>
        <w:tc>
          <w:tcPr>
            <w:tcW w:w="2160" w:type="dxa"/>
          </w:tcPr>
          <w:p w14:paraId="700525E1"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Incident Response and Recovery Updates</w:t>
            </w:r>
          </w:p>
        </w:tc>
        <w:tc>
          <w:tcPr>
            <w:tcW w:w="6740" w:type="dxa"/>
          </w:tcPr>
          <w:p w14:paraId="108B0CB2"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regularly reviews, tests, and updates its incident response and recovery procedures to maintain their effectiveness and alignment with industry best practices, regulatory requirements, and organizational risk management policies.</w:t>
            </w:r>
          </w:p>
          <w:p w14:paraId="4172C821" w14:textId="77777777" w:rsidR="00963E47" w:rsidRPr="00963E47" w:rsidRDefault="00963E47" w:rsidP="004C3837">
            <w:pPr>
              <w:keepNext/>
              <w:rPr>
                <w:rFonts w:ascii="Aptos" w:hAnsi="Aptos" w:cs="Times New Roman"/>
                <w:b/>
                <w:bCs/>
                <w:color w:val="000000"/>
                <w:sz w:val="20"/>
                <w:szCs w:val="20"/>
              </w:rPr>
            </w:pPr>
          </w:p>
          <w:p w14:paraId="6B746E0E" w14:textId="77777777" w:rsidR="00963E47" w:rsidRPr="00963E47" w:rsidRDefault="00963E47" w:rsidP="004C3837">
            <w:pPr>
              <w:keepNext/>
              <w:rPr>
                <w:rFonts w:ascii="Aptos" w:hAnsi="Aptos" w:cs="Times New Roman"/>
                <w:b/>
                <w:bCs/>
                <w:color w:val="000000"/>
                <w:sz w:val="20"/>
                <w:szCs w:val="20"/>
              </w:rPr>
            </w:pPr>
            <w:hyperlink r:id="rId242" w:anchor="manage-4-3" w:history="1">
              <w:r w:rsidRPr="00963E47">
                <w:rPr>
                  <w:rFonts w:ascii="Aptos" w:hAnsi="Aptos" w:cs="Times New Roman"/>
                  <w:color w:val="000000"/>
                  <w:sz w:val="20"/>
                  <w:szCs w:val="20"/>
                  <w:u w:val="single"/>
                </w:rPr>
                <w:t>Link to NIST AI RMF Playbook</w:t>
              </w:r>
            </w:hyperlink>
          </w:p>
        </w:tc>
      </w:tr>
    </w:tbl>
    <w:p w14:paraId="11C528D3"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53BBDF13"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6969AD1F"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24406162" w14:textId="77777777" w:rsidTr="005C00A5">
        <w:trPr>
          <w:tblHeader/>
        </w:trPr>
        <w:tc>
          <w:tcPr>
            <w:tcW w:w="2160" w:type="dxa"/>
            <w:shd w:val="clear" w:color="auto" w:fill="CCDCDC"/>
            <w:vAlign w:val="center"/>
          </w:tcPr>
          <w:p w14:paraId="16237A92"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6A21F3A0"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338C30FE"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2A31262B" w14:textId="77777777" w:rsidTr="005C00A5">
        <w:tc>
          <w:tcPr>
            <w:tcW w:w="2160" w:type="dxa"/>
            <w:shd w:val="clear" w:color="auto" w:fill="CCDCDC"/>
          </w:tcPr>
          <w:p w14:paraId="54E4AFA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6433D60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3A709D6"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18D3FB0E" w14:textId="77777777" w:rsidTr="005C00A5">
        <w:tc>
          <w:tcPr>
            <w:tcW w:w="2160" w:type="dxa"/>
            <w:shd w:val="clear" w:color="auto" w:fill="CCDCDC"/>
          </w:tcPr>
          <w:p w14:paraId="3A9207C7"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0F413410"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53770A53"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2C54443C" w14:textId="77777777" w:rsidTr="005C00A5">
        <w:tc>
          <w:tcPr>
            <w:tcW w:w="2160" w:type="dxa"/>
            <w:shd w:val="clear" w:color="auto" w:fill="CCDCDC"/>
          </w:tcPr>
          <w:p w14:paraId="175306F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673E815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63F44051"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48AEEC9B" w14:textId="77777777" w:rsidTr="005C00A5">
        <w:tc>
          <w:tcPr>
            <w:tcW w:w="2160" w:type="dxa"/>
            <w:shd w:val="clear" w:color="auto" w:fill="CCDCDC"/>
          </w:tcPr>
          <w:p w14:paraId="37CA7F59"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6E845318"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6574B0C9"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embedded stage have AI embedded in critical business functions and internal model development, so incident response and recovery must be enterprise-grade and continuously improved to protect safety, continuity, and compliance. Frequent testing, post-incident reviews, and updates ensure procedures remain effective across complex, interdependent systems and meet evolving regulatory and risk-management requirements.</w:t>
            </w:r>
          </w:p>
        </w:tc>
      </w:tr>
    </w:tbl>
    <w:p w14:paraId="79B7CB20"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4E1293E4" w14:textId="77777777" w:rsidTr="005C00A5">
        <w:tc>
          <w:tcPr>
            <w:tcW w:w="2250" w:type="dxa"/>
          </w:tcPr>
          <w:p w14:paraId="1AF87C25"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49BF521C"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4BBDDEA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243F5806" w14:textId="77777777" w:rsidTr="005C00A5">
        <w:tc>
          <w:tcPr>
            <w:tcW w:w="2250" w:type="dxa"/>
          </w:tcPr>
          <w:p w14:paraId="39C05DA8"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23D5C8FB"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Unreviewed Response Procedures</w:t>
            </w:r>
          </w:p>
        </w:tc>
        <w:tc>
          <w:tcPr>
            <w:tcW w:w="5300" w:type="dxa"/>
          </w:tcPr>
          <w:p w14:paraId="5B8BFB95"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Incident response procedures are not regularly reviewed, tested, or updated</w:t>
            </w:r>
          </w:p>
        </w:tc>
      </w:tr>
    </w:tbl>
    <w:p w14:paraId="2D20B04D"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A1856C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72C71F0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5BFF76D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Regularly review, test, and update the organization's incident response and recovery procedures to maintain their effectiveness and alignment with industry best practices, regulatory requirements, and organizational risk management policies. Conduct periodic audits and assessments to identify gaps or weaknesses in the procedures, and develop action plans to address them.</w:t>
      </w:r>
    </w:p>
    <w:p w14:paraId="727DE6D8"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630DF22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Engage relevant stakeholders, such as business unit leaders, technical experts, and risk management professionals, in the review and testing process to ensure that the procedures are practical, effective, and well-understood. Document the results of these reviews and tests, and use them to inform continuous improvement efforts.</w:t>
      </w:r>
    </w:p>
    <w:p w14:paraId="290F2AB8"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5E68DF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38E019C3"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0849250F"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 Review Schedule for Incident Response Procedures</w:t>
      </w:r>
    </w:p>
    <w:p w14:paraId="791F7468"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and maintain a regular review schedule for incident response and recovery procedures to ensure they remain effective and aligned with industry best practices and regulatory requirements.</w:t>
      </w:r>
    </w:p>
    <w:p w14:paraId="46C1B05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F95FB0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the review schedule, including dates and participants involved in each review session.</w:t>
      </w:r>
    </w:p>
    <w:p w14:paraId="07CD039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minutes from review sessions detailing discussions, decisions, and changes made to incident response procedures.</w:t>
      </w:r>
    </w:p>
    <w:p w14:paraId="5F0F2725"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Summary reports documenting the outcomes of each review, including updates made and justifications for those changes.</w:t>
      </w:r>
    </w:p>
    <w:p w14:paraId="635DA33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stakeholders involved in the review process, indicating contributions and feedback received.</w:t>
      </w:r>
    </w:p>
    <w:p w14:paraId="1A4C2B1C"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71EA3B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Testing of Incident Response Procedures</w:t>
      </w:r>
    </w:p>
    <w:p w14:paraId="6D7C904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Conduct regular tests of incident response and recovery procedures, simulating various incident scenarios to evaluate their effectiveness and identify areas for improvement.</w:t>
      </w:r>
    </w:p>
    <w:p w14:paraId="5EB8E9E9"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76F266E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test plans that outline scenarios, objectives, participants, and procedures used during testing.</w:t>
      </w:r>
    </w:p>
    <w:p w14:paraId="4C63D01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summarizing the results of incident response tests, including performance metrics and areas identified for improvement.</w:t>
      </w:r>
    </w:p>
    <w:p w14:paraId="2C33DAF4"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collected from participants regarding the realism and effectiveness of the test scenarios.</w:t>
      </w:r>
    </w:p>
    <w:p w14:paraId="5C63842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plans created to address any identified deficiencies or gaps in the incident response procedures after testing.</w:t>
      </w:r>
    </w:p>
    <w:p w14:paraId="70D0B662"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1F1C9FC"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Alignment with Regulatory Requirements</w:t>
      </w:r>
    </w:p>
    <w:p w14:paraId="03DE901B"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Ensure that incident response and recovery procedures are updated regularly to reflect changes in regulatory requirements and compliance standards relevant to incident management.</w:t>
      </w:r>
    </w:p>
    <w:p w14:paraId="0C4B2132"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3945364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regulatory requirements that impact incident response procedures, highlighting specific changes made to ensure compliance.</w:t>
      </w:r>
    </w:p>
    <w:p w14:paraId="2F404E0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audits assessing compliance with regulatory standards in incident management practices.</w:t>
      </w:r>
    </w:p>
    <w:p w14:paraId="50FF707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Meeting notes from discussions regarding regulatory updates and their implications for incident response procedures.</w:t>
      </w:r>
    </w:p>
    <w:p w14:paraId="728B397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Approval logs indicating that updated procedures have been reviewed and accepted by compliance or oversight teams.</w:t>
      </w:r>
    </w:p>
    <w:p w14:paraId="62292E39" w14:textId="77777777" w:rsidR="00963E47" w:rsidRPr="00963E47" w:rsidRDefault="00963E47" w:rsidP="004C3837">
      <w:pPr>
        <w:rPr>
          <w:rFonts w:ascii="Aptos" w:eastAsia="Aptos" w:hAnsi="Aptos" w:cs="Times New Roman"/>
          <w:color w:val="auto"/>
          <w:kern w:val="2"/>
          <w:sz w:val="20"/>
          <w:szCs w:val="20"/>
          <w14:ligatures w14:val="standardContextual"/>
        </w:rPr>
      </w:pPr>
    </w:p>
    <w:p w14:paraId="60DF3B5D"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Integration of Industry Best Practices</w:t>
      </w:r>
    </w:p>
    <w:p w14:paraId="6EF545E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Integrate industry best practices into incident response and recovery procedures, ensuring that the organization adapts to evolving standards in incident management.</w:t>
      </w:r>
    </w:p>
    <w:p w14:paraId="5286ECE8"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1D3B593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best practices and benchmarking studies conducted to determine performance relative to industry standards.</w:t>
      </w:r>
    </w:p>
    <w:p w14:paraId="08DAAA7D"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updates made to incident response procedures based on recommendations from industry expert consultations.</w:t>
      </w:r>
    </w:p>
    <w:p w14:paraId="47CB3B8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Reports detailing how new best practices have been implemented within incident response strategies.</w:t>
      </w:r>
    </w:p>
    <w:p w14:paraId="5AB773C5"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from incident management teams on the applicability and effectiveness of best practices adopted.</w:t>
      </w:r>
    </w:p>
    <w:p w14:paraId="4AE14294" w14:textId="77777777" w:rsidR="00963E47" w:rsidRPr="00963E47" w:rsidRDefault="00963E47" w:rsidP="004C3837">
      <w:pPr>
        <w:rPr>
          <w:rFonts w:ascii="Aptos" w:eastAsia="Aptos" w:hAnsi="Aptos" w:cs="Times New Roman"/>
          <w:color w:val="auto"/>
          <w:kern w:val="2"/>
          <w:sz w:val="20"/>
          <w:szCs w:val="20"/>
          <w14:ligatures w14:val="standardContextual"/>
        </w:rPr>
      </w:pPr>
    </w:p>
    <w:p w14:paraId="3EC404D4"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Continuous Improvement Documentation</w:t>
      </w:r>
    </w:p>
    <w:p w14:paraId="00FA036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comprehensive documentation of all updates made to incident response and recovery procedures, including lessons learned from incidents and testing, to support ongoing improvement.</w:t>
      </w:r>
    </w:p>
    <w:p w14:paraId="126207E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lastRenderedPageBreak/>
        <w:t>Examples of Effective Evidence:</w:t>
      </w:r>
      <w:r w:rsidRPr="00963E47">
        <w:rPr>
          <w:rFonts w:ascii="Aptos" w:eastAsia="Aptos" w:hAnsi="Aptos" w:cs="Times New Roman"/>
          <w:color w:val="auto"/>
          <w:kern w:val="2"/>
          <w:sz w:val="20"/>
          <w:szCs w:val="20"/>
          <w14:ligatures w14:val="standardContextual"/>
        </w:rPr>
        <w:t xml:space="preserve"> </w:t>
      </w:r>
    </w:p>
    <w:p w14:paraId="55D4D45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Change logs reflecting the history of modifications made to incident response documents, including dates and rationale.</w:t>
      </w:r>
    </w:p>
    <w:p w14:paraId="60E3339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post-incident reviews capturing lessons learned and recommendations for future enhancements.</w:t>
      </w:r>
    </w:p>
    <w:p w14:paraId="073FBE98"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communication to stakeholders regarding changes made to incident response strategies.</w:t>
      </w:r>
    </w:p>
    <w:p w14:paraId="337F754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Metrics showing the effectiveness of improvements implemented in response to past incidents.</w:t>
      </w:r>
    </w:p>
    <w:p w14:paraId="3BC411FE" w14:textId="77777777" w:rsidR="00963E47" w:rsidRPr="00963E47" w:rsidRDefault="00963E47" w:rsidP="004C3837">
      <w:pPr>
        <w:keepNext/>
        <w:pBdr>
          <w:top w:val="single" w:sz="24" w:space="1" w:color="auto"/>
        </w:pBdr>
        <w:outlineLvl w:val="1"/>
        <w:rPr>
          <w:rFonts w:ascii="Aptos" w:eastAsia="Aptos" w:hAnsi="Aptos" w:cs="Times New Roman"/>
          <w:b/>
          <w:bCs/>
          <w:noProof/>
          <w:color w:val="35256B"/>
          <w:kern w:val="2"/>
          <w:sz w:val="24"/>
          <w14:ligatures w14:val="standardContextual"/>
        </w:rPr>
      </w:pPr>
    </w:p>
    <w:p w14:paraId="6BF32340" w14:textId="77777777" w:rsidR="00963E47" w:rsidRPr="00963E47" w:rsidRDefault="00963E47" w:rsidP="004C3837">
      <w:pPr>
        <w:keepNext/>
        <w:rPr>
          <w:rFonts w:ascii="Aptos" w:eastAsia="Aptos" w:hAnsi="Aptos" w:cs="Times New Roman"/>
          <w:b/>
          <w:bCs/>
          <w:color w:val="C00000"/>
          <w:kern w:val="2"/>
          <w:sz w:val="24"/>
          <w14:ligatures w14:val="standardContextual"/>
        </w:rPr>
      </w:pPr>
    </w:p>
    <w:p w14:paraId="699C3041"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Control Objective:</w:t>
      </w:r>
    </w:p>
    <w:p w14:paraId="27F41DEF"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60"/>
        <w:gridCol w:w="6740"/>
      </w:tblGrid>
      <w:tr w:rsidR="00963E47" w:rsidRPr="00963E47" w14:paraId="3A8A731A" w14:textId="77777777" w:rsidTr="005C00A5">
        <w:tc>
          <w:tcPr>
            <w:tcW w:w="1170" w:type="dxa"/>
          </w:tcPr>
          <w:p w14:paraId="5B2D1803"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Id</w:t>
            </w:r>
          </w:p>
        </w:tc>
        <w:tc>
          <w:tcPr>
            <w:tcW w:w="2160" w:type="dxa"/>
          </w:tcPr>
          <w:p w14:paraId="6BFF2226"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Name</w:t>
            </w:r>
          </w:p>
        </w:tc>
        <w:tc>
          <w:tcPr>
            <w:tcW w:w="6740" w:type="dxa"/>
          </w:tcPr>
          <w:p w14:paraId="35CDFDB2"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Description</w:t>
            </w:r>
          </w:p>
        </w:tc>
      </w:tr>
      <w:tr w:rsidR="00963E47" w:rsidRPr="00963E47" w14:paraId="2F261376" w14:textId="77777777" w:rsidTr="005C00A5">
        <w:tc>
          <w:tcPr>
            <w:tcW w:w="1170" w:type="dxa"/>
          </w:tcPr>
          <w:p w14:paraId="6C6E7353"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MG-4.3.5</w:t>
            </w:r>
          </w:p>
        </w:tc>
        <w:tc>
          <w:tcPr>
            <w:tcW w:w="2160" w:type="dxa"/>
          </w:tcPr>
          <w:p w14:paraId="644B30E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Authorized Information Sharing and Lessons Learned</w:t>
            </w:r>
          </w:p>
        </w:tc>
        <w:tc>
          <w:tcPr>
            <w:tcW w:w="6740" w:type="dxa"/>
          </w:tcPr>
          <w:p w14:paraId="33A03AEE"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The organization actively shares authorized information regarding its AI risk identification approaches and lessons learned through publications, conferences, and industry forums. This sharing fosters transparency, trust, and the collective advancement of AI risk management practices among industry, regulators, and affected stakeholders. All shared information is consistent with regulatory obligations and organizational confidentiality policies, ensuring that specific determinations are made regarding what can and cannot be shared. The focus is on conveying lessons learned rather than disclosing specific incident details, thereby maintaining compliance while promoting collaborative improvement in AI risk management.</w:t>
            </w:r>
          </w:p>
          <w:p w14:paraId="25017F99" w14:textId="77777777" w:rsidR="00963E47" w:rsidRPr="00963E47" w:rsidRDefault="00963E47" w:rsidP="004C3837">
            <w:pPr>
              <w:keepNext/>
              <w:rPr>
                <w:rFonts w:ascii="Aptos" w:hAnsi="Aptos" w:cs="Times New Roman"/>
                <w:b/>
                <w:bCs/>
                <w:color w:val="000000"/>
                <w:sz w:val="20"/>
                <w:szCs w:val="20"/>
              </w:rPr>
            </w:pPr>
          </w:p>
          <w:p w14:paraId="4588E0D5" w14:textId="77777777" w:rsidR="00963E47" w:rsidRPr="00963E47" w:rsidRDefault="00963E47" w:rsidP="004C3837">
            <w:pPr>
              <w:keepNext/>
              <w:rPr>
                <w:rFonts w:ascii="Aptos" w:hAnsi="Aptos" w:cs="Times New Roman"/>
                <w:b/>
                <w:bCs/>
                <w:color w:val="000000"/>
                <w:sz w:val="20"/>
                <w:szCs w:val="20"/>
              </w:rPr>
            </w:pPr>
            <w:hyperlink r:id="rId243" w:anchor="manage-4-3" w:history="1">
              <w:r w:rsidRPr="00963E47">
                <w:rPr>
                  <w:rFonts w:ascii="Aptos" w:hAnsi="Aptos" w:cs="Times New Roman"/>
                  <w:color w:val="000000"/>
                  <w:sz w:val="20"/>
                  <w:szCs w:val="20"/>
                  <w:u w:val="single"/>
                </w:rPr>
                <w:t>Link to NIST AI RMF Playbook</w:t>
              </w:r>
            </w:hyperlink>
          </w:p>
        </w:tc>
      </w:tr>
    </w:tbl>
    <w:p w14:paraId="62C565AA"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49DA15C1" w14:textId="77777777" w:rsidR="00963E47" w:rsidRPr="00963E47" w:rsidRDefault="00963E47" w:rsidP="004C3837">
      <w:pPr>
        <w:keepNext/>
        <w:rPr>
          <w:rFonts w:ascii="Aptos" w:eastAsia="Aptos" w:hAnsi="Aptos" w:cs="Times New Roman"/>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Adoption Stage Applicability:</w:t>
      </w:r>
      <w:r w:rsidRPr="00963E47">
        <w:rPr>
          <w:rFonts w:ascii="Aptos" w:eastAsia="Aptos" w:hAnsi="Aptos" w:cs="Times New Roman"/>
          <w:color w:val="C00000"/>
          <w:kern w:val="2"/>
          <w:sz w:val="20"/>
          <w:szCs w:val="20"/>
          <w14:ligatures w14:val="standardContextual"/>
        </w:rPr>
        <w:t xml:space="preserve"> </w:t>
      </w:r>
    </w:p>
    <w:p w14:paraId="4E8175A3" w14:textId="77777777" w:rsidR="00963E47" w:rsidRPr="00963E47" w:rsidRDefault="00963E47" w:rsidP="004C3837">
      <w:pPr>
        <w:keepNext/>
        <w:jc w:val="both"/>
        <w:rPr>
          <w:rFonts w:ascii="Aptos" w:eastAsia="Aptos" w:hAnsi="Aptos" w:cs="Times New Roman"/>
          <w:color w:val="auto"/>
          <w:kern w:val="2"/>
          <w:sz w:val="20"/>
          <w:szCs w:val="20"/>
          <w14:ligatures w14:val="standardContextual"/>
        </w:rPr>
      </w:pPr>
    </w:p>
    <w:tbl>
      <w:tblPr>
        <w:tblStyle w:val="TableGrid"/>
        <w:tblW w:w="0" w:type="auto"/>
        <w:tblLook w:val="04A0" w:firstRow="1" w:lastRow="0" w:firstColumn="1" w:lastColumn="0" w:noHBand="0" w:noVBand="1"/>
      </w:tblPr>
      <w:tblGrid>
        <w:gridCol w:w="2160"/>
        <w:gridCol w:w="1362"/>
        <w:gridCol w:w="6295"/>
      </w:tblGrid>
      <w:tr w:rsidR="00963E47" w:rsidRPr="00963E47" w14:paraId="140A6C3A" w14:textId="77777777" w:rsidTr="005C00A5">
        <w:trPr>
          <w:tblHeader/>
        </w:trPr>
        <w:tc>
          <w:tcPr>
            <w:tcW w:w="2160" w:type="dxa"/>
            <w:shd w:val="clear" w:color="auto" w:fill="CCDCDC"/>
            <w:vAlign w:val="center"/>
          </w:tcPr>
          <w:p w14:paraId="578AD6F7" w14:textId="77777777" w:rsidR="00963E47" w:rsidRPr="00963E47" w:rsidRDefault="00963E47" w:rsidP="004C3837">
            <w:pPr>
              <w:rPr>
                <w:rFonts w:ascii="Aptos" w:hAnsi="Aptos" w:cs="Times New Roman"/>
                <w:b/>
                <w:bCs/>
                <w:color w:val="auto"/>
                <w:sz w:val="20"/>
                <w:szCs w:val="20"/>
              </w:rPr>
            </w:pPr>
            <w:r w:rsidRPr="00963E47">
              <w:rPr>
                <w:rFonts w:ascii="Aptos" w:hAnsi="Aptos" w:cs="Times New Roman"/>
                <w:b/>
                <w:bCs/>
                <w:color w:val="auto"/>
                <w:sz w:val="20"/>
                <w:szCs w:val="20"/>
              </w:rPr>
              <w:t>Adoption Stage</w:t>
            </w:r>
          </w:p>
        </w:tc>
        <w:tc>
          <w:tcPr>
            <w:tcW w:w="1350" w:type="dxa"/>
            <w:shd w:val="clear" w:color="auto" w:fill="CCDCDC"/>
          </w:tcPr>
          <w:p w14:paraId="04659907" w14:textId="77777777" w:rsidR="00963E47" w:rsidRPr="00963E47" w:rsidRDefault="00963E47" w:rsidP="004C3837">
            <w:pPr>
              <w:jc w:val="center"/>
              <w:rPr>
                <w:rFonts w:ascii="Aptos" w:hAnsi="Aptos" w:cs="Times New Roman"/>
                <w:b/>
                <w:bCs/>
                <w:color w:val="auto"/>
                <w:sz w:val="20"/>
                <w:szCs w:val="20"/>
              </w:rPr>
            </w:pPr>
            <w:r w:rsidRPr="00963E47">
              <w:rPr>
                <w:rFonts w:ascii="Aptos" w:hAnsi="Aptos" w:cs="Times New Roman"/>
                <w:b/>
                <w:bCs/>
                <w:color w:val="auto"/>
                <w:sz w:val="20"/>
                <w:szCs w:val="20"/>
              </w:rPr>
              <w:t>Applicability</w:t>
            </w:r>
          </w:p>
        </w:tc>
        <w:tc>
          <w:tcPr>
            <w:tcW w:w="6295" w:type="dxa"/>
            <w:shd w:val="clear" w:color="auto" w:fill="CCDCDC"/>
          </w:tcPr>
          <w:p w14:paraId="48AC461C" w14:textId="77777777" w:rsidR="00963E47" w:rsidRPr="00963E47" w:rsidRDefault="00963E47" w:rsidP="004C3837">
            <w:pPr>
              <w:jc w:val="both"/>
              <w:rPr>
                <w:rFonts w:ascii="Aptos" w:hAnsi="Aptos" w:cs="Times New Roman"/>
                <w:b/>
                <w:bCs/>
                <w:color w:val="auto"/>
                <w:sz w:val="20"/>
                <w:szCs w:val="20"/>
              </w:rPr>
            </w:pPr>
            <w:r w:rsidRPr="00963E47">
              <w:rPr>
                <w:rFonts w:ascii="Aptos" w:hAnsi="Aptos" w:cs="Times New Roman"/>
                <w:b/>
                <w:bCs/>
                <w:color w:val="auto"/>
                <w:sz w:val="20"/>
                <w:szCs w:val="20"/>
              </w:rPr>
              <w:t>Rationale</w:t>
            </w:r>
          </w:p>
        </w:tc>
      </w:tr>
      <w:tr w:rsidR="00963E47" w:rsidRPr="00963E47" w14:paraId="7A41341F" w14:textId="77777777" w:rsidTr="005C00A5">
        <w:tc>
          <w:tcPr>
            <w:tcW w:w="2160" w:type="dxa"/>
            <w:shd w:val="clear" w:color="auto" w:fill="CCDCDC"/>
          </w:tcPr>
          <w:p w14:paraId="6EE6AE8E"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1: Initial</w:t>
            </w:r>
          </w:p>
        </w:tc>
        <w:tc>
          <w:tcPr>
            <w:tcW w:w="1350" w:type="dxa"/>
          </w:tcPr>
          <w:p w14:paraId="22C37459"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w:t>
            </w:r>
          </w:p>
        </w:tc>
        <w:tc>
          <w:tcPr>
            <w:tcW w:w="6295" w:type="dxa"/>
            <w:vAlign w:val="center"/>
          </w:tcPr>
          <w:p w14:paraId="3F53506D"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N/A</w:t>
            </w:r>
          </w:p>
        </w:tc>
      </w:tr>
      <w:tr w:rsidR="00963E47" w:rsidRPr="00963E47" w14:paraId="5B868A75" w14:textId="77777777" w:rsidTr="005C00A5">
        <w:tc>
          <w:tcPr>
            <w:tcW w:w="2160" w:type="dxa"/>
            <w:shd w:val="clear" w:color="auto" w:fill="CCDCDC"/>
          </w:tcPr>
          <w:p w14:paraId="327970E4"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2: Minimal</w:t>
            </w:r>
          </w:p>
        </w:tc>
        <w:tc>
          <w:tcPr>
            <w:tcW w:w="1350" w:type="dxa"/>
          </w:tcPr>
          <w:p w14:paraId="77EC966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4A528A0A"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Organizations at the minimal stage generally avoid broad public disclosures of AI incidents or detailed risk methodologies because their AI use is limited, non-external facing, and non-critical. However, selective, low-risk sharing (high-level lessons learned, anonymized case studies, or internal industry forum summaries) can be useful for building reputation and learning without exposing sensitive details or incurring undue regulatory or reputational risk.</w:t>
            </w:r>
          </w:p>
        </w:tc>
      </w:tr>
      <w:tr w:rsidR="00963E47" w:rsidRPr="00963E47" w14:paraId="26150D49" w14:textId="77777777" w:rsidTr="005C00A5">
        <w:tc>
          <w:tcPr>
            <w:tcW w:w="2160" w:type="dxa"/>
            <w:shd w:val="clear" w:color="auto" w:fill="CCDCDC"/>
          </w:tcPr>
          <w:p w14:paraId="537A88C3"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3: Evolving</w:t>
            </w:r>
          </w:p>
        </w:tc>
        <w:tc>
          <w:tcPr>
            <w:tcW w:w="1350" w:type="dxa"/>
          </w:tcPr>
          <w:p w14:paraId="1EDD8E03"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349DD585"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evolving stage, organizations are engaging external users and handling sensitive data, so sharing risk identification approaches and lessons learned with industry peers and regulators helps build credibility, surface practical mitigations, and contribute to sector-wide best practices. Public dissemination supports transparency and trust while informing others before the organization scales to critical functions.</w:t>
            </w:r>
          </w:p>
        </w:tc>
      </w:tr>
      <w:tr w:rsidR="00963E47" w:rsidRPr="00963E47" w14:paraId="12710B17" w14:textId="77777777" w:rsidTr="005C00A5">
        <w:tc>
          <w:tcPr>
            <w:tcW w:w="2160" w:type="dxa"/>
            <w:shd w:val="clear" w:color="auto" w:fill="CCDCDC"/>
          </w:tcPr>
          <w:p w14:paraId="10AB6551" w14:textId="77777777" w:rsidR="00963E47" w:rsidRPr="00963E47" w:rsidRDefault="00963E47" w:rsidP="004C3837">
            <w:pPr>
              <w:jc w:val="both"/>
              <w:rPr>
                <w:rFonts w:ascii="Aptos" w:hAnsi="Aptos" w:cs="Times New Roman"/>
                <w:b/>
                <w:bCs/>
                <w:color w:val="000000"/>
                <w:sz w:val="20"/>
                <w:szCs w:val="20"/>
              </w:rPr>
            </w:pPr>
            <w:r w:rsidRPr="00963E47">
              <w:rPr>
                <w:rFonts w:ascii="Aptos" w:hAnsi="Aptos" w:cs="Times New Roman"/>
                <w:b/>
                <w:bCs/>
                <w:color w:val="000000"/>
                <w:sz w:val="20"/>
                <w:szCs w:val="20"/>
              </w:rPr>
              <w:t>Stage 4: Embedded</w:t>
            </w:r>
          </w:p>
        </w:tc>
        <w:tc>
          <w:tcPr>
            <w:tcW w:w="1350" w:type="dxa"/>
          </w:tcPr>
          <w:p w14:paraId="1A5A85F5" w14:textId="77777777" w:rsidR="00963E47" w:rsidRPr="00963E47" w:rsidRDefault="00963E47" w:rsidP="004C3837">
            <w:pPr>
              <w:jc w:val="center"/>
              <w:rPr>
                <w:rFonts w:ascii="Aptos" w:hAnsi="Aptos" w:cs="Times New Roman"/>
                <w:color w:val="auto"/>
                <w:sz w:val="20"/>
                <w:szCs w:val="20"/>
              </w:rPr>
            </w:pPr>
            <w:r w:rsidRPr="00963E47">
              <w:rPr>
                <w:rFonts w:ascii="Aptos" w:hAnsi="Aptos" w:cs="Times New Roman"/>
                <w:noProof/>
                <w:color w:val="auto"/>
                <w:sz w:val="20"/>
                <w:szCs w:val="20"/>
              </w:rPr>
              <w:t>Yes</w:t>
            </w:r>
          </w:p>
        </w:tc>
        <w:tc>
          <w:tcPr>
            <w:tcW w:w="6295" w:type="dxa"/>
            <w:vAlign w:val="center"/>
          </w:tcPr>
          <w:p w14:paraId="1DD1BDF4" w14:textId="77777777" w:rsidR="00963E47" w:rsidRPr="00963E47" w:rsidRDefault="00963E47" w:rsidP="004C3837">
            <w:pPr>
              <w:rPr>
                <w:rFonts w:ascii="Aptos" w:hAnsi="Aptos" w:cs="Times New Roman"/>
                <w:color w:val="auto"/>
                <w:sz w:val="20"/>
                <w:szCs w:val="20"/>
              </w:rPr>
            </w:pPr>
            <w:r w:rsidRPr="00963E47">
              <w:rPr>
                <w:rFonts w:ascii="Aptos" w:hAnsi="Aptos" w:cs="Times New Roman"/>
                <w:noProof/>
                <w:color w:val="auto"/>
                <w:sz w:val="20"/>
                <w:szCs w:val="20"/>
              </w:rPr>
              <w:t>At the embedded stage, organizations' AI is embedded in critical functions and internal model development, so proactive external sharing of incident reports, methodologies, and remediation outcomes demonstrates accountability to regulators and stakeholders and drives collective improvements in governance. Participation in conferences and forums also shapes regulatory expectations and industry standards, aligning the organization’s enterprise-grade practices with broader systemic resilience.</w:t>
            </w:r>
          </w:p>
        </w:tc>
      </w:tr>
    </w:tbl>
    <w:p w14:paraId="15C335D8" w14:textId="77777777" w:rsidR="00963E47" w:rsidRPr="00963E47" w:rsidRDefault="00963E47" w:rsidP="004C3837">
      <w:pPr>
        <w:jc w:val="both"/>
        <w:rPr>
          <w:rFonts w:ascii="Aptos" w:eastAsia="Aptos" w:hAnsi="Aptos" w:cs="Times New Roman"/>
          <w:color w:val="auto"/>
          <w:kern w:val="2"/>
          <w:sz w:val="20"/>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520"/>
        <w:gridCol w:w="5300"/>
      </w:tblGrid>
      <w:tr w:rsidR="00963E47" w:rsidRPr="00963E47" w14:paraId="46360C5B" w14:textId="77777777" w:rsidTr="005C00A5">
        <w:tc>
          <w:tcPr>
            <w:tcW w:w="2250" w:type="dxa"/>
          </w:tcPr>
          <w:p w14:paraId="7CF553B1"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AI Principle</w:t>
            </w:r>
          </w:p>
        </w:tc>
        <w:tc>
          <w:tcPr>
            <w:tcW w:w="2520" w:type="dxa"/>
          </w:tcPr>
          <w:p w14:paraId="6A989E4A"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Name</w:t>
            </w:r>
          </w:p>
        </w:tc>
        <w:tc>
          <w:tcPr>
            <w:tcW w:w="5300" w:type="dxa"/>
          </w:tcPr>
          <w:p w14:paraId="7BFD79C9" w14:textId="77777777" w:rsidR="00963E47" w:rsidRPr="00963E47" w:rsidRDefault="00963E47" w:rsidP="004C3837">
            <w:pPr>
              <w:keepNext/>
              <w:rPr>
                <w:rFonts w:ascii="Aptos" w:hAnsi="Aptos" w:cs="Times New Roman"/>
                <w:b/>
                <w:bCs/>
                <w:color w:val="000000"/>
                <w:sz w:val="20"/>
                <w:szCs w:val="20"/>
              </w:rPr>
            </w:pPr>
            <w:r w:rsidRPr="00963E47">
              <w:rPr>
                <w:rFonts w:ascii="Aptos" w:hAnsi="Aptos" w:cs="Times New Roman"/>
                <w:b/>
                <w:bCs/>
                <w:color w:val="000000"/>
                <w:sz w:val="20"/>
                <w:szCs w:val="20"/>
              </w:rPr>
              <w:t>Risk Statement</w:t>
            </w:r>
          </w:p>
        </w:tc>
      </w:tr>
      <w:tr w:rsidR="00963E47" w:rsidRPr="00963E47" w14:paraId="7EDE0AE4" w14:textId="77777777" w:rsidTr="005C00A5">
        <w:tc>
          <w:tcPr>
            <w:tcW w:w="2250" w:type="dxa"/>
          </w:tcPr>
          <w:p w14:paraId="2284CE1C"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Accountable &amp; Transparent</w:t>
            </w:r>
          </w:p>
        </w:tc>
        <w:tc>
          <w:tcPr>
            <w:tcW w:w="2520" w:type="dxa"/>
          </w:tcPr>
          <w:p w14:paraId="5BE3D3D9"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Unshared or Unauthorized Sharing of Lessons Learned</w:t>
            </w:r>
          </w:p>
        </w:tc>
        <w:tc>
          <w:tcPr>
            <w:tcW w:w="5300" w:type="dxa"/>
          </w:tcPr>
          <w:p w14:paraId="4E431734" w14:textId="77777777" w:rsidR="00963E47" w:rsidRPr="00963E47" w:rsidRDefault="00963E47" w:rsidP="004C3837">
            <w:pPr>
              <w:keepNext/>
              <w:rPr>
                <w:rFonts w:ascii="Aptos" w:hAnsi="Aptos" w:cs="Times New Roman"/>
                <w:color w:val="000000"/>
                <w:sz w:val="20"/>
                <w:szCs w:val="20"/>
              </w:rPr>
            </w:pPr>
            <w:r w:rsidRPr="00963E47">
              <w:rPr>
                <w:rFonts w:ascii="Aptos" w:hAnsi="Aptos" w:cs="Times New Roman"/>
                <w:noProof/>
                <w:color w:val="000000"/>
                <w:sz w:val="20"/>
                <w:szCs w:val="20"/>
              </w:rPr>
              <w:t>Authorized lessons learned and incident reports are not effectively shared</w:t>
            </w:r>
          </w:p>
        </w:tc>
      </w:tr>
    </w:tbl>
    <w:p w14:paraId="2754C75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7A70077B"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Implementation Guidelines: </w:t>
      </w:r>
    </w:p>
    <w:p w14:paraId="36DBE056"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2C3A1763"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Develop and implement mechanisms for sharing authorized information regarding AI risk identification approaches, lessons learned, and incident reports both internally and with the broader AI community. This includes publishing insights, best practices, and challenges through reputable outlets such as academic journals, industry forums, and conferences, ensuring that shared information is appropriately anonymized and compliant with organizational confidentiality policies while excluding sensitive data. Document these knowledge-sharing activities comprehensively, noting the outlets used, the information shared, and any resulting collaboration or feedback opportunities.</w:t>
      </w:r>
    </w:p>
    <w:p w14:paraId="4BA00A21"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55B173A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Establish a transparent public reporting mechanism to communicate significant AI system incidents, errors, and lessons learned with relevant industry bodies, regulatory authorities, peer organizations, and affected communities and stakeholders as appropriate. Develop clear criteria and thresholds—such as severity, regulatory requirements, and reputational considerations—for when and how to report incidents externally. Implement procedures, including templates, review protocols, and confidentiality protections, to ensure consistent, transparent, and timely communication. Regularly review and update this external incident reporting process based on stakeholder feedback, regulatory changes, and industry best practices to maintain effectiveness and trust, focusing on the sharing of lessons learned rather than specific incident details.</w:t>
      </w:r>
    </w:p>
    <w:p w14:paraId="13AF659A" w14:textId="77777777" w:rsidR="00963E47" w:rsidRPr="00963E47" w:rsidRDefault="00963E47" w:rsidP="004C3837">
      <w:pPr>
        <w:rPr>
          <w:rFonts w:ascii="Aptos" w:eastAsia="Aptos" w:hAnsi="Aptos" w:cs="Times New Roman"/>
          <w:noProof/>
          <w:color w:val="auto"/>
          <w:kern w:val="2"/>
          <w:sz w:val="20"/>
          <w:szCs w:val="20"/>
          <w14:ligatures w14:val="standardContextual"/>
        </w:rPr>
      </w:pPr>
    </w:p>
    <w:p w14:paraId="4AD98FC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Encourage active participation in industry initiatives and collaborations aimed at advancing responsible AI practices. Share authorized experiences, insights, and lessons learned to contribute to the collective knowledge base, and seek opportunities to learn from others’ work in this space. This approach fosters transparency, accountability, and continuous improvement across the AI risk management ecosystem while ensuring compliance with regulatory obligations and organizational confidentiality policies.</w:t>
      </w:r>
    </w:p>
    <w:p w14:paraId="176E708F" w14:textId="77777777" w:rsidR="00963E47" w:rsidRPr="00963E47" w:rsidRDefault="00963E47" w:rsidP="004C3837">
      <w:pPr>
        <w:rPr>
          <w:rFonts w:ascii="Aptos" w:eastAsia="Aptos" w:hAnsi="Aptos" w:cs="Times New Roman"/>
          <w:b/>
          <w:bCs/>
          <w:color w:val="C00000"/>
          <w:kern w:val="2"/>
          <w:sz w:val="20"/>
          <w:szCs w:val="20"/>
          <w14:ligatures w14:val="standardContextual"/>
        </w:rPr>
      </w:pPr>
    </w:p>
    <w:p w14:paraId="02E0E390"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r w:rsidRPr="00963E47">
        <w:rPr>
          <w:rFonts w:ascii="Aptos" w:eastAsia="Aptos" w:hAnsi="Aptos" w:cs="Times New Roman"/>
          <w:b/>
          <w:bCs/>
          <w:color w:val="C00000"/>
          <w:kern w:val="2"/>
          <w:sz w:val="20"/>
          <w:szCs w:val="20"/>
          <w14:ligatures w14:val="standardContextual"/>
        </w:rPr>
        <w:t xml:space="preserve">Example Controls and Evidence: </w:t>
      </w:r>
    </w:p>
    <w:p w14:paraId="0886B4FA" w14:textId="77777777" w:rsidR="00963E47" w:rsidRPr="00963E47" w:rsidRDefault="00963E47" w:rsidP="004C3837">
      <w:pPr>
        <w:keepNext/>
        <w:rPr>
          <w:rFonts w:ascii="Aptos" w:eastAsia="Aptos" w:hAnsi="Aptos" w:cs="Times New Roman"/>
          <w:b/>
          <w:bCs/>
          <w:color w:val="C00000"/>
          <w:kern w:val="2"/>
          <w:sz w:val="20"/>
          <w:szCs w:val="20"/>
          <w14:ligatures w14:val="standardContextual"/>
        </w:rPr>
      </w:pPr>
    </w:p>
    <w:p w14:paraId="32D98E00"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1:</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Authorized Information Sharing Protocols</w:t>
      </w:r>
    </w:p>
    <w:p w14:paraId="5F2962CA"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Establish clear protocols for sharing authorized information related to AI risk identification and lessons learned, ensuring compliance with regulatory obligations and organizational confidentiality policies.</w:t>
      </w:r>
    </w:p>
    <w:p w14:paraId="51BFD74E"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7B3AD7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information sharing protocols detailing what can and cannot be disclosed.</w:t>
      </w:r>
    </w:p>
    <w:p w14:paraId="531392A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training sessions for employees on compliance requirements related to information sharing.</w:t>
      </w:r>
    </w:p>
    <w:p w14:paraId="30EE6012"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Approval logs showing that shared information has been vetted and authorized before dissemination.</w:t>
      </w:r>
    </w:p>
    <w:p w14:paraId="43E863F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Communication templates used for sharing information that demonstrate adherence to protocols.</w:t>
      </w:r>
    </w:p>
    <w:p w14:paraId="4550A565" w14:textId="77777777" w:rsidR="00963E47" w:rsidRPr="00963E47" w:rsidRDefault="00963E47" w:rsidP="004C3837">
      <w:pPr>
        <w:rPr>
          <w:rFonts w:ascii="Aptos" w:eastAsia="Aptos" w:hAnsi="Aptos" w:cs="Times New Roman"/>
          <w:color w:val="auto"/>
          <w:kern w:val="2"/>
          <w:sz w:val="20"/>
          <w:szCs w:val="20"/>
          <w14:ligatures w14:val="standardContextual"/>
        </w:rPr>
      </w:pPr>
    </w:p>
    <w:p w14:paraId="41E5EE48"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2:</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 Contributions to Industry Forums</w:t>
      </w:r>
    </w:p>
    <w:p w14:paraId="2CF30AC9"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Actively participate in industry forums, conferences, and publications to share insights on AI risk management practices and lessons learned from incidents.</w:t>
      </w:r>
    </w:p>
    <w:p w14:paraId="02F19791"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950414A"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participation in industry conferences or forums, including presentations given and papers published.</w:t>
      </w:r>
    </w:p>
    <w:p w14:paraId="66E55C6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submitted abstracts or articles for publication that outline shared insights or lessons learned.</w:t>
      </w:r>
    </w:p>
    <w:p w14:paraId="08176FF9"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received from conference participants or readers regarding the relevance and quality of shared information.</w:t>
      </w:r>
    </w:p>
    <w:p w14:paraId="062F585C"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Lists of collaborations with other organizations and stakeholders during presentations or workshops.</w:t>
      </w:r>
    </w:p>
    <w:p w14:paraId="615D7E0A" w14:textId="77777777" w:rsidR="00963E47" w:rsidRPr="00963E47" w:rsidRDefault="00963E47" w:rsidP="004C3837">
      <w:pPr>
        <w:rPr>
          <w:rFonts w:ascii="Aptos" w:eastAsia="Aptos" w:hAnsi="Aptos" w:cs="Times New Roman"/>
          <w:color w:val="auto"/>
          <w:kern w:val="2"/>
          <w:sz w:val="20"/>
          <w:szCs w:val="20"/>
          <w14:ligatures w14:val="standardContextual"/>
        </w:rPr>
      </w:pPr>
    </w:p>
    <w:p w14:paraId="5AB91D73"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3:</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Lessons Learned Documentation</w:t>
      </w:r>
    </w:p>
    <w:p w14:paraId="0AAB9A20"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Maintain thorough documentation of lessons learned from AI risk identification processes and incidents, focusing on insights rather than specific incident details to protect confidential information.</w:t>
      </w:r>
    </w:p>
    <w:p w14:paraId="74446CD4"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000FEB7E"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Compiled reports summarizing key lessons learned from past incidents and risk assessments.</w:t>
      </w:r>
    </w:p>
    <w:p w14:paraId="7DC9F897"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meetings or workshops where lessons learned are documented and discussed.</w:t>
      </w:r>
    </w:p>
    <w:p w14:paraId="4852C56C"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Action items arising from lessons learned that outline follow-up actions to improve risk management practices.</w:t>
      </w:r>
    </w:p>
    <w:p w14:paraId="2A6C9E9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Feedback logs indicating how the lessons learned have influenced organizational practices or strategies.</w:t>
      </w:r>
    </w:p>
    <w:p w14:paraId="240C14D1" w14:textId="77777777" w:rsidR="00963E47" w:rsidRPr="00963E47" w:rsidRDefault="00963E47" w:rsidP="004C3837">
      <w:pPr>
        <w:rPr>
          <w:rFonts w:ascii="Aptos" w:eastAsia="Aptos" w:hAnsi="Aptos" w:cs="Times New Roman"/>
          <w:color w:val="auto"/>
          <w:kern w:val="2"/>
          <w:sz w:val="20"/>
          <w:szCs w:val="20"/>
          <w14:ligatures w14:val="standardContextual"/>
        </w:rPr>
      </w:pPr>
    </w:p>
    <w:p w14:paraId="7E875E3A"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4:</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Stakeholder Engagement and Feedback Mechanism</w:t>
      </w:r>
    </w:p>
    <w:p w14:paraId="2A36E224"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Implement mechanisms for gathering stakeholder feedback on shared information and lessons learned, fostering transparency and collaborative improvement in AI risk management.</w:t>
      </w:r>
    </w:p>
    <w:p w14:paraId="168E375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68EE3AF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Surveys or feedback forms distributed to stakeholders following information sessions to assess effectiveness and utility.</w:t>
      </w:r>
    </w:p>
    <w:p w14:paraId="16598D5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feedback sessions or focus groups held to discuss shared insights with stakeholders.</w:t>
      </w:r>
    </w:p>
    <w:p w14:paraId="0491355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adjustments made to information sharing practices based on stakeholder feedback.</w:t>
      </w:r>
    </w:p>
    <w:p w14:paraId="51B88E3E"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Communication logs reflecting ongoing dialogue with stakeholders regarding shared information and its impact.</w:t>
      </w:r>
    </w:p>
    <w:p w14:paraId="3035C47B" w14:textId="77777777" w:rsidR="00963E47" w:rsidRPr="00963E47" w:rsidRDefault="00963E47" w:rsidP="004C3837">
      <w:pPr>
        <w:rPr>
          <w:rFonts w:ascii="Aptos" w:eastAsia="Aptos" w:hAnsi="Aptos" w:cs="Times New Roman"/>
          <w:color w:val="auto"/>
          <w:kern w:val="2"/>
          <w:sz w:val="20"/>
          <w:szCs w:val="20"/>
          <w14:ligatures w14:val="standardContextual"/>
        </w:rPr>
      </w:pPr>
    </w:p>
    <w:p w14:paraId="19BF6200" w14:textId="77777777" w:rsidR="00963E47" w:rsidRPr="00963E47" w:rsidRDefault="00963E47" w:rsidP="004C3837">
      <w:pPr>
        <w:keepNext/>
        <w:pBdr>
          <w:top w:val="dashSmallGap" w:sz="4" w:space="1" w:color="auto"/>
        </w:pBd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 Control 5:</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Compliance Review and Monitoring</w:t>
      </w:r>
    </w:p>
    <w:p w14:paraId="5E1F6022"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Description:</w:t>
      </w:r>
      <w:r w:rsidRPr="00963E47">
        <w:rPr>
          <w:rFonts w:ascii="Aptos" w:eastAsia="Aptos" w:hAnsi="Aptos" w:cs="Times New Roman"/>
          <w:color w:val="auto"/>
          <w:kern w:val="2"/>
          <w:sz w:val="20"/>
          <w:szCs w:val="20"/>
          <w14:ligatures w14:val="standardContextual"/>
        </w:rPr>
        <w:t xml:space="preserve"> </w:t>
      </w:r>
      <w:r w:rsidRPr="00963E47">
        <w:rPr>
          <w:rFonts w:ascii="Aptos" w:eastAsia="Aptos" w:hAnsi="Aptos" w:cs="Times New Roman"/>
          <w:noProof/>
          <w:color w:val="auto"/>
          <w:kern w:val="2"/>
          <w:sz w:val="20"/>
          <w:szCs w:val="20"/>
          <w14:ligatures w14:val="standardContextual"/>
        </w:rPr>
        <w:t>Regularly review and monitor compliance with information sharing protocols and confidentiality policies, ensuring alignment with evolving regulatory standards.</w:t>
      </w:r>
    </w:p>
    <w:p w14:paraId="74B7D2CA" w14:textId="77777777" w:rsidR="00963E47" w:rsidRPr="00963E47" w:rsidRDefault="00963E47" w:rsidP="004C3837">
      <w:pPr>
        <w:keepNext/>
        <w:rPr>
          <w:rFonts w:ascii="Aptos" w:eastAsia="Aptos" w:hAnsi="Aptos" w:cs="Times New Roman"/>
          <w:color w:val="auto"/>
          <w:kern w:val="2"/>
          <w:sz w:val="20"/>
          <w:szCs w:val="20"/>
          <w14:ligatures w14:val="standardContextual"/>
        </w:rPr>
      </w:pPr>
      <w:r w:rsidRPr="00963E47">
        <w:rPr>
          <w:rFonts w:ascii="Aptos" w:eastAsia="Aptos" w:hAnsi="Aptos" w:cs="Times New Roman"/>
          <w:b/>
          <w:bCs/>
          <w:color w:val="auto"/>
          <w:kern w:val="2"/>
          <w:sz w:val="20"/>
          <w:szCs w:val="20"/>
          <w14:ligatures w14:val="standardContextual"/>
        </w:rPr>
        <w:t>Examples of Effective Evidence:</w:t>
      </w:r>
      <w:r w:rsidRPr="00963E47">
        <w:rPr>
          <w:rFonts w:ascii="Aptos" w:eastAsia="Aptos" w:hAnsi="Aptos" w:cs="Times New Roman"/>
          <w:color w:val="auto"/>
          <w:kern w:val="2"/>
          <w:sz w:val="20"/>
          <w:szCs w:val="20"/>
          <w14:ligatures w14:val="standardContextual"/>
        </w:rPr>
        <w:t xml:space="preserve"> </w:t>
      </w:r>
    </w:p>
    <w:p w14:paraId="4B1E7270"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Audit reports assessing adherence to information sharing protocols and identifying potential gaps.</w:t>
      </w:r>
    </w:p>
    <w:p w14:paraId="6A19119F"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Records of compliance training updates that reflect changes in regulatory requirements.</w:t>
      </w:r>
    </w:p>
    <w:p w14:paraId="5EC5DFEB" w14:textId="77777777" w:rsidR="00963E47" w:rsidRPr="00963E47" w:rsidRDefault="00963E47" w:rsidP="004C3837">
      <w:pPr>
        <w:rPr>
          <w:rFonts w:ascii="Aptos" w:eastAsia="Aptos" w:hAnsi="Aptos" w:cs="Times New Roman"/>
          <w:noProof/>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Documentation of reviews conducted to evaluate the effectiveness of information sharing practices.</w:t>
      </w:r>
    </w:p>
    <w:p w14:paraId="682C2E6F" w14:textId="77777777" w:rsidR="00963E47" w:rsidRPr="00963E47" w:rsidRDefault="00963E47" w:rsidP="004C3837">
      <w:pPr>
        <w:rPr>
          <w:rFonts w:ascii="Aptos" w:eastAsia="Aptos" w:hAnsi="Aptos" w:cs="Times New Roman"/>
          <w:color w:val="auto"/>
          <w:kern w:val="2"/>
          <w:sz w:val="20"/>
          <w:szCs w:val="20"/>
          <w14:ligatures w14:val="standardContextual"/>
        </w:rPr>
      </w:pPr>
      <w:r w:rsidRPr="00963E47">
        <w:rPr>
          <w:rFonts w:ascii="Aptos" w:eastAsia="Aptos" w:hAnsi="Aptos" w:cs="Times New Roman"/>
          <w:noProof/>
          <w:color w:val="auto"/>
          <w:kern w:val="2"/>
          <w:sz w:val="20"/>
          <w:szCs w:val="20"/>
          <w14:ligatures w14:val="standardContextual"/>
        </w:rPr>
        <w:t>• Metrics tracking the number of authorized information sharing instances and any compliance-related incidents.</w:t>
      </w:r>
    </w:p>
    <w:bookmarkEnd w:id="4"/>
    <w:bookmarkEnd w:id="5"/>
    <w:bookmarkEnd w:id="6"/>
    <w:bookmarkEnd w:id="7"/>
    <w:p w14:paraId="6ED7B01D" w14:textId="77777777" w:rsidR="00D55424" w:rsidRDefault="00D55424" w:rsidP="004C3837">
      <w:pPr>
        <w:jc w:val="both"/>
        <w:rPr>
          <w:rFonts w:ascii="Aptos" w:hAnsi="Aptos"/>
          <w:color w:val="auto"/>
        </w:rPr>
      </w:pPr>
    </w:p>
    <w:sectPr w:rsidR="00D55424" w:rsidSect="00232CC7">
      <w:headerReference w:type="default" r:id="rId244"/>
      <w:footerReference w:type="even" r:id="rId245"/>
      <w:footerReference w:type="default" r:id="rId246"/>
      <w:headerReference w:type="first" r:id="rId247"/>
      <w:pgSz w:w="12240" w:h="15840" w:code="1"/>
      <w:pgMar w:top="1987" w:right="1080" w:bottom="1296" w:left="1080" w:header="0" w:footer="1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BD31AB" w14:textId="77777777" w:rsidR="00B14244" w:rsidRDefault="00B14244" w:rsidP="004F2A9E">
      <w:r>
        <w:separator/>
      </w:r>
    </w:p>
  </w:endnote>
  <w:endnote w:type="continuationSeparator" w:id="0">
    <w:p w14:paraId="63D711A8" w14:textId="77777777" w:rsidR="00B14244" w:rsidRDefault="00B14244" w:rsidP="004F2A9E">
      <w:r>
        <w:continuationSeparator/>
      </w:r>
    </w:p>
  </w:endnote>
  <w:endnote w:type="continuationNotice" w:id="1">
    <w:p w14:paraId="7A5F603F" w14:textId="77777777" w:rsidR="00B14244" w:rsidRDefault="00B142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Times New Roman (Headings CS)">
    <w:altName w:val="Times New Roman"/>
    <w:charset w:val="00"/>
    <w:family w:val="roman"/>
    <w:pitch w:val="variable"/>
    <w:sig w:usb0="E0002AEF" w:usb1="C0007841" w:usb2="00000009" w:usb3="00000000" w:csb0="000001FF" w:csb1="00000000"/>
  </w:font>
  <w:font w:name="Montserrat">
    <w:charset w:val="00"/>
    <w:family w:val="auto"/>
    <w:pitch w:val="variable"/>
    <w:sig w:usb0="2000020F" w:usb1="00000003" w:usb2="00000000" w:usb3="00000000" w:csb0="00000197" w:csb1="00000000"/>
  </w:font>
  <w:font w:name="MS PGothic">
    <w:altName w:val="ＭＳ Ｐゴシック"/>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C0B1F" w14:textId="77777777" w:rsidR="00586F89" w:rsidRDefault="00586F89" w:rsidP="004F2A9E">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p w14:paraId="1BD37F74" w14:textId="77777777" w:rsidR="00586F89" w:rsidRDefault="00586F89" w:rsidP="004F2A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EA5C1" w14:textId="2C371D07" w:rsidR="00586F89" w:rsidRPr="00EC0D24" w:rsidRDefault="00200BF2" w:rsidP="004F2A9E">
    <w:pPr>
      <w:pStyle w:val="Footer"/>
      <w:rPr>
        <w:rFonts w:ascii="Aptos" w:hAnsi="Aptos"/>
        <w:sz w:val="24"/>
        <w:szCs w:val="24"/>
      </w:rPr>
    </w:pPr>
    <w:r w:rsidRPr="00EC0D24">
      <w:rPr>
        <w:rFonts w:ascii="Aptos" w:hAnsi="Aptos" w:cs="Times New Roman"/>
        <w:noProof/>
        <w:sz w:val="24"/>
        <w:szCs w:val="24"/>
      </w:rPr>
      <w:drawing>
        <wp:anchor distT="0" distB="0" distL="114300" distR="114300" simplePos="0" relativeHeight="251659776" behindDoc="0" locked="0" layoutInCell="1" allowOverlap="1" wp14:anchorId="07A23C95" wp14:editId="1F628BE8">
          <wp:simplePos x="0" y="0"/>
          <wp:positionH relativeFrom="column">
            <wp:posOffset>3665269</wp:posOffset>
          </wp:positionH>
          <wp:positionV relativeFrom="paragraph">
            <wp:posOffset>-88900</wp:posOffset>
          </wp:positionV>
          <wp:extent cx="3283563" cy="493984"/>
          <wp:effectExtent l="0" t="0" r="0" b="0"/>
          <wp:wrapNone/>
          <wp:docPr id="65796489" name="Picture 65796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83563" cy="493984"/>
                  </a:xfrm>
                  <a:prstGeom prst="rect">
                    <a:avLst/>
                  </a:prstGeom>
                  <a:noFill/>
                </pic:spPr>
              </pic:pic>
            </a:graphicData>
          </a:graphic>
          <wp14:sizeRelH relativeFrom="page">
            <wp14:pctWidth>0</wp14:pctWidth>
          </wp14:sizeRelH>
          <wp14:sizeRelV relativeFrom="page">
            <wp14:pctHeight>0</wp14:pctHeight>
          </wp14:sizeRelV>
        </wp:anchor>
      </w:drawing>
    </w:r>
    <w:r w:rsidR="00586F89" w:rsidRPr="00EC0D24">
      <w:rPr>
        <w:rStyle w:val="PageNumber"/>
        <w:rFonts w:ascii="Aptos" w:hAnsi="Aptos"/>
        <w:b/>
        <w:bCs w:val="0"/>
        <w:color w:val="B31E3E" w:themeColor="accent1"/>
      </w:rPr>
      <w:fldChar w:fldCharType="begin"/>
    </w:r>
    <w:r w:rsidR="00586F89" w:rsidRPr="00EC0D24">
      <w:rPr>
        <w:rStyle w:val="PageNumber"/>
        <w:rFonts w:ascii="Aptos" w:hAnsi="Aptos"/>
        <w:b/>
        <w:bCs w:val="0"/>
        <w:color w:val="B31E3E" w:themeColor="accent1"/>
      </w:rPr>
      <w:instrText xml:space="preserve"> PAGE </w:instrText>
    </w:r>
    <w:r w:rsidR="00586F89" w:rsidRPr="00EC0D24">
      <w:rPr>
        <w:rStyle w:val="PageNumber"/>
        <w:rFonts w:ascii="Aptos" w:hAnsi="Aptos"/>
        <w:b/>
        <w:bCs w:val="0"/>
        <w:color w:val="B31E3E" w:themeColor="accent1"/>
      </w:rPr>
      <w:fldChar w:fldCharType="separate"/>
    </w:r>
    <w:r w:rsidR="00586F89" w:rsidRPr="00EC0D24">
      <w:rPr>
        <w:rStyle w:val="PageNumber"/>
        <w:rFonts w:ascii="Aptos" w:hAnsi="Aptos"/>
        <w:b/>
        <w:bCs w:val="0"/>
        <w:noProof/>
        <w:color w:val="B31E3E" w:themeColor="accent1"/>
      </w:rPr>
      <w:t>4</w:t>
    </w:r>
    <w:r w:rsidR="00586F89" w:rsidRPr="00EC0D24">
      <w:rPr>
        <w:rStyle w:val="PageNumber"/>
        <w:rFonts w:ascii="Aptos" w:hAnsi="Aptos"/>
        <w:b/>
        <w:bCs w:val="0"/>
        <w:color w:val="B31E3E" w:themeColor="accent1"/>
      </w:rPr>
      <w:fldChar w:fldCharType="end"/>
    </w:r>
    <w:r w:rsidR="00586F89" w:rsidRPr="00EC0D24">
      <w:rPr>
        <w:rStyle w:val="PageNumber"/>
        <w:rFonts w:ascii="Aptos" w:hAnsi="Aptos"/>
        <w:color w:val="B31E3E" w:themeColor="accent1"/>
      </w:rPr>
      <w:t xml:space="preserve">   </w:t>
    </w:r>
    <w:r w:rsidR="009F34F5" w:rsidRPr="00EC0D24">
      <w:rPr>
        <w:rStyle w:val="PageNumber"/>
        <w:rFonts w:ascii="Aptos" w:hAnsi="Aptos"/>
        <w:szCs w:val="24"/>
      </w:rPr>
      <w:t xml:space="preserve">FS AI RMF </w:t>
    </w:r>
    <w:r w:rsidR="00EC0D24" w:rsidRPr="00EC0D24">
      <w:rPr>
        <w:rStyle w:val="PageNumber"/>
        <w:rFonts w:ascii="Aptos" w:hAnsi="Aptos"/>
        <w:szCs w:val="24"/>
      </w:rPr>
      <w:t>Reference Guide</w:t>
    </w:r>
    <w:r w:rsidR="00586F89" w:rsidRPr="00EC0D24">
      <w:rPr>
        <w:rStyle w:val="PageNumber"/>
        <w:rFonts w:ascii="Aptos" w:hAnsi="Aptos"/>
        <w:szCs w:val="24"/>
      </w:rPr>
      <w:t xml:space="preserve"> | </w:t>
    </w:r>
    <w:r w:rsidR="00D72AE9">
      <w:rPr>
        <w:rStyle w:val="PageNumber"/>
        <w:rFonts w:ascii="Aptos" w:hAnsi="Aptos"/>
        <w:szCs w:val="24"/>
      </w:rPr>
      <w:t>February</w:t>
    </w:r>
    <w:r w:rsidR="00C47615" w:rsidRPr="00EC0D24">
      <w:rPr>
        <w:rStyle w:val="PageNumber"/>
        <w:rFonts w:ascii="Aptos" w:hAnsi="Aptos"/>
        <w:szCs w:val="24"/>
      </w:rPr>
      <w:t xml:space="preserve"> 202</w:t>
    </w:r>
    <w:r w:rsidR="00D72AE9">
      <w:rPr>
        <w:rStyle w:val="PageNumber"/>
        <w:rFonts w:ascii="Aptos" w:hAnsi="Aptos"/>
        <w:szCs w:val="24"/>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47B98C" w14:textId="77777777" w:rsidR="00B14244" w:rsidRDefault="00B14244" w:rsidP="004F2A9E">
      <w:r>
        <w:separator/>
      </w:r>
    </w:p>
  </w:footnote>
  <w:footnote w:type="continuationSeparator" w:id="0">
    <w:p w14:paraId="1155AC9B" w14:textId="77777777" w:rsidR="00B14244" w:rsidRDefault="00B14244" w:rsidP="004F2A9E">
      <w:r>
        <w:continuationSeparator/>
      </w:r>
    </w:p>
  </w:footnote>
  <w:footnote w:type="continuationNotice" w:id="1">
    <w:p w14:paraId="7B9AC1B7" w14:textId="77777777" w:rsidR="00B14244" w:rsidRDefault="00B142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958AF" w14:textId="123A69B6" w:rsidR="00586F89" w:rsidRDefault="00586F89" w:rsidP="00301CA3">
    <w:pPr>
      <w:pStyle w:val="CoverBodyGrey"/>
    </w:pPr>
    <w:r w:rsidRPr="00E92D0A">
      <w:rPr>
        <w:noProof/>
      </w:rPr>
      <w:drawing>
        <wp:anchor distT="0" distB="0" distL="114300" distR="114300" simplePos="0" relativeHeight="251658242" behindDoc="1" locked="0" layoutInCell="1" allowOverlap="1" wp14:anchorId="23A06F10" wp14:editId="60F0DF2B">
          <wp:simplePos x="0" y="0"/>
          <wp:positionH relativeFrom="column">
            <wp:posOffset>-9727</wp:posOffset>
          </wp:positionH>
          <wp:positionV relativeFrom="paragraph">
            <wp:posOffset>583660</wp:posOffset>
          </wp:positionV>
          <wp:extent cx="2188724" cy="442402"/>
          <wp:effectExtent l="0" t="0" r="0" b="2540"/>
          <wp:wrapNone/>
          <wp:docPr id="1519309856" name="Picture 1519309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88724" cy="44240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F7F77" w14:textId="6C5295C9" w:rsidR="00586F89" w:rsidRDefault="00737E19" w:rsidP="00617728">
    <w:pPr>
      <w:pStyle w:val="Header"/>
    </w:pPr>
    <w:r w:rsidRPr="00E92D0A">
      <w:rPr>
        <w:noProof/>
      </w:rPr>
      <w:drawing>
        <wp:anchor distT="0" distB="0" distL="114300" distR="114300" simplePos="0" relativeHeight="251658240" behindDoc="1" locked="0" layoutInCell="1" allowOverlap="1" wp14:anchorId="32218AA0" wp14:editId="1E5B4B0D">
          <wp:simplePos x="0" y="0"/>
          <wp:positionH relativeFrom="column">
            <wp:posOffset>-84667</wp:posOffset>
          </wp:positionH>
          <wp:positionV relativeFrom="paragraph">
            <wp:posOffset>457200</wp:posOffset>
          </wp:positionV>
          <wp:extent cx="2954867" cy="597260"/>
          <wp:effectExtent l="0" t="0" r="4445" b="0"/>
          <wp:wrapNone/>
          <wp:docPr id="1671122207" name="Picture 167112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043949" cy="6152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BAF61F3E"/>
    <w:lvl w:ilvl="0">
      <w:start w:val="1"/>
      <w:numFmt w:val="bullet"/>
      <w:pStyle w:val="ListBullet4"/>
      <w:lvlText w:val=""/>
      <w:lvlJc w:val="left"/>
      <w:pPr>
        <w:tabs>
          <w:tab w:val="num" w:pos="1440"/>
        </w:tabs>
        <w:ind w:left="1440" w:hanging="360"/>
      </w:pPr>
      <w:rPr>
        <w:rFonts w:ascii="Symbol" w:hAnsi="Symbol" w:hint="default"/>
      </w:rPr>
    </w:lvl>
  </w:abstractNum>
  <w:abstractNum w:abstractNumId="1" w15:restartNumberingAfterBreak="0">
    <w:nsid w:val="FFFFFF82"/>
    <w:multiLevelType w:val="singleLevel"/>
    <w:tmpl w:val="EBDE2A58"/>
    <w:lvl w:ilvl="0">
      <w:start w:val="1"/>
      <w:numFmt w:val="bullet"/>
      <w:pStyle w:val="ListBullet3"/>
      <w:lvlText w:val="o"/>
      <w:lvlJc w:val="left"/>
      <w:pPr>
        <w:ind w:left="1152" w:hanging="360"/>
      </w:pPr>
      <w:rPr>
        <w:rFonts w:ascii="Courier New" w:hAnsi="Courier New" w:cs="Courier New" w:hint="default"/>
      </w:rPr>
    </w:lvl>
  </w:abstractNum>
  <w:abstractNum w:abstractNumId="2" w15:restartNumberingAfterBreak="0">
    <w:nsid w:val="FFFFFF83"/>
    <w:multiLevelType w:val="singleLevel"/>
    <w:tmpl w:val="AEE87472"/>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FFFFFF89"/>
    <w:multiLevelType w:val="singleLevel"/>
    <w:tmpl w:val="A5BEEEC8"/>
    <w:lvl w:ilvl="0">
      <w:start w:val="1"/>
      <w:numFmt w:val="bullet"/>
      <w:pStyle w:val="ListBullet"/>
      <w:lvlText w:val=""/>
      <w:lvlJc w:val="left"/>
      <w:pPr>
        <w:ind w:left="504" w:hanging="288"/>
      </w:pPr>
      <w:rPr>
        <w:rFonts w:ascii="Symbol" w:hAnsi="Symbol" w:hint="default"/>
        <w:color w:val="B31E3E" w:themeColor="accent1"/>
      </w:rPr>
    </w:lvl>
  </w:abstractNum>
  <w:abstractNum w:abstractNumId="4" w15:restartNumberingAfterBreak="0">
    <w:nsid w:val="4F0B1DC8"/>
    <w:multiLevelType w:val="hybridMultilevel"/>
    <w:tmpl w:val="ABAC93B2"/>
    <w:lvl w:ilvl="0" w:tplc="BFE0A76E">
      <w:start w:val="1"/>
      <w:numFmt w:val="bullet"/>
      <w:pStyle w:val="EEEL"/>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B1827A7"/>
    <w:multiLevelType w:val="multilevel"/>
    <w:tmpl w:val="E098D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9759853">
    <w:abstractNumId w:val="0"/>
  </w:num>
  <w:num w:numId="2" w16cid:durableId="1944024345">
    <w:abstractNumId w:val="1"/>
  </w:num>
  <w:num w:numId="3" w16cid:durableId="94178387">
    <w:abstractNumId w:val="2"/>
  </w:num>
  <w:num w:numId="4" w16cid:durableId="1498302033">
    <w:abstractNumId w:val="3"/>
  </w:num>
  <w:num w:numId="5" w16cid:durableId="1381783222">
    <w:abstractNumId w:val="4"/>
  </w:num>
  <w:num w:numId="6" w16cid:durableId="1154568468">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activeWritingStyle w:appName="MSWord" w:lang="fr-CA" w:vendorID="64" w:dllVersion="0" w:nlCheck="1" w:checkStyle="0"/>
  <w:activeWritingStyle w:appName="MSWord" w:lang="es-MX" w:vendorID="64" w:dllVersion="0" w:nlCheck="1" w:checkStyle="0"/>
  <w:proofState w:spelling="clean" w:grammar="clean"/>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E18"/>
    <w:rsid w:val="000001A3"/>
    <w:rsid w:val="00000AF1"/>
    <w:rsid w:val="00000B5E"/>
    <w:rsid w:val="00000C22"/>
    <w:rsid w:val="000022E1"/>
    <w:rsid w:val="00002328"/>
    <w:rsid w:val="000023EE"/>
    <w:rsid w:val="0000247A"/>
    <w:rsid w:val="000024C1"/>
    <w:rsid w:val="000024CB"/>
    <w:rsid w:val="00002B8E"/>
    <w:rsid w:val="0000348A"/>
    <w:rsid w:val="000037CD"/>
    <w:rsid w:val="00003D0D"/>
    <w:rsid w:val="00003E90"/>
    <w:rsid w:val="0000428D"/>
    <w:rsid w:val="000042C6"/>
    <w:rsid w:val="000042E0"/>
    <w:rsid w:val="000046F3"/>
    <w:rsid w:val="00004A70"/>
    <w:rsid w:val="00004ADD"/>
    <w:rsid w:val="00004D73"/>
    <w:rsid w:val="00005332"/>
    <w:rsid w:val="0000572E"/>
    <w:rsid w:val="00005AE8"/>
    <w:rsid w:val="00005D54"/>
    <w:rsid w:val="00005ECA"/>
    <w:rsid w:val="000062E5"/>
    <w:rsid w:val="00006351"/>
    <w:rsid w:val="000063DF"/>
    <w:rsid w:val="0000684F"/>
    <w:rsid w:val="000070EE"/>
    <w:rsid w:val="000071C5"/>
    <w:rsid w:val="00007F02"/>
    <w:rsid w:val="0001040F"/>
    <w:rsid w:val="00010447"/>
    <w:rsid w:val="000104B4"/>
    <w:rsid w:val="00010679"/>
    <w:rsid w:val="00010788"/>
    <w:rsid w:val="00010975"/>
    <w:rsid w:val="00010B81"/>
    <w:rsid w:val="000111B8"/>
    <w:rsid w:val="000113CB"/>
    <w:rsid w:val="00011542"/>
    <w:rsid w:val="000119D7"/>
    <w:rsid w:val="00011A61"/>
    <w:rsid w:val="00011B2E"/>
    <w:rsid w:val="00011D22"/>
    <w:rsid w:val="00011F0C"/>
    <w:rsid w:val="00011F20"/>
    <w:rsid w:val="00011FAA"/>
    <w:rsid w:val="0001237F"/>
    <w:rsid w:val="000127BB"/>
    <w:rsid w:val="00012CB4"/>
    <w:rsid w:val="00012D4B"/>
    <w:rsid w:val="00012F60"/>
    <w:rsid w:val="00012F9C"/>
    <w:rsid w:val="0001301A"/>
    <w:rsid w:val="000134E6"/>
    <w:rsid w:val="000139BA"/>
    <w:rsid w:val="00013C5C"/>
    <w:rsid w:val="00013D33"/>
    <w:rsid w:val="00014175"/>
    <w:rsid w:val="0001419C"/>
    <w:rsid w:val="000149C3"/>
    <w:rsid w:val="00014FB9"/>
    <w:rsid w:val="00015846"/>
    <w:rsid w:val="0001589E"/>
    <w:rsid w:val="0001592F"/>
    <w:rsid w:val="000159A1"/>
    <w:rsid w:val="00015B2D"/>
    <w:rsid w:val="00016580"/>
    <w:rsid w:val="00016770"/>
    <w:rsid w:val="000169AA"/>
    <w:rsid w:val="00016A00"/>
    <w:rsid w:val="00016B06"/>
    <w:rsid w:val="000170E0"/>
    <w:rsid w:val="0001714E"/>
    <w:rsid w:val="000174BC"/>
    <w:rsid w:val="00017922"/>
    <w:rsid w:val="000179FD"/>
    <w:rsid w:val="00017D88"/>
    <w:rsid w:val="00017DFF"/>
    <w:rsid w:val="000200FA"/>
    <w:rsid w:val="00020147"/>
    <w:rsid w:val="0002016F"/>
    <w:rsid w:val="000203E6"/>
    <w:rsid w:val="0002062B"/>
    <w:rsid w:val="00020848"/>
    <w:rsid w:val="000208A5"/>
    <w:rsid w:val="00020D79"/>
    <w:rsid w:val="00020E6D"/>
    <w:rsid w:val="00021119"/>
    <w:rsid w:val="000211C6"/>
    <w:rsid w:val="000212CB"/>
    <w:rsid w:val="000213F4"/>
    <w:rsid w:val="00021468"/>
    <w:rsid w:val="00021DB0"/>
    <w:rsid w:val="0002257D"/>
    <w:rsid w:val="000228F1"/>
    <w:rsid w:val="00022A7F"/>
    <w:rsid w:val="00023693"/>
    <w:rsid w:val="00023883"/>
    <w:rsid w:val="00023A88"/>
    <w:rsid w:val="00023CDF"/>
    <w:rsid w:val="00023FA1"/>
    <w:rsid w:val="00024674"/>
    <w:rsid w:val="00024688"/>
    <w:rsid w:val="00025066"/>
    <w:rsid w:val="0002511B"/>
    <w:rsid w:val="00025380"/>
    <w:rsid w:val="00025518"/>
    <w:rsid w:val="0002576A"/>
    <w:rsid w:val="0002593C"/>
    <w:rsid w:val="00025B9A"/>
    <w:rsid w:val="00025E48"/>
    <w:rsid w:val="000261AE"/>
    <w:rsid w:val="0002623F"/>
    <w:rsid w:val="0002639F"/>
    <w:rsid w:val="00026843"/>
    <w:rsid w:val="00026967"/>
    <w:rsid w:val="00026A0B"/>
    <w:rsid w:val="00026CAE"/>
    <w:rsid w:val="00026CDC"/>
    <w:rsid w:val="00026FAC"/>
    <w:rsid w:val="00027353"/>
    <w:rsid w:val="00027988"/>
    <w:rsid w:val="0002799B"/>
    <w:rsid w:val="00027A33"/>
    <w:rsid w:val="00027C7A"/>
    <w:rsid w:val="00030356"/>
    <w:rsid w:val="0003046E"/>
    <w:rsid w:val="000307FB"/>
    <w:rsid w:val="0003099F"/>
    <w:rsid w:val="00030DFA"/>
    <w:rsid w:val="0003108C"/>
    <w:rsid w:val="000313E2"/>
    <w:rsid w:val="0003150A"/>
    <w:rsid w:val="00031587"/>
    <w:rsid w:val="0003175F"/>
    <w:rsid w:val="00031B97"/>
    <w:rsid w:val="00031BAF"/>
    <w:rsid w:val="00031C15"/>
    <w:rsid w:val="00031DFA"/>
    <w:rsid w:val="000321A0"/>
    <w:rsid w:val="00032472"/>
    <w:rsid w:val="000324C0"/>
    <w:rsid w:val="0003257E"/>
    <w:rsid w:val="00032F99"/>
    <w:rsid w:val="00033103"/>
    <w:rsid w:val="000334EA"/>
    <w:rsid w:val="00033BD6"/>
    <w:rsid w:val="00033BD9"/>
    <w:rsid w:val="00033E18"/>
    <w:rsid w:val="00033F5E"/>
    <w:rsid w:val="00034230"/>
    <w:rsid w:val="000343EC"/>
    <w:rsid w:val="000347C6"/>
    <w:rsid w:val="00034D9F"/>
    <w:rsid w:val="00034F4E"/>
    <w:rsid w:val="000351BF"/>
    <w:rsid w:val="0003544F"/>
    <w:rsid w:val="0003547A"/>
    <w:rsid w:val="000356AC"/>
    <w:rsid w:val="000356E4"/>
    <w:rsid w:val="000359EE"/>
    <w:rsid w:val="000365D1"/>
    <w:rsid w:val="0003672C"/>
    <w:rsid w:val="00036B7D"/>
    <w:rsid w:val="00036E2E"/>
    <w:rsid w:val="00036F36"/>
    <w:rsid w:val="00036F86"/>
    <w:rsid w:val="00037400"/>
    <w:rsid w:val="000378AB"/>
    <w:rsid w:val="00037929"/>
    <w:rsid w:val="00037ED2"/>
    <w:rsid w:val="00037F2F"/>
    <w:rsid w:val="000403A0"/>
    <w:rsid w:val="0004044E"/>
    <w:rsid w:val="00040755"/>
    <w:rsid w:val="00040A19"/>
    <w:rsid w:val="00040B20"/>
    <w:rsid w:val="00040D4D"/>
    <w:rsid w:val="00040D92"/>
    <w:rsid w:val="00040DC3"/>
    <w:rsid w:val="00040FC0"/>
    <w:rsid w:val="0004103F"/>
    <w:rsid w:val="00041164"/>
    <w:rsid w:val="000411FB"/>
    <w:rsid w:val="0004141D"/>
    <w:rsid w:val="00041447"/>
    <w:rsid w:val="00041C7F"/>
    <w:rsid w:val="00041D6E"/>
    <w:rsid w:val="00041D72"/>
    <w:rsid w:val="00041E26"/>
    <w:rsid w:val="00041E4E"/>
    <w:rsid w:val="00041EC7"/>
    <w:rsid w:val="00041FDC"/>
    <w:rsid w:val="000421AD"/>
    <w:rsid w:val="000427C0"/>
    <w:rsid w:val="00042968"/>
    <w:rsid w:val="00042D02"/>
    <w:rsid w:val="00042DC4"/>
    <w:rsid w:val="00042E16"/>
    <w:rsid w:val="00042FB8"/>
    <w:rsid w:val="000433D0"/>
    <w:rsid w:val="00043454"/>
    <w:rsid w:val="0004367B"/>
    <w:rsid w:val="00043820"/>
    <w:rsid w:val="00043B15"/>
    <w:rsid w:val="00043B62"/>
    <w:rsid w:val="00043DEF"/>
    <w:rsid w:val="00043E64"/>
    <w:rsid w:val="000440A7"/>
    <w:rsid w:val="000446F7"/>
    <w:rsid w:val="000447A2"/>
    <w:rsid w:val="000448FE"/>
    <w:rsid w:val="00044A5A"/>
    <w:rsid w:val="00045957"/>
    <w:rsid w:val="000462C8"/>
    <w:rsid w:val="0004653A"/>
    <w:rsid w:val="00047127"/>
    <w:rsid w:val="0004783F"/>
    <w:rsid w:val="000478AB"/>
    <w:rsid w:val="00047984"/>
    <w:rsid w:val="00047D57"/>
    <w:rsid w:val="00050136"/>
    <w:rsid w:val="0005014A"/>
    <w:rsid w:val="00050190"/>
    <w:rsid w:val="00050198"/>
    <w:rsid w:val="0005041C"/>
    <w:rsid w:val="0005058A"/>
    <w:rsid w:val="00050F1D"/>
    <w:rsid w:val="0005103D"/>
    <w:rsid w:val="0005133A"/>
    <w:rsid w:val="00051668"/>
    <w:rsid w:val="000517BF"/>
    <w:rsid w:val="000519B5"/>
    <w:rsid w:val="00051B10"/>
    <w:rsid w:val="00051F93"/>
    <w:rsid w:val="000521F2"/>
    <w:rsid w:val="00052331"/>
    <w:rsid w:val="00052442"/>
    <w:rsid w:val="00052968"/>
    <w:rsid w:val="00052E28"/>
    <w:rsid w:val="00053539"/>
    <w:rsid w:val="00053540"/>
    <w:rsid w:val="000537F3"/>
    <w:rsid w:val="000538E6"/>
    <w:rsid w:val="00053A70"/>
    <w:rsid w:val="00053F0B"/>
    <w:rsid w:val="0005485F"/>
    <w:rsid w:val="000549C9"/>
    <w:rsid w:val="00054A9E"/>
    <w:rsid w:val="00054ACB"/>
    <w:rsid w:val="0005504C"/>
    <w:rsid w:val="000554FE"/>
    <w:rsid w:val="0005589E"/>
    <w:rsid w:val="00055AE2"/>
    <w:rsid w:val="00055B20"/>
    <w:rsid w:val="00055F7C"/>
    <w:rsid w:val="00056123"/>
    <w:rsid w:val="00056135"/>
    <w:rsid w:val="00056285"/>
    <w:rsid w:val="000569AA"/>
    <w:rsid w:val="00056AAC"/>
    <w:rsid w:val="00056F51"/>
    <w:rsid w:val="00057117"/>
    <w:rsid w:val="000573D5"/>
    <w:rsid w:val="000576F6"/>
    <w:rsid w:val="000578B1"/>
    <w:rsid w:val="000578C6"/>
    <w:rsid w:val="00057AA3"/>
    <w:rsid w:val="00057B74"/>
    <w:rsid w:val="00057C16"/>
    <w:rsid w:val="00057CBF"/>
    <w:rsid w:val="000602CE"/>
    <w:rsid w:val="000606AF"/>
    <w:rsid w:val="000606D3"/>
    <w:rsid w:val="000607E4"/>
    <w:rsid w:val="00060AFE"/>
    <w:rsid w:val="00060F4E"/>
    <w:rsid w:val="0006162E"/>
    <w:rsid w:val="00061926"/>
    <w:rsid w:val="00061A8A"/>
    <w:rsid w:val="00061B27"/>
    <w:rsid w:val="00061B98"/>
    <w:rsid w:val="00061EC6"/>
    <w:rsid w:val="00061FEF"/>
    <w:rsid w:val="00062455"/>
    <w:rsid w:val="00062956"/>
    <w:rsid w:val="00062EBC"/>
    <w:rsid w:val="0006346B"/>
    <w:rsid w:val="00063485"/>
    <w:rsid w:val="00063CA6"/>
    <w:rsid w:val="00063F50"/>
    <w:rsid w:val="000640C2"/>
    <w:rsid w:val="0006411C"/>
    <w:rsid w:val="00064DBB"/>
    <w:rsid w:val="00064E1C"/>
    <w:rsid w:val="000650C3"/>
    <w:rsid w:val="000652CF"/>
    <w:rsid w:val="00065FCF"/>
    <w:rsid w:val="000665F2"/>
    <w:rsid w:val="00066AE0"/>
    <w:rsid w:val="00066DF0"/>
    <w:rsid w:val="00067000"/>
    <w:rsid w:val="000672B1"/>
    <w:rsid w:val="0006767E"/>
    <w:rsid w:val="000678FB"/>
    <w:rsid w:val="000679A8"/>
    <w:rsid w:val="00067DA8"/>
    <w:rsid w:val="00067E01"/>
    <w:rsid w:val="00067E13"/>
    <w:rsid w:val="0007007E"/>
    <w:rsid w:val="000701FD"/>
    <w:rsid w:val="000703AA"/>
    <w:rsid w:val="000704B7"/>
    <w:rsid w:val="00070583"/>
    <w:rsid w:val="00070D10"/>
    <w:rsid w:val="000711C2"/>
    <w:rsid w:val="00071328"/>
    <w:rsid w:val="000713A2"/>
    <w:rsid w:val="000713F3"/>
    <w:rsid w:val="0007164A"/>
    <w:rsid w:val="0007168D"/>
    <w:rsid w:val="000716D3"/>
    <w:rsid w:val="00071F14"/>
    <w:rsid w:val="00071FFA"/>
    <w:rsid w:val="00072A09"/>
    <w:rsid w:val="00072B3B"/>
    <w:rsid w:val="0007338B"/>
    <w:rsid w:val="000736C1"/>
    <w:rsid w:val="00073CC6"/>
    <w:rsid w:val="00073EE0"/>
    <w:rsid w:val="0007411C"/>
    <w:rsid w:val="000743C6"/>
    <w:rsid w:val="00074692"/>
    <w:rsid w:val="000748F0"/>
    <w:rsid w:val="00074E34"/>
    <w:rsid w:val="00074FF0"/>
    <w:rsid w:val="00075204"/>
    <w:rsid w:val="0007557B"/>
    <w:rsid w:val="000764BA"/>
    <w:rsid w:val="0007682E"/>
    <w:rsid w:val="000769A2"/>
    <w:rsid w:val="00076A3D"/>
    <w:rsid w:val="00076A52"/>
    <w:rsid w:val="00076A63"/>
    <w:rsid w:val="00076EAC"/>
    <w:rsid w:val="00077529"/>
    <w:rsid w:val="00077823"/>
    <w:rsid w:val="000779C6"/>
    <w:rsid w:val="00077AFD"/>
    <w:rsid w:val="00077F42"/>
    <w:rsid w:val="000802A3"/>
    <w:rsid w:val="000802F2"/>
    <w:rsid w:val="00080563"/>
    <w:rsid w:val="00080884"/>
    <w:rsid w:val="00080CCF"/>
    <w:rsid w:val="0008124C"/>
    <w:rsid w:val="00081578"/>
    <w:rsid w:val="000815BF"/>
    <w:rsid w:val="00081B15"/>
    <w:rsid w:val="0008300C"/>
    <w:rsid w:val="00083635"/>
    <w:rsid w:val="0008413A"/>
    <w:rsid w:val="00084203"/>
    <w:rsid w:val="000844B8"/>
    <w:rsid w:val="000845C7"/>
    <w:rsid w:val="000846F2"/>
    <w:rsid w:val="000849DC"/>
    <w:rsid w:val="00084E4F"/>
    <w:rsid w:val="00085321"/>
    <w:rsid w:val="000853A8"/>
    <w:rsid w:val="000854A0"/>
    <w:rsid w:val="000855A0"/>
    <w:rsid w:val="000855EB"/>
    <w:rsid w:val="00085835"/>
    <w:rsid w:val="0008589B"/>
    <w:rsid w:val="00085DC3"/>
    <w:rsid w:val="00085E7D"/>
    <w:rsid w:val="00085F77"/>
    <w:rsid w:val="0008616B"/>
    <w:rsid w:val="0008624B"/>
    <w:rsid w:val="00086366"/>
    <w:rsid w:val="0008693F"/>
    <w:rsid w:val="00086AAF"/>
    <w:rsid w:val="00086C7D"/>
    <w:rsid w:val="00086F62"/>
    <w:rsid w:val="0008796C"/>
    <w:rsid w:val="000879E5"/>
    <w:rsid w:val="0009002C"/>
    <w:rsid w:val="000900F7"/>
    <w:rsid w:val="00090756"/>
    <w:rsid w:val="00090B28"/>
    <w:rsid w:val="00090B9C"/>
    <w:rsid w:val="00090C62"/>
    <w:rsid w:val="00090F77"/>
    <w:rsid w:val="00091171"/>
    <w:rsid w:val="000919D8"/>
    <w:rsid w:val="00091EC2"/>
    <w:rsid w:val="0009276D"/>
    <w:rsid w:val="000927FE"/>
    <w:rsid w:val="000929C8"/>
    <w:rsid w:val="000929F2"/>
    <w:rsid w:val="000938EA"/>
    <w:rsid w:val="00093FDF"/>
    <w:rsid w:val="00094185"/>
    <w:rsid w:val="00094224"/>
    <w:rsid w:val="0009427A"/>
    <w:rsid w:val="0009464C"/>
    <w:rsid w:val="00094871"/>
    <w:rsid w:val="00094CAF"/>
    <w:rsid w:val="00094E8E"/>
    <w:rsid w:val="0009514F"/>
    <w:rsid w:val="00095B9A"/>
    <w:rsid w:val="00095BE7"/>
    <w:rsid w:val="00095DC8"/>
    <w:rsid w:val="00095E57"/>
    <w:rsid w:val="00095F77"/>
    <w:rsid w:val="000965C5"/>
    <w:rsid w:val="000966DB"/>
    <w:rsid w:val="00096A3C"/>
    <w:rsid w:val="00096E14"/>
    <w:rsid w:val="00096FA7"/>
    <w:rsid w:val="000970D9"/>
    <w:rsid w:val="0009727B"/>
    <w:rsid w:val="00097925"/>
    <w:rsid w:val="00097AFC"/>
    <w:rsid w:val="00097B84"/>
    <w:rsid w:val="00097C74"/>
    <w:rsid w:val="00097CB2"/>
    <w:rsid w:val="00097DC8"/>
    <w:rsid w:val="000A08C4"/>
    <w:rsid w:val="000A0A42"/>
    <w:rsid w:val="000A0C42"/>
    <w:rsid w:val="000A0E9C"/>
    <w:rsid w:val="000A120F"/>
    <w:rsid w:val="000A1704"/>
    <w:rsid w:val="000A197A"/>
    <w:rsid w:val="000A1C80"/>
    <w:rsid w:val="000A2088"/>
    <w:rsid w:val="000A2240"/>
    <w:rsid w:val="000A22D6"/>
    <w:rsid w:val="000A2842"/>
    <w:rsid w:val="000A28CB"/>
    <w:rsid w:val="000A2B7F"/>
    <w:rsid w:val="000A2C47"/>
    <w:rsid w:val="000A2C5A"/>
    <w:rsid w:val="000A2CBF"/>
    <w:rsid w:val="000A2CC0"/>
    <w:rsid w:val="000A2D09"/>
    <w:rsid w:val="000A30C7"/>
    <w:rsid w:val="000A34EC"/>
    <w:rsid w:val="000A3B16"/>
    <w:rsid w:val="000A3E74"/>
    <w:rsid w:val="000A3F91"/>
    <w:rsid w:val="000A401B"/>
    <w:rsid w:val="000A40D2"/>
    <w:rsid w:val="000A4166"/>
    <w:rsid w:val="000A435A"/>
    <w:rsid w:val="000A435B"/>
    <w:rsid w:val="000A4524"/>
    <w:rsid w:val="000A4564"/>
    <w:rsid w:val="000A46A0"/>
    <w:rsid w:val="000A4DA9"/>
    <w:rsid w:val="000A5450"/>
    <w:rsid w:val="000A58B7"/>
    <w:rsid w:val="000A6CCD"/>
    <w:rsid w:val="000A6F7D"/>
    <w:rsid w:val="000A7412"/>
    <w:rsid w:val="000A779E"/>
    <w:rsid w:val="000A77B3"/>
    <w:rsid w:val="000A77C4"/>
    <w:rsid w:val="000A7A6C"/>
    <w:rsid w:val="000A7D20"/>
    <w:rsid w:val="000A7DAB"/>
    <w:rsid w:val="000B0092"/>
    <w:rsid w:val="000B02BC"/>
    <w:rsid w:val="000B04DB"/>
    <w:rsid w:val="000B056E"/>
    <w:rsid w:val="000B065E"/>
    <w:rsid w:val="000B07BE"/>
    <w:rsid w:val="000B1119"/>
    <w:rsid w:val="000B16AB"/>
    <w:rsid w:val="000B1714"/>
    <w:rsid w:val="000B18E1"/>
    <w:rsid w:val="000B1A8B"/>
    <w:rsid w:val="000B1C7E"/>
    <w:rsid w:val="000B2735"/>
    <w:rsid w:val="000B278E"/>
    <w:rsid w:val="000B27B7"/>
    <w:rsid w:val="000B29A5"/>
    <w:rsid w:val="000B2A6D"/>
    <w:rsid w:val="000B2B6C"/>
    <w:rsid w:val="000B2EB2"/>
    <w:rsid w:val="000B2F4B"/>
    <w:rsid w:val="000B3084"/>
    <w:rsid w:val="000B313C"/>
    <w:rsid w:val="000B33EE"/>
    <w:rsid w:val="000B39C5"/>
    <w:rsid w:val="000B3B66"/>
    <w:rsid w:val="000B487A"/>
    <w:rsid w:val="000B4D40"/>
    <w:rsid w:val="000B4DC3"/>
    <w:rsid w:val="000B5141"/>
    <w:rsid w:val="000B5377"/>
    <w:rsid w:val="000B5398"/>
    <w:rsid w:val="000B5C13"/>
    <w:rsid w:val="000B5F5D"/>
    <w:rsid w:val="000B6604"/>
    <w:rsid w:val="000B692F"/>
    <w:rsid w:val="000B6BC1"/>
    <w:rsid w:val="000B6D68"/>
    <w:rsid w:val="000B76E5"/>
    <w:rsid w:val="000B776F"/>
    <w:rsid w:val="000C0072"/>
    <w:rsid w:val="000C017F"/>
    <w:rsid w:val="000C023E"/>
    <w:rsid w:val="000C028C"/>
    <w:rsid w:val="000C0473"/>
    <w:rsid w:val="000C099D"/>
    <w:rsid w:val="000C1B1E"/>
    <w:rsid w:val="000C2051"/>
    <w:rsid w:val="000C244F"/>
    <w:rsid w:val="000C2689"/>
    <w:rsid w:val="000C2B13"/>
    <w:rsid w:val="000C32BA"/>
    <w:rsid w:val="000C3442"/>
    <w:rsid w:val="000C3569"/>
    <w:rsid w:val="000C3C50"/>
    <w:rsid w:val="000C3CF1"/>
    <w:rsid w:val="000C3E91"/>
    <w:rsid w:val="000C40D0"/>
    <w:rsid w:val="000C4126"/>
    <w:rsid w:val="000C4162"/>
    <w:rsid w:val="000C432F"/>
    <w:rsid w:val="000C47C4"/>
    <w:rsid w:val="000C4D17"/>
    <w:rsid w:val="000C4DD2"/>
    <w:rsid w:val="000C4E98"/>
    <w:rsid w:val="000C4EEF"/>
    <w:rsid w:val="000C4F9A"/>
    <w:rsid w:val="000C4FEB"/>
    <w:rsid w:val="000C5065"/>
    <w:rsid w:val="000C524A"/>
    <w:rsid w:val="000C5270"/>
    <w:rsid w:val="000C5436"/>
    <w:rsid w:val="000C5611"/>
    <w:rsid w:val="000C5620"/>
    <w:rsid w:val="000C5A8B"/>
    <w:rsid w:val="000C623A"/>
    <w:rsid w:val="000C655A"/>
    <w:rsid w:val="000C671E"/>
    <w:rsid w:val="000C6916"/>
    <w:rsid w:val="000C6B2C"/>
    <w:rsid w:val="000C6C40"/>
    <w:rsid w:val="000C6F3C"/>
    <w:rsid w:val="000C701A"/>
    <w:rsid w:val="000C7099"/>
    <w:rsid w:val="000C7195"/>
    <w:rsid w:val="000C7D51"/>
    <w:rsid w:val="000D0192"/>
    <w:rsid w:val="000D03CA"/>
    <w:rsid w:val="000D05A0"/>
    <w:rsid w:val="000D0771"/>
    <w:rsid w:val="000D0AD4"/>
    <w:rsid w:val="000D0B36"/>
    <w:rsid w:val="000D0CFF"/>
    <w:rsid w:val="000D0E44"/>
    <w:rsid w:val="000D104D"/>
    <w:rsid w:val="000D1232"/>
    <w:rsid w:val="000D19DB"/>
    <w:rsid w:val="000D1CBD"/>
    <w:rsid w:val="000D219A"/>
    <w:rsid w:val="000D2276"/>
    <w:rsid w:val="000D3055"/>
    <w:rsid w:val="000D31AD"/>
    <w:rsid w:val="000D322F"/>
    <w:rsid w:val="000D33C8"/>
    <w:rsid w:val="000D347F"/>
    <w:rsid w:val="000D386D"/>
    <w:rsid w:val="000D3AEB"/>
    <w:rsid w:val="000D3C1B"/>
    <w:rsid w:val="000D3E9E"/>
    <w:rsid w:val="000D3F74"/>
    <w:rsid w:val="000D4537"/>
    <w:rsid w:val="000D489A"/>
    <w:rsid w:val="000D4D2A"/>
    <w:rsid w:val="000D4DA7"/>
    <w:rsid w:val="000D4F82"/>
    <w:rsid w:val="000D4FA3"/>
    <w:rsid w:val="000D573C"/>
    <w:rsid w:val="000D5B44"/>
    <w:rsid w:val="000D62A9"/>
    <w:rsid w:val="000D62D0"/>
    <w:rsid w:val="000D639C"/>
    <w:rsid w:val="000D662D"/>
    <w:rsid w:val="000D66E6"/>
    <w:rsid w:val="000D6EDC"/>
    <w:rsid w:val="000D6EE7"/>
    <w:rsid w:val="000D71D6"/>
    <w:rsid w:val="000D73AD"/>
    <w:rsid w:val="000D78E1"/>
    <w:rsid w:val="000D7A4B"/>
    <w:rsid w:val="000D7B32"/>
    <w:rsid w:val="000E0042"/>
    <w:rsid w:val="000E063C"/>
    <w:rsid w:val="000E08E2"/>
    <w:rsid w:val="000E0BCF"/>
    <w:rsid w:val="000E0C42"/>
    <w:rsid w:val="000E0DF8"/>
    <w:rsid w:val="000E11B6"/>
    <w:rsid w:val="000E12AD"/>
    <w:rsid w:val="000E137A"/>
    <w:rsid w:val="000E1A09"/>
    <w:rsid w:val="000E1D43"/>
    <w:rsid w:val="000E2308"/>
    <w:rsid w:val="000E23E2"/>
    <w:rsid w:val="000E2D63"/>
    <w:rsid w:val="000E2E3B"/>
    <w:rsid w:val="000E2E8B"/>
    <w:rsid w:val="000E2EEB"/>
    <w:rsid w:val="000E3B0D"/>
    <w:rsid w:val="000E3BEE"/>
    <w:rsid w:val="000E3EB3"/>
    <w:rsid w:val="000E3F23"/>
    <w:rsid w:val="000E41ED"/>
    <w:rsid w:val="000E4941"/>
    <w:rsid w:val="000E4E56"/>
    <w:rsid w:val="000E50D4"/>
    <w:rsid w:val="000E5316"/>
    <w:rsid w:val="000E55D8"/>
    <w:rsid w:val="000E55EE"/>
    <w:rsid w:val="000E5A45"/>
    <w:rsid w:val="000E5B4C"/>
    <w:rsid w:val="000E5B5C"/>
    <w:rsid w:val="000E5CC7"/>
    <w:rsid w:val="000E5E5C"/>
    <w:rsid w:val="000E5F7D"/>
    <w:rsid w:val="000E6930"/>
    <w:rsid w:val="000E6A75"/>
    <w:rsid w:val="000E6E74"/>
    <w:rsid w:val="000E6F88"/>
    <w:rsid w:val="000E729C"/>
    <w:rsid w:val="000E7349"/>
    <w:rsid w:val="000E7771"/>
    <w:rsid w:val="000E7832"/>
    <w:rsid w:val="000E78DB"/>
    <w:rsid w:val="000E7C7B"/>
    <w:rsid w:val="000E7D4B"/>
    <w:rsid w:val="000E7FC5"/>
    <w:rsid w:val="000F016C"/>
    <w:rsid w:val="000F02E7"/>
    <w:rsid w:val="000F064D"/>
    <w:rsid w:val="000F06E0"/>
    <w:rsid w:val="000F0B46"/>
    <w:rsid w:val="000F0F43"/>
    <w:rsid w:val="000F18C4"/>
    <w:rsid w:val="000F199B"/>
    <w:rsid w:val="000F19AD"/>
    <w:rsid w:val="000F1F0E"/>
    <w:rsid w:val="000F20DB"/>
    <w:rsid w:val="000F2218"/>
    <w:rsid w:val="000F2417"/>
    <w:rsid w:val="000F246E"/>
    <w:rsid w:val="000F253A"/>
    <w:rsid w:val="000F2580"/>
    <w:rsid w:val="000F26F2"/>
    <w:rsid w:val="000F2706"/>
    <w:rsid w:val="000F280C"/>
    <w:rsid w:val="000F2967"/>
    <w:rsid w:val="000F2C5C"/>
    <w:rsid w:val="000F2CCD"/>
    <w:rsid w:val="000F363B"/>
    <w:rsid w:val="000F3912"/>
    <w:rsid w:val="000F3B69"/>
    <w:rsid w:val="000F3BCF"/>
    <w:rsid w:val="000F4202"/>
    <w:rsid w:val="000F4A1C"/>
    <w:rsid w:val="000F4D8F"/>
    <w:rsid w:val="000F527C"/>
    <w:rsid w:val="000F540E"/>
    <w:rsid w:val="000F58F4"/>
    <w:rsid w:val="000F59D2"/>
    <w:rsid w:val="000F5D5E"/>
    <w:rsid w:val="000F61DC"/>
    <w:rsid w:val="000F6CCF"/>
    <w:rsid w:val="000F7107"/>
    <w:rsid w:val="000F7335"/>
    <w:rsid w:val="000F797A"/>
    <w:rsid w:val="000F7F92"/>
    <w:rsid w:val="000F7FE2"/>
    <w:rsid w:val="00100008"/>
    <w:rsid w:val="00100324"/>
    <w:rsid w:val="001003DB"/>
    <w:rsid w:val="001006D0"/>
    <w:rsid w:val="0010084A"/>
    <w:rsid w:val="001009A8"/>
    <w:rsid w:val="00100D53"/>
    <w:rsid w:val="00100E0F"/>
    <w:rsid w:val="0010109C"/>
    <w:rsid w:val="0010122C"/>
    <w:rsid w:val="00101DC7"/>
    <w:rsid w:val="00102123"/>
    <w:rsid w:val="001026DD"/>
    <w:rsid w:val="00103444"/>
    <w:rsid w:val="00103638"/>
    <w:rsid w:val="00103881"/>
    <w:rsid w:val="00103B6F"/>
    <w:rsid w:val="0010418B"/>
    <w:rsid w:val="0010458C"/>
    <w:rsid w:val="00104CD4"/>
    <w:rsid w:val="00104EAC"/>
    <w:rsid w:val="00104EEC"/>
    <w:rsid w:val="00105178"/>
    <w:rsid w:val="00105A3E"/>
    <w:rsid w:val="00105DC0"/>
    <w:rsid w:val="00105DD3"/>
    <w:rsid w:val="00105ED2"/>
    <w:rsid w:val="00106097"/>
    <w:rsid w:val="001065AB"/>
    <w:rsid w:val="001067A1"/>
    <w:rsid w:val="00106A20"/>
    <w:rsid w:val="001072EF"/>
    <w:rsid w:val="0010759E"/>
    <w:rsid w:val="00107605"/>
    <w:rsid w:val="001077D5"/>
    <w:rsid w:val="00107939"/>
    <w:rsid w:val="00107E32"/>
    <w:rsid w:val="001101AA"/>
    <w:rsid w:val="0011053B"/>
    <w:rsid w:val="001109BD"/>
    <w:rsid w:val="00110CF5"/>
    <w:rsid w:val="00110F4F"/>
    <w:rsid w:val="00110FBD"/>
    <w:rsid w:val="00111097"/>
    <w:rsid w:val="001114C4"/>
    <w:rsid w:val="0011186F"/>
    <w:rsid w:val="00111C8C"/>
    <w:rsid w:val="001126BB"/>
    <w:rsid w:val="001127AF"/>
    <w:rsid w:val="001128CA"/>
    <w:rsid w:val="00112E64"/>
    <w:rsid w:val="00113070"/>
    <w:rsid w:val="00113190"/>
    <w:rsid w:val="00113806"/>
    <w:rsid w:val="001138A3"/>
    <w:rsid w:val="00113F22"/>
    <w:rsid w:val="00114229"/>
    <w:rsid w:val="001142CE"/>
    <w:rsid w:val="0011440D"/>
    <w:rsid w:val="0011452E"/>
    <w:rsid w:val="00114567"/>
    <w:rsid w:val="001148E3"/>
    <w:rsid w:val="00114A56"/>
    <w:rsid w:val="00114DFE"/>
    <w:rsid w:val="00115333"/>
    <w:rsid w:val="00115469"/>
    <w:rsid w:val="001154AA"/>
    <w:rsid w:val="001156E3"/>
    <w:rsid w:val="001156F7"/>
    <w:rsid w:val="00115780"/>
    <w:rsid w:val="00115A48"/>
    <w:rsid w:val="00115FA7"/>
    <w:rsid w:val="001160DC"/>
    <w:rsid w:val="00116841"/>
    <w:rsid w:val="00116958"/>
    <w:rsid w:val="00116A2D"/>
    <w:rsid w:val="00116A30"/>
    <w:rsid w:val="00116A46"/>
    <w:rsid w:val="00116A78"/>
    <w:rsid w:val="00116B95"/>
    <w:rsid w:val="00116D80"/>
    <w:rsid w:val="00117018"/>
    <w:rsid w:val="00117246"/>
    <w:rsid w:val="0011738F"/>
    <w:rsid w:val="00117436"/>
    <w:rsid w:val="00117945"/>
    <w:rsid w:val="00117E62"/>
    <w:rsid w:val="00120128"/>
    <w:rsid w:val="0012023E"/>
    <w:rsid w:val="0012027A"/>
    <w:rsid w:val="001207D4"/>
    <w:rsid w:val="001208E4"/>
    <w:rsid w:val="0012136F"/>
    <w:rsid w:val="00121686"/>
    <w:rsid w:val="00121742"/>
    <w:rsid w:val="0012198F"/>
    <w:rsid w:val="001219C4"/>
    <w:rsid w:val="00121A44"/>
    <w:rsid w:val="0012211C"/>
    <w:rsid w:val="00122194"/>
    <w:rsid w:val="001224AF"/>
    <w:rsid w:val="00122B71"/>
    <w:rsid w:val="00122B78"/>
    <w:rsid w:val="001230CE"/>
    <w:rsid w:val="00123498"/>
    <w:rsid w:val="00123B14"/>
    <w:rsid w:val="00123B49"/>
    <w:rsid w:val="00123CAD"/>
    <w:rsid w:val="001240A6"/>
    <w:rsid w:val="001241DE"/>
    <w:rsid w:val="001246C0"/>
    <w:rsid w:val="00124B3B"/>
    <w:rsid w:val="00125071"/>
    <w:rsid w:val="00125241"/>
    <w:rsid w:val="001253D3"/>
    <w:rsid w:val="00125D3D"/>
    <w:rsid w:val="00125EDD"/>
    <w:rsid w:val="00126166"/>
    <w:rsid w:val="001263DB"/>
    <w:rsid w:val="001264D3"/>
    <w:rsid w:val="0012653A"/>
    <w:rsid w:val="0012660A"/>
    <w:rsid w:val="00126B40"/>
    <w:rsid w:val="00126CF2"/>
    <w:rsid w:val="00126E86"/>
    <w:rsid w:val="00127001"/>
    <w:rsid w:val="001271F4"/>
    <w:rsid w:val="0012726F"/>
    <w:rsid w:val="0012742B"/>
    <w:rsid w:val="00127BC6"/>
    <w:rsid w:val="00127D8E"/>
    <w:rsid w:val="0013020A"/>
    <w:rsid w:val="00130380"/>
    <w:rsid w:val="001308C6"/>
    <w:rsid w:val="00130A2F"/>
    <w:rsid w:val="0013111D"/>
    <w:rsid w:val="0013118C"/>
    <w:rsid w:val="001312D2"/>
    <w:rsid w:val="001316D8"/>
    <w:rsid w:val="001319E3"/>
    <w:rsid w:val="00131BF4"/>
    <w:rsid w:val="00131C6B"/>
    <w:rsid w:val="00131D87"/>
    <w:rsid w:val="00131DC5"/>
    <w:rsid w:val="00131F64"/>
    <w:rsid w:val="001324E6"/>
    <w:rsid w:val="00132EC6"/>
    <w:rsid w:val="00132FDF"/>
    <w:rsid w:val="0013301B"/>
    <w:rsid w:val="00133138"/>
    <w:rsid w:val="001331FC"/>
    <w:rsid w:val="00133279"/>
    <w:rsid w:val="001334F3"/>
    <w:rsid w:val="001338A8"/>
    <w:rsid w:val="00133A28"/>
    <w:rsid w:val="00133BA3"/>
    <w:rsid w:val="00133D06"/>
    <w:rsid w:val="00133D3A"/>
    <w:rsid w:val="0013435D"/>
    <w:rsid w:val="00134710"/>
    <w:rsid w:val="001347A7"/>
    <w:rsid w:val="0013509D"/>
    <w:rsid w:val="00135169"/>
    <w:rsid w:val="001352DB"/>
    <w:rsid w:val="00135438"/>
    <w:rsid w:val="001354D7"/>
    <w:rsid w:val="001354EC"/>
    <w:rsid w:val="00135510"/>
    <w:rsid w:val="00135533"/>
    <w:rsid w:val="001356DF"/>
    <w:rsid w:val="00135735"/>
    <w:rsid w:val="001358A6"/>
    <w:rsid w:val="00135B9C"/>
    <w:rsid w:val="00135CF2"/>
    <w:rsid w:val="001363E7"/>
    <w:rsid w:val="0013652C"/>
    <w:rsid w:val="0013678D"/>
    <w:rsid w:val="001369F9"/>
    <w:rsid w:val="00136A74"/>
    <w:rsid w:val="00136D9B"/>
    <w:rsid w:val="00136DB2"/>
    <w:rsid w:val="00137078"/>
    <w:rsid w:val="001372B1"/>
    <w:rsid w:val="001372EC"/>
    <w:rsid w:val="00137709"/>
    <w:rsid w:val="001378CC"/>
    <w:rsid w:val="0013795E"/>
    <w:rsid w:val="00137D9E"/>
    <w:rsid w:val="00140312"/>
    <w:rsid w:val="001406BA"/>
    <w:rsid w:val="0014096E"/>
    <w:rsid w:val="00140B37"/>
    <w:rsid w:val="00140C5E"/>
    <w:rsid w:val="00140CC2"/>
    <w:rsid w:val="00141084"/>
    <w:rsid w:val="0014164D"/>
    <w:rsid w:val="0014182B"/>
    <w:rsid w:val="00141A24"/>
    <w:rsid w:val="00141AC0"/>
    <w:rsid w:val="00141C7A"/>
    <w:rsid w:val="00141EEE"/>
    <w:rsid w:val="00141F1E"/>
    <w:rsid w:val="00141FAC"/>
    <w:rsid w:val="00142460"/>
    <w:rsid w:val="00143337"/>
    <w:rsid w:val="00143519"/>
    <w:rsid w:val="00143576"/>
    <w:rsid w:val="00143840"/>
    <w:rsid w:val="00143B16"/>
    <w:rsid w:val="00143C85"/>
    <w:rsid w:val="001441B4"/>
    <w:rsid w:val="00144954"/>
    <w:rsid w:val="00144AF8"/>
    <w:rsid w:val="0014506A"/>
    <w:rsid w:val="0014526C"/>
    <w:rsid w:val="001455E7"/>
    <w:rsid w:val="00145733"/>
    <w:rsid w:val="00145BF2"/>
    <w:rsid w:val="00145DB6"/>
    <w:rsid w:val="001465B0"/>
    <w:rsid w:val="001467D5"/>
    <w:rsid w:val="00146835"/>
    <w:rsid w:val="001469AB"/>
    <w:rsid w:val="00147060"/>
    <w:rsid w:val="0014771F"/>
    <w:rsid w:val="00147846"/>
    <w:rsid w:val="00147911"/>
    <w:rsid w:val="00147B0C"/>
    <w:rsid w:val="0015011E"/>
    <w:rsid w:val="001501E2"/>
    <w:rsid w:val="001503CB"/>
    <w:rsid w:val="00150B07"/>
    <w:rsid w:val="00150E4E"/>
    <w:rsid w:val="0015130F"/>
    <w:rsid w:val="001513C6"/>
    <w:rsid w:val="00151736"/>
    <w:rsid w:val="0015173C"/>
    <w:rsid w:val="00151944"/>
    <w:rsid w:val="001528F1"/>
    <w:rsid w:val="00152902"/>
    <w:rsid w:val="00152D9E"/>
    <w:rsid w:val="00152F37"/>
    <w:rsid w:val="0015303C"/>
    <w:rsid w:val="00153D3D"/>
    <w:rsid w:val="00154043"/>
    <w:rsid w:val="0015424F"/>
    <w:rsid w:val="001547AA"/>
    <w:rsid w:val="00154B12"/>
    <w:rsid w:val="00154E38"/>
    <w:rsid w:val="00154EC3"/>
    <w:rsid w:val="00154F69"/>
    <w:rsid w:val="00155165"/>
    <w:rsid w:val="0015529C"/>
    <w:rsid w:val="00155381"/>
    <w:rsid w:val="00155B10"/>
    <w:rsid w:val="00155EC1"/>
    <w:rsid w:val="00156178"/>
    <w:rsid w:val="001563A5"/>
    <w:rsid w:val="00156B93"/>
    <w:rsid w:val="00156C0B"/>
    <w:rsid w:val="00156EDB"/>
    <w:rsid w:val="00157119"/>
    <w:rsid w:val="00157154"/>
    <w:rsid w:val="0015771F"/>
    <w:rsid w:val="00157815"/>
    <w:rsid w:val="00157BB4"/>
    <w:rsid w:val="00157C2B"/>
    <w:rsid w:val="00157CD5"/>
    <w:rsid w:val="00160A70"/>
    <w:rsid w:val="001613B9"/>
    <w:rsid w:val="0016158F"/>
    <w:rsid w:val="0016162F"/>
    <w:rsid w:val="001619A3"/>
    <w:rsid w:val="0016234C"/>
    <w:rsid w:val="001624E2"/>
    <w:rsid w:val="001625EC"/>
    <w:rsid w:val="001626FA"/>
    <w:rsid w:val="0016276B"/>
    <w:rsid w:val="0016344B"/>
    <w:rsid w:val="0016379F"/>
    <w:rsid w:val="00163B5E"/>
    <w:rsid w:val="00163FDA"/>
    <w:rsid w:val="0016466F"/>
    <w:rsid w:val="00164671"/>
    <w:rsid w:val="001646E8"/>
    <w:rsid w:val="00164AF9"/>
    <w:rsid w:val="00165084"/>
    <w:rsid w:val="0016513C"/>
    <w:rsid w:val="00165368"/>
    <w:rsid w:val="00165371"/>
    <w:rsid w:val="0016556B"/>
    <w:rsid w:val="0016582C"/>
    <w:rsid w:val="00165A5B"/>
    <w:rsid w:val="0016622F"/>
    <w:rsid w:val="00166251"/>
    <w:rsid w:val="001662C5"/>
    <w:rsid w:val="001669DA"/>
    <w:rsid w:val="00166A13"/>
    <w:rsid w:val="00166B4A"/>
    <w:rsid w:val="00166BD1"/>
    <w:rsid w:val="00167195"/>
    <w:rsid w:val="001673F6"/>
    <w:rsid w:val="00167516"/>
    <w:rsid w:val="0016759F"/>
    <w:rsid w:val="001677A2"/>
    <w:rsid w:val="00167948"/>
    <w:rsid w:val="00167AE5"/>
    <w:rsid w:val="00167E6C"/>
    <w:rsid w:val="00167F28"/>
    <w:rsid w:val="00167F59"/>
    <w:rsid w:val="0017078F"/>
    <w:rsid w:val="00171764"/>
    <w:rsid w:val="00171868"/>
    <w:rsid w:val="001718E0"/>
    <w:rsid w:val="00171DD8"/>
    <w:rsid w:val="00171E7F"/>
    <w:rsid w:val="001722B4"/>
    <w:rsid w:val="00172316"/>
    <w:rsid w:val="001723A3"/>
    <w:rsid w:val="00172412"/>
    <w:rsid w:val="0017243D"/>
    <w:rsid w:val="00172965"/>
    <w:rsid w:val="001729C9"/>
    <w:rsid w:val="00172B0B"/>
    <w:rsid w:val="00172E06"/>
    <w:rsid w:val="00172FB9"/>
    <w:rsid w:val="001732BA"/>
    <w:rsid w:val="00173630"/>
    <w:rsid w:val="0017367F"/>
    <w:rsid w:val="00173FE6"/>
    <w:rsid w:val="001746BE"/>
    <w:rsid w:val="001747C8"/>
    <w:rsid w:val="001747E9"/>
    <w:rsid w:val="00174E5F"/>
    <w:rsid w:val="0017509E"/>
    <w:rsid w:val="0017513C"/>
    <w:rsid w:val="0017546E"/>
    <w:rsid w:val="0017561C"/>
    <w:rsid w:val="001758CD"/>
    <w:rsid w:val="0017640C"/>
    <w:rsid w:val="001765A6"/>
    <w:rsid w:val="00177670"/>
    <w:rsid w:val="0017792D"/>
    <w:rsid w:val="00177D0E"/>
    <w:rsid w:val="0018018F"/>
    <w:rsid w:val="0018085F"/>
    <w:rsid w:val="001808F0"/>
    <w:rsid w:val="00180A01"/>
    <w:rsid w:val="00180ADA"/>
    <w:rsid w:val="00180AF0"/>
    <w:rsid w:val="00180E63"/>
    <w:rsid w:val="00180FE8"/>
    <w:rsid w:val="00181405"/>
    <w:rsid w:val="001815F8"/>
    <w:rsid w:val="0018193A"/>
    <w:rsid w:val="001819BD"/>
    <w:rsid w:val="00181B31"/>
    <w:rsid w:val="00181D53"/>
    <w:rsid w:val="00181D87"/>
    <w:rsid w:val="00181DC3"/>
    <w:rsid w:val="00182083"/>
    <w:rsid w:val="0018221E"/>
    <w:rsid w:val="0018273A"/>
    <w:rsid w:val="0018278B"/>
    <w:rsid w:val="00182B8A"/>
    <w:rsid w:val="00182E0C"/>
    <w:rsid w:val="001835E7"/>
    <w:rsid w:val="00183847"/>
    <w:rsid w:val="00183AF8"/>
    <w:rsid w:val="00183F40"/>
    <w:rsid w:val="0018426A"/>
    <w:rsid w:val="001844EA"/>
    <w:rsid w:val="0018484C"/>
    <w:rsid w:val="00184860"/>
    <w:rsid w:val="001849BA"/>
    <w:rsid w:val="00184A78"/>
    <w:rsid w:val="00184AF7"/>
    <w:rsid w:val="00184B82"/>
    <w:rsid w:val="0018502B"/>
    <w:rsid w:val="00185325"/>
    <w:rsid w:val="00185365"/>
    <w:rsid w:val="00185539"/>
    <w:rsid w:val="0018613D"/>
    <w:rsid w:val="00186370"/>
    <w:rsid w:val="0018694F"/>
    <w:rsid w:val="00187044"/>
    <w:rsid w:val="001870D6"/>
    <w:rsid w:val="001873E0"/>
    <w:rsid w:val="001901C4"/>
    <w:rsid w:val="0019044D"/>
    <w:rsid w:val="00190551"/>
    <w:rsid w:val="00190654"/>
    <w:rsid w:val="001906A6"/>
    <w:rsid w:val="001907BA"/>
    <w:rsid w:val="001908C2"/>
    <w:rsid w:val="0019095F"/>
    <w:rsid w:val="00190978"/>
    <w:rsid w:val="001909D4"/>
    <w:rsid w:val="00190C42"/>
    <w:rsid w:val="00190F11"/>
    <w:rsid w:val="00191167"/>
    <w:rsid w:val="0019121C"/>
    <w:rsid w:val="00191416"/>
    <w:rsid w:val="0019180D"/>
    <w:rsid w:val="00191D69"/>
    <w:rsid w:val="0019241F"/>
    <w:rsid w:val="001925FC"/>
    <w:rsid w:val="0019280D"/>
    <w:rsid w:val="001929AF"/>
    <w:rsid w:val="00192EF6"/>
    <w:rsid w:val="00192F1C"/>
    <w:rsid w:val="001930C7"/>
    <w:rsid w:val="00193190"/>
    <w:rsid w:val="001932F2"/>
    <w:rsid w:val="0019371F"/>
    <w:rsid w:val="0019382D"/>
    <w:rsid w:val="001939A8"/>
    <w:rsid w:val="001944A8"/>
    <w:rsid w:val="00194556"/>
    <w:rsid w:val="00194559"/>
    <w:rsid w:val="00194A31"/>
    <w:rsid w:val="00194B43"/>
    <w:rsid w:val="00194D40"/>
    <w:rsid w:val="00195094"/>
    <w:rsid w:val="0019519D"/>
    <w:rsid w:val="001951DE"/>
    <w:rsid w:val="001954B1"/>
    <w:rsid w:val="0019570D"/>
    <w:rsid w:val="00195893"/>
    <w:rsid w:val="00195EAB"/>
    <w:rsid w:val="0019621E"/>
    <w:rsid w:val="001964BE"/>
    <w:rsid w:val="001965F6"/>
    <w:rsid w:val="001966E7"/>
    <w:rsid w:val="001970B4"/>
    <w:rsid w:val="00197938"/>
    <w:rsid w:val="00197AEC"/>
    <w:rsid w:val="00197B1B"/>
    <w:rsid w:val="00197F61"/>
    <w:rsid w:val="001A02DB"/>
    <w:rsid w:val="001A0387"/>
    <w:rsid w:val="001A089A"/>
    <w:rsid w:val="001A0DBA"/>
    <w:rsid w:val="001A0E80"/>
    <w:rsid w:val="001A0EA8"/>
    <w:rsid w:val="001A1268"/>
    <w:rsid w:val="001A16D3"/>
    <w:rsid w:val="001A1814"/>
    <w:rsid w:val="001A18AF"/>
    <w:rsid w:val="001A1B3E"/>
    <w:rsid w:val="001A1E54"/>
    <w:rsid w:val="001A1F40"/>
    <w:rsid w:val="001A2218"/>
    <w:rsid w:val="001A26A8"/>
    <w:rsid w:val="001A2AF9"/>
    <w:rsid w:val="001A334A"/>
    <w:rsid w:val="001A35C2"/>
    <w:rsid w:val="001A3780"/>
    <w:rsid w:val="001A38AF"/>
    <w:rsid w:val="001A3962"/>
    <w:rsid w:val="001A3B6B"/>
    <w:rsid w:val="001A3D18"/>
    <w:rsid w:val="001A4070"/>
    <w:rsid w:val="001A44DE"/>
    <w:rsid w:val="001A4745"/>
    <w:rsid w:val="001A474D"/>
    <w:rsid w:val="001A4E0D"/>
    <w:rsid w:val="001A4E46"/>
    <w:rsid w:val="001A577A"/>
    <w:rsid w:val="001A57D6"/>
    <w:rsid w:val="001A597F"/>
    <w:rsid w:val="001A5B82"/>
    <w:rsid w:val="001A63D1"/>
    <w:rsid w:val="001A6475"/>
    <w:rsid w:val="001A6810"/>
    <w:rsid w:val="001A6DD8"/>
    <w:rsid w:val="001A6F70"/>
    <w:rsid w:val="001A71F5"/>
    <w:rsid w:val="001A7639"/>
    <w:rsid w:val="001A7867"/>
    <w:rsid w:val="001A7A88"/>
    <w:rsid w:val="001B04E1"/>
    <w:rsid w:val="001B07BC"/>
    <w:rsid w:val="001B12AF"/>
    <w:rsid w:val="001B1620"/>
    <w:rsid w:val="001B1717"/>
    <w:rsid w:val="001B18EA"/>
    <w:rsid w:val="001B1A9D"/>
    <w:rsid w:val="001B1B49"/>
    <w:rsid w:val="001B276A"/>
    <w:rsid w:val="001B28BD"/>
    <w:rsid w:val="001B296F"/>
    <w:rsid w:val="001B2C61"/>
    <w:rsid w:val="001B2D22"/>
    <w:rsid w:val="001B2E4B"/>
    <w:rsid w:val="001B2E5C"/>
    <w:rsid w:val="001B30A7"/>
    <w:rsid w:val="001B3550"/>
    <w:rsid w:val="001B35D9"/>
    <w:rsid w:val="001B36A5"/>
    <w:rsid w:val="001B36FE"/>
    <w:rsid w:val="001B37DF"/>
    <w:rsid w:val="001B40DA"/>
    <w:rsid w:val="001B500A"/>
    <w:rsid w:val="001B5343"/>
    <w:rsid w:val="001B5442"/>
    <w:rsid w:val="001B55E8"/>
    <w:rsid w:val="001B5B99"/>
    <w:rsid w:val="001B6048"/>
    <w:rsid w:val="001B612A"/>
    <w:rsid w:val="001B6A3C"/>
    <w:rsid w:val="001B6C02"/>
    <w:rsid w:val="001B6C9C"/>
    <w:rsid w:val="001B6CD1"/>
    <w:rsid w:val="001B7107"/>
    <w:rsid w:val="001B7269"/>
    <w:rsid w:val="001B7B08"/>
    <w:rsid w:val="001B7F7E"/>
    <w:rsid w:val="001C025D"/>
    <w:rsid w:val="001C045A"/>
    <w:rsid w:val="001C0635"/>
    <w:rsid w:val="001C07B8"/>
    <w:rsid w:val="001C089B"/>
    <w:rsid w:val="001C0BCD"/>
    <w:rsid w:val="001C0D12"/>
    <w:rsid w:val="001C0EF1"/>
    <w:rsid w:val="001C10DB"/>
    <w:rsid w:val="001C138F"/>
    <w:rsid w:val="001C159E"/>
    <w:rsid w:val="001C1649"/>
    <w:rsid w:val="001C17BC"/>
    <w:rsid w:val="001C1DA2"/>
    <w:rsid w:val="001C1EDB"/>
    <w:rsid w:val="001C2364"/>
    <w:rsid w:val="001C280E"/>
    <w:rsid w:val="001C2928"/>
    <w:rsid w:val="001C29A7"/>
    <w:rsid w:val="001C2B93"/>
    <w:rsid w:val="001C2CC3"/>
    <w:rsid w:val="001C2DED"/>
    <w:rsid w:val="001C2EA4"/>
    <w:rsid w:val="001C33BF"/>
    <w:rsid w:val="001C35F4"/>
    <w:rsid w:val="001C3618"/>
    <w:rsid w:val="001C369B"/>
    <w:rsid w:val="001C382B"/>
    <w:rsid w:val="001C3B0F"/>
    <w:rsid w:val="001C499F"/>
    <w:rsid w:val="001C4ABD"/>
    <w:rsid w:val="001C4D9D"/>
    <w:rsid w:val="001C5052"/>
    <w:rsid w:val="001C506E"/>
    <w:rsid w:val="001C5223"/>
    <w:rsid w:val="001C5459"/>
    <w:rsid w:val="001C5997"/>
    <w:rsid w:val="001C5A5A"/>
    <w:rsid w:val="001C5FDF"/>
    <w:rsid w:val="001C6106"/>
    <w:rsid w:val="001C6355"/>
    <w:rsid w:val="001C6554"/>
    <w:rsid w:val="001C6574"/>
    <w:rsid w:val="001C65D3"/>
    <w:rsid w:val="001C6633"/>
    <w:rsid w:val="001C6694"/>
    <w:rsid w:val="001C68EE"/>
    <w:rsid w:val="001C697A"/>
    <w:rsid w:val="001C6D42"/>
    <w:rsid w:val="001C790D"/>
    <w:rsid w:val="001C7E3B"/>
    <w:rsid w:val="001C7E82"/>
    <w:rsid w:val="001C7EE4"/>
    <w:rsid w:val="001C7FA0"/>
    <w:rsid w:val="001D012A"/>
    <w:rsid w:val="001D076E"/>
    <w:rsid w:val="001D07DE"/>
    <w:rsid w:val="001D0AD7"/>
    <w:rsid w:val="001D0B56"/>
    <w:rsid w:val="001D0C31"/>
    <w:rsid w:val="001D10DC"/>
    <w:rsid w:val="001D1277"/>
    <w:rsid w:val="001D1E4C"/>
    <w:rsid w:val="001D1E86"/>
    <w:rsid w:val="001D1FDD"/>
    <w:rsid w:val="001D2308"/>
    <w:rsid w:val="001D24FC"/>
    <w:rsid w:val="001D288C"/>
    <w:rsid w:val="001D29E8"/>
    <w:rsid w:val="001D2CF4"/>
    <w:rsid w:val="001D307D"/>
    <w:rsid w:val="001D321E"/>
    <w:rsid w:val="001D329F"/>
    <w:rsid w:val="001D34BF"/>
    <w:rsid w:val="001D3684"/>
    <w:rsid w:val="001D373E"/>
    <w:rsid w:val="001D3AAB"/>
    <w:rsid w:val="001D3C78"/>
    <w:rsid w:val="001D3E1E"/>
    <w:rsid w:val="001D3E7D"/>
    <w:rsid w:val="001D46DA"/>
    <w:rsid w:val="001D4B8D"/>
    <w:rsid w:val="001D4D2C"/>
    <w:rsid w:val="001D4EEC"/>
    <w:rsid w:val="001D4FD5"/>
    <w:rsid w:val="001D5794"/>
    <w:rsid w:val="001D591C"/>
    <w:rsid w:val="001D59FE"/>
    <w:rsid w:val="001D5D79"/>
    <w:rsid w:val="001D5ECA"/>
    <w:rsid w:val="001D5FBE"/>
    <w:rsid w:val="001D5FE8"/>
    <w:rsid w:val="001D6240"/>
    <w:rsid w:val="001D6AC6"/>
    <w:rsid w:val="001D6D2C"/>
    <w:rsid w:val="001D6F5C"/>
    <w:rsid w:val="001D76CE"/>
    <w:rsid w:val="001D78CD"/>
    <w:rsid w:val="001D792D"/>
    <w:rsid w:val="001D7977"/>
    <w:rsid w:val="001E04F5"/>
    <w:rsid w:val="001E0A0A"/>
    <w:rsid w:val="001E0B3B"/>
    <w:rsid w:val="001E111B"/>
    <w:rsid w:val="001E136A"/>
    <w:rsid w:val="001E13EE"/>
    <w:rsid w:val="001E1B63"/>
    <w:rsid w:val="001E1C4C"/>
    <w:rsid w:val="001E1D5E"/>
    <w:rsid w:val="001E1F29"/>
    <w:rsid w:val="001E2163"/>
    <w:rsid w:val="001E2172"/>
    <w:rsid w:val="001E241D"/>
    <w:rsid w:val="001E2893"/>
    <w:rsid w:val="001E2E6D"/>
    <w:rsid w:val="001E37DE"/>
    <w:rsid w:val="001E3E6C"/>
    <w:rsid w:val="001E3F3D"/>
    <w:rsid w:val="001E4497"/>
    <w:rsid w:val="001E44C8"/>
    <w:rsid w:val="001E44D6"/>
    <w:rsid w:val="001E47F4"/>
    <w:rsid w:val="001E482A"/>
    <w:rsid w:val="001E4A30"/>
    <w:rsid w:val="001E4EA5"/>
    <w:rsid w:val="001E4F24"/>
    <w:rsid w:val="001E55DE"/>
    <w:rsid w:val="001E5AF9"/>
    <w:rsid w:val="001E5F0C"/>
    <w:rsid w:val="001E6A97"/>
    <w:rsid w:val="001E6B13"/>
    <w:rsid w:val="001E6CE2"/>
    <w:rsid w:val="001E6FD4"/>
    <w:rsid w:val="001E7188"/>
    <w:rsid w:val="001E73B8"/>
    <w:rsid w:val="001E76B2"/>
    <w:rsid w:val="001E7765"/>
    <w:rsid w:val="001E7853"/>
    <w:rsid w:val="001E7F48"/>
    <w:rsid w:val="001F072C"/>
    <w:rsid w:val="001F0814"/>
    <w:rsid w:val="001F0885"/>
    <w:rsid w:val="001F09E8"/>
    <w:rsid w:val="001F09F4"/>
    <w:rsid w:val="001F0D39"/>
    <w:rsid w:val="001F0D67"/>
    <w:rsid w:val="001F1150"/>
    <w:rsid w:val="001F1454"/>
    <w:rsid w:val="001F172E"/>
    <w:rsid w:val="001F1B77"/>
    <w:rsid w:val="001F1BB8"/>
    <w:rsid w:val="001F1BE0"/>
    <w:rsid w:val="001F1D20"/>
    <w:rsid w:val="001F23A6"/>
    <w:rsid w:val="001F249D"/>
    <w:rsid w:val="001F25BE"/>
    <w:rsid w:val="001F276F"/>
    <w:rsid w:val="001F29A7"/>
    <w:rsid w:val="001F2D96"/>
    <w:rsid w:val="001F301F"/>
    <w:rsid w:val="001F35B6"/>
    <w:rsid w:val="001F3612"/>
    <w:rsid w:val="001F3939"/>
    <w:rsid w:val="001F39B6"/>
    <w:rsid w:val="001F3DD0"/>
    <w:rsid w:val="001F41A4"/>
    <w:rsid w:val="001F4231"/>
    <w:rsid w:val="001F4694"/>
    <w:rsid w:val="001F47E7"/>
    <w:rsid w:val="001F4A6C"/>
    <w:rsid w:val="001F4D5D"/>
    <w:rsid w:val="001F4E7F"/>
    <w:rsid w:val="001F4ED0"/>
    <w:rsid w:val="001F523B"/>
    <w:rsid w:val="001F534F"/>
    <w:rsid w:val="001F53FB"/>
    <w:rsid w:val="001F5448"/>
    <w:rsid w:val="001F5680"/>
    <w:rsid w:val="001F5A91"/>
    <w:rsid w:val="001F60C4"/>
    <w:rsid w:val="001F66DA"/>
    <w:rsid w:val="001F6791"/>
    <w:rsid w:val="001F6A5E"/>
    <w:rsid w:val="001F6ACA"/>
    <w:rsid w:val="001F6D24"/>
    <w:rsid w:val="001F6D7E"/>
    <w:rsid w:val="001F6F85"/>
    <w:rsid w:val="001F745A"/>
    <w:rsid w:val="001F74C6"/>
    <w:rsid w:val="001F7547"/>
    <w:rsid w:val="001F77D9"/>
    <w:rsid w:val="001F7810"/>
    <w:rsid w:val="001F7AB4"/>
    <w:rsid w:val="001F7B67"/>
    <w:rsid w:val="001F7C9B"/>
    <w:rsid w:val="00200384"/>
    <w:rsid w:val="002003EA"/>
    <w:rsid w:val="0020046A"/>
    <w:rsid w:val="00200933"/>
    <w:rsid w:val="00200AB8"/>
    <w:rsid w:val="00200BF2"/>
    <w:rsid w:val="00200D1F"/>
    <w:rsid w:val="00200D9B"/>
    <w:rsid w:val="0020129B"/>
    <w:rsid w:val="0020142E"/>
    <w:rsid w:val="00201589"/>
    <w:rsid w:val="002015BE"/>
    <w:rsid w:val="002016BA"/>
    <w:rsid w:val="00201ADD"/>
    <w:rsid w:val="00201D35"/>
    <w:rsid w:val="00201D3A"/>
    <w:rsid w:val="002021B8"/>
    <w:rsid w:val="002021FC"/>
    <w:rsid w:val="00202481"/>
    <w:rsid w:val="00202720"/>
    <w:rsid w:val="00202779"/>
    <w:rsid w:val="00202936"/>
    <w:rsid w:val="002029B1"/>
    <w:rsid w:val="00202F4C"/>
    <w:rsid w:val="00203007"/>
    <w:rsid w:val="002034CB"/>
    <w:rsid w:val="00203512"/>
    <w:rsid w:val="00203658"/>
    <w:rsid w:val="00203736"/>
    <w:rsid w:val="00203787"/>
    <w:rsid w:val="00203BC7"/>
    <w:rsid w:val="002043D7"/>
    <w:rsid w:val="0020468D"/>
    <w:rsid w:val="0020477C"/>
    <w:rsid w:val="00204A8E"/>
    <w:rsid w:val="00204ED7"/>
    <w:rsid w:val="00204F4C"/>
    <w:rsid w:val="00205231"/>
    <w:rsid w:val="00205265"/>
    <w:rsid w:val="0020528F"/>
    <w:rsid w:val="0020539E"/>
    <w:rsid w:val="002055B2"/>
    <w:rsid w:val="0020570F"/>
    <w:rsid w:val="0020585E"/>
    <w:rsid w:val="002058A4"/>
    <w:rsid w:val="00205D38"/>
    <w:rsid w:val="0020630F"/>
    <w:rsid w:val="0020634D"/>
    <w:rsid w:val="00206379"/>
    <w:rsid w:val="0020643C"/>
    <w:rsid w:val="0020672D"/>
    <w:rsid w:val="002067B0"/>
    <w:rsid w:val="00206868"/>
    <w:rsid w:val="0020688A"/>
    <w:rsid w:val="00206B80"/>
    <w:rsid w:val="00206BAE"/>
    <w:rsid w:val="00206ED9"/>
    <w:rsid w:val="00207209"/>
    <w:rsid w:val="0020725C"/>
    <w:rsid w:val="0020737A"/>
    <w:rsid w:val="002073B1"/>
    <w:rsid w:val="00207639"/>
    <w:rsid w:val="0020772E"/>
    <w:rsid w:val="00207A41"/>
    <w:rsid w:val="00207C46"/>
    <w:rsid w:val="00210284"/>
    <w:rsid w:val="002102B4"/>
    <w:rsid w:val="00210635"/>
    <w:rsid w:val="0021074F"/>
    <w:rsid w:val="00210AA9"/>
    <w:rsid w:val="002111B2"/>
    <w:rsid w:val="002114FD"/>
    <w:rsid w:val="00211988"/>
    <w:rsid w:val="002119CC"/>
    <w:rsid w:val="00211C0B"/>
    <w:rsid w:val="00211C78"/>
    <w:rsid w:val="002121F4"/>
    <w:rsid w:val="00212403"/>
    <w:rsid w:val="00212637"/>
    <w:rsid w:val="0021272E"/>
    <w:rsid w:val="00212822"/>
    <w:rsid w:val="0021282B"/>
    <w:rsid w:val="00212C08"/>
    <w:rsid w:val="00212E3D"/>
    <w:rsid w:val="002131DD"/>
    <w:rsid w:val="00213A38"/>
    <w:rsid w:val="00213BD1"/>
    <w:rsid w:val="00213F8A"/>
    <w:rsid w:val="002141F8"/>
    <w:rsid w:val="002143B5"/>
    <w:rsid w:val="00214583"/>
    <w:rsid w:val="00214698"/>
    <w:rsid w:val="002149BB"/>
    <w:rsid w:val="00214A8D"/>
    <w:rsid w:val="00215588"/>
    <w:rsid w:val="00215BCA"/>
    <w:rsid w:val="00215BE9"/>
    <w:rsid w:val="00215D5D"/>
    <w:rsid w:val="00215EDA"/>
    <w:rsid w:val="00216251"/>
    <w:rsid w:val="00216BE9"/>
    <w:rsid w:val="00216F81"/>
    <w:rsid w:val="002173C4"/>
    <w:rsid w:val="00217AF2"/>
    <w:rsid w:val="00220072"/>
    <w:rsid w:val="0022021A"/>
    <w:rsid w:val="0022030D"/>
    <w:rsid w:val="002206A0"/>
    <w:rsid w:val="0022071E"/>
    <w:rsid w:val="0022082D"/>
    <w:rsid w:val="00220E7C"/>
    <w:rsid w:val="00221302"/>
    <w:rsid w:val="00221633"/>
    <w:rsid w:val="00221731"/>
    <w:rsid w:val="00221983"/>
    <w:rsid w:val="00221F53"/>
    <w:rsid w:val="00221FCC"/>
    <w:rsid w:val="0022204F"/>
    <w:rsid w:val="0022262E"/>
    <w:rsid w:val="0022286C"/>
    <w:rsid w:val="00222AE6"/>
    <w:rsid w:val="00222C22"/>
    <w:rsid w:val="00223235"/>
    <w:rsid w:val="00223541"/>
    <w:rsid w:val="002237B3"/>
    <w:rsid w:val="00224417"/>
    <w:rsid w:val="00224F16"/>
    <w:rsid w:val="002252EE"/>
    <w:rsid w:val="00225724"/>
    <w:rsid w:val="00225D9E"/>
    <w:rsid w:val="00225E01"/>
    <w:rsid w:val="00225FAE"/>
    <w:rsid w:val="002262C7"/>
    <w:rsid w:val="00227027"/>
    <w:rsid w:val="00227660"/>
    <w:rsid w:val="002277AD"/>
    <w:rsid w:val="002277B1"/>
    <w:rsid w:val="00227DFC"/>
    <w:rsid w:val="00227F24"/>
    <w:rsid w:val="00227FCB"/>
    <w:rsid w:val="00230069"/>
    <w:rsid w:val="00230119"/>
    <w:rsid w:val="0023011A"/>
    <w:rsid w:val="00230298"/>
    <w:rsid w:val="00230730"/>
    <w:rsid w:val="002311F4"/>
    <w:rsid w:val="00231839"/>
    <w:rsid w:val="00231911"/>
    <w:rsid w:val="0023238D"/>
    <w:rsid w:val="00232400"/>
    <w:rsid w:val="00232836"/>
    <w:rsid w:val="00232BA2"/>
    <w:rsid w:val="00232CC7"/>
    <w:rsid w:val="002334B3"/>
    <w:rsid w:val="0023393D"/>
    <w:rsid w:val="0023394D"/>
    <w:rsid w:val="002339A9"/>
    <w:rsid w:val="00233D1B"/>
    <w:rsid w:val="00233E4A"/>
    <w:rsid w:val="00233EAD"/>
    <w:rsid w:val="0023405D"/>
    <w:rsid w:val="002342B2"/>
    <w:rsid w:val="00234B0F"/>
    <w:rsid w:val="00234D73"/>
    <w:rsid w:val="0023500A"/>
    <w:rsid w:val="00235196"/>
    <w:rsid w:val="0023562B"/>
    <w:rsid w:val="002358BA"/>
    <w:rsid w:val="00235AE3"/>
    <w:rsid w:val="00235B7E"/>
    <w:rsid w:val="00235BB5"/>
    <w:rsid w:val="00235D29"/>
    <w:rsid w:val="00235DB4"/>
    <w:rsid w:val="0023616C"/>
    <w:rsid w:val="002364D9"/>
    <w:rsid w:val="00236C7F"/>
    <w:rsid w:val="00237089"/>
    <w:rsid w:val="0023715B"/>
    <w:rsid w:val="0023754A"/>
    <w:rsid w:val="0023755F"/>
    <w:rsid w:val="0023761F"/>
    <w:rsid w:val="002376E5"/>
    <w:rsid w:val="00237814"/>
    <w:rsid w:val="00237C6D"/>
    <w:rsid w:val="0024049C"/>
    <w:rsid w:val="002405FE"/>
    <w:rsid w:val="002406E4"/>
    <w:rsid w:val="00240D15"/>
    <w:rsid w:val="00240D1F"/>
    <w:rsid w:val="00240FAE"/>
    <w:rsid w:val="00241222"/>
    <w:rsid w:val="002414AC"/>
    <w:rsid w:val="002414B0"/>
    <w:rsid w:val="002417D9"/>
    <w:rsid w:val="0024195A"/>
    <w:rsid w:val="00241B6B"/>
    <w:rsid w:val="00241D06"/>
    <w:rsid w:val="00241E2C"/>
    <w:rsid w:val="00242253"/>
    <w:rsid w:val="00242479"/>
    <w:rsid w:val="0024284E"/>
    <w:rsid w:val="002429F2"/>
    <w:rsid w:val="00242ABA"/>
    <w:rsid w:val="00242E7C"/>
    <w:rsid w:val="0024304B"/>
    <w:rsid w:val="00243254"/>
    <w:rsid w:val="0024331B"/>
    <w:rsid w:val="00243D81"/>
    <w:rsid w:val="00244290"/>
    <w:rsid w:val="00244671"/>
    <w:rsid w:val="00244ACA"/>
    <w:rsid w:val="00244C36"/>
    <w:rsid w:val="00244DC2"/>
    <w:rsid w:val="00244EFC"/>
    <w:rsid w:val="00244F0D"/>
    <w:rsid w:val="00244F1B"/>
    <w:rsid w:val="00244FD9"/>
    <w:rsid w:val="00245292"/>
    <w:rsid w:val="00245B32"/>
    <w:rsid w:val="00245CF0"/>
    <w:rsid w:val="00245D07"/>
    <w:rsid w:val="00245D70"/>
    <w:rsid w:val="002465E1"/>
    <w:rsid w:val="00246988"/>
    <w:rsid w:val="00246A26"/>
    <w:rsid w:val="00246EBF"/>
    <w:rsid w:val="00247287"/>
    <w:rsid w:val="002472A2"/>
    <w:rsid w:val="002473C8"/>
    <w:rsid w:val="002474AF"/>
    <w:rsid w:val="002477F6"/>
    <w:rsid w:val="00247C2C"/>
    <w:rsid w:val="00247E02"/>
    <w:rsid w:val="00247E69"/>
    <w:rsid w:val="00247ED9"/>
    <w:rsid w:val="00247EEF"/>
    <w:rsid w:val="00250011"/>
    <w:rsid w:val="00250279"/>
    <w:rsid w:val="00250516"/>
    <w:rsid w:val="00250823"/>
    <w:rsid w:val="0025087C"/>
    <w:rsid w:val="00250905"/>
    <w:rsid w:val="00250BD7"/>
    <w:rsid w:val="00251080"/>
    <w:rsid w:val="0025111D"/>
    <w:rsid w:val="00251122"/>
    <w:rsid w:val="00251298"/>
    <w:rsid w:val="00251453"/>
    <w:rsid w:val="002514E6"/>
    <w:rsid w:val="002515C7"/>
    <w:rsid w:val="00251849"/>
    <w:rsid w:val="00252278"/>
    <w:rsid w:val="002522FB"/>
    <w:rsid w:val="0025293C"/>
    <w:rsid w:val="00253109"/>
    <w:rsid w:val="002536D6"/>
    <w:rsid w:val="0025385D"/>
    <w:rsid w:val="002538B1"/>
    <w:rsid w:val="00254415"/>
    <w:rsid w:val="00254D7A"/>
    <w:rsid w:val="00254DBE"/>
    <w:rsid w:val="00255DF4"/>
    <w:rsid w:val="00255E26"/>
    <w:rsid w:val="002560AD"/>
    <w:rsid w:val="00256197"/>
    <w:rsid w:val="002563FE"/>
    <w:rsid w:val="00256AFE"/>
    <w:rsid w:val="00256ECC"/>
    <w:rsid w:val="00257287"/>
    <w:rsid w:val="00257A7E"/>
    <w:rsid w:val="00257C4F"/>
    <w:rsid w:val="00257D35"/>
    <w:rsid w:val="00260078"/>
    <w:rsid w:val="002603D6"/>
    <w:rsid w:val="00260651"/>
    <w:rsid w:val="00260D1A"/>
    <w:rsid w:val="0026148B"/>
    <w:rsid w:val="00261A71"/>
    <w:rsid w:val="00261E34"/>
    <w:rsid w:val="00261E94"/>
    <w:rsid w:val="00261EE5"/>
    <w:rsid w:val="002622EF"/>
    <w:rsid w:val="002626D9"/>
    <w:rsid w:val="002627EF"/>
    <w:rsid w:val="00262925"/>
    <w:rsid w:val="0026299A"/>
    <w:rsid w:val="00262C78"/>
    <w:rsid w:val="00262E93"/>
    <w:rsid w:val="00263568"/>
    <w:rsid w:val="00263951"/>
    <w:rsid w:val="00264240"/>
    <w:rsid w:val="00264371"/>
    <w:rsid w:val="00264463"/>
    <w:rsid w:val="0026468A"/>
    <w:rsid w:val="002647EF"/>
    <w:rsid w:val="002648CF"/>
    <w:rsid w:val="00264E54"/>
    <w:rsid w:val="00265184"/>
    <w:rsid w:val="002651FC"/>
    <w:rsid w:val="00265252"/>
    <w:rsid w:val="0026587D"/>
    <w:rsid w:val="00265ABE"/>
    <w:rsid w:val="00265CCE"/>
    <w:rsid w:val="00265E91"/>
    <w:rsid w:val="00265EEF"/>
    <w:rsid w:val="0026603C"/>
    <w:rsid w:val="0026608F"/>
    <w:rsid w:val="00266156"/>
    <w:rsid w:val="00266238"/>
    <w:rsid w:val="002667C6"/>
    <w:rsid w:val="00266851"/>
    <w:rsid w:val="00266AEC"/>
    <w:rsid w:val="00266B1C"/>
    <w:rsid w:val="0026706C"/>
    <w:rsid w:val="00267074"/>
    <w:rsid w:val="00267297"/>
    <w:rsid w:val="00267307"/>
    <w:rsid w:val="002677AD"/>
    <w:rsid w:val="002678AD"/>
    <w:rsid w:val="002679DC"/>
    <w:rsid w:val="00267DC5"/>
    <w:rsid w:val="00267F03"/>
    <w:rsid w:val="00270036"/>
    <w:rsid w:val="0027020C"/>
    <w:rsid w:val="00270492"/>
    <w:rsid w:val="002705F4"/>
    <w:rsid w:val="00270B46"/>
    <w:rsid w:val="00270E43"/>
    <w:rsid w:val="00270F5F"/>
    <w:rsid w:val="002711EE"/>
    <w:rsid w:val="002713EE"/>
    <w:rsid w:val="0027144E"/>
    <w:rsid w:val="00271640"/>
    <w:rsid w:val="002716C0"/>
    <w:rsid w:val="00271A99"/>
    <w:rsid w:val="00271BB8"/>
    <w:rsid w:val="00272060"/>
    <w:rsid w:val="002728F4"/>
    <w:rsid w:val="002729B5"/>
    <w:rsid w:val="00272D67"/>
    <w:rsid w:val="00272E20"/>
    <w:rsid w:val="002731E2"/>
    <w:rsid w:val="0027321B"/>
    <w:rsid w:val="0027331A"/>
    <w:rsid w:val="0027348F"/>
    <w:rsid w:val="00273967"/>
    <w:rsid w:val="00273C09"/>
    <w:rsid w:val="00273D0A"/>
    <w:rsid w:val="00273FF7"/>
    <w:rsid w:val="002740D6"/>
    <w:rsid w:val="002743B5"/>
    <w:rsid w:val="002744F5"/>
    <w:rsid w:val="002748D3"/>
    <w:rsid w:val="00274D67"/>
    <w:rsid w:val="00274DA8"/>
    <w:rsid w:val="00275039"/>
    <w:rsid w:val="00275129"/>
    <w:rsid w:val="0027530D"/>
    <w:rsid w:val="0027553E"/>
    <w:rsid w:val="00275780"/>
    <w:rsid w:val="0027596D"/>
    <w:rsid w:val="00275A1C"/>
    <w:rsid w:val="00275C33"/>
    <w:rsid w:val="00275D3A"/>
    <w:rsid w:val="00275F22"/>
    <w:rsid w:val="00275FDA"/>
    <w:rsid w:val="00276218"/>
    <w:rsid w:val="00276531"/>
    <w:rsid w:val="0027699C"/>
    <w:rsid w:val="0027742C"/>
    <w:rsid w:val="0027763E"/>
    <w:rsid w:val="0027768F"/>
    <w:rsid w:val="0028002B"/>
    <w:rsid w:val="00280049"/>
    <w:rsid w:val="0028075E"/>
    <w:rsid w:val="00280E2B"/>
    <w:rsid w:val="00280F9E"/>
    <w:rsid w:val="002813E0"/>
    <w:rsid w:val="00281480"/>
    <w:rsid w:val="002816C1"/>
    <w:rsid w:val="002817A0"/>
    <w:rsid w:val="0028194C"/>
    <w:rsid w:val="00282011"/>
    <w:rsid w:val="0028235B"/>
    <w:rsid w:val="00282EDA"/>
    <w:rsid w:val="00282FDF"/>
    <w:rsid w:val="0028300C"/>
    <w:rsid w:val="0028309D"/>
    <w:rsid w:val="002833D8"/>
    <w:rsid w:val="00284115"/>
    <w:rsid w:val="002842CE"/>
    <w:rsid w:val="00284738"/>
    <w:rsid w:val="00284A28"/>
    <w:rsid w:val="00284F8F"/>
    <w:rsid w:val="0028505A"/>
    <w:rsid w:val="002854A8"/>
    <w:rsid w:val="00285806"/>
    <w:rsid w:val="00285D10"/>
    <w:rsid w:val="00285DAC"/>
    <w:rsid w:val="00286466"/>
    <w:rsid w:val="00286D06"/>
    <w:rsid w:val="00287604"/>
    <w:rsid w:val="00287994"/>
    <w:rsid w:val="00287F64"/>
    <w:rsid w:val="00290201"/>
    <w:rsid w:val="00290454"/>
    <w:rsid w:val="00290B65"/>
    <w:rsid w:val="00290B7E"/>
    <w:rsid w:val="00290E39"/>
    <w:rsid w:val="00290FEB"/>
    <w:rsid w:val="0029102D"/>
    <w:rsid w:val="0029128F"/>
    <w:rsid w:val="002914E1"/>
    <w:rsid w:val="00291669"/>
    <w:rsid w:val="00291ACA"/>
    <w:rsid w:val="002924C1"/>
    <w:rsid w:val="00292859"/>
    <w:rsid w:val="002928D4"/>
    <w:rsid w:val="002928F3"/>
    <w:rsid w:val="00292A11"/>
    <w:rsid w:val="00292D92"/>
    <w:rsid w:val="00292EAF"/>
    <w:rsid w:val="00292EB6"/>
    <w:rsid w:val="00292EF0"/>
    <w:rsid w:val="002932D7"/>
    <w:rsid w:val="002933D6"/>
    <w:rsid w:val="0029362E"/>
    <w:rsid w:val="00293985"/>
    <w:rsid w:val="00293A58"/>
    <w:rsid w:val="00293DF2"/>
    <w:rsid w:val="00293F4C"/>
    <w:rsid w:val="0029407E"/>
    <w:rsid w:val="00294177"/>
    <w:rsid w:val="00294181"/>
    <w:rsid w:val="00294232"/>
    <w:rsid w:val="002947E9"/>
    <w:rsid w:val="00294BAC"/>
    <w:rsid w:val="00294CAF"/>
    <w:rsid w:val="00294FD3"/>
    <w:rsid w:val="00295380"/>
    <w:rsid w:val="00295FFD"/>
    <w:rsid w:val="002962B1"/>
    <w:rsid w:val="00296B9B"/>
    <w:rsid w:val="00296E40"/>
    <w:rsid w:val="00297055"/>
    <w:rsid w:val="00297403"/>
    <w:rsid w:val="002979B8"/>
    <w:rsid w:val="00297DF8"/>
    <w:rsid w:val="002A0298"/>
    <w:rsid w:val="002A0647"/>
    <w:rsid w:val="002A06CE"/>
    <w:rsid w:val="002A09D9"/>
    <w:rsid w:val="002A0B00"/>
    <w:rsid w:val="002A0C80"/>
    <w:rsid w:val="002A13D0"/>
    <w:rsid w:val="002A1522"/>
    <w:rsid w:val="002A1792"/>
    <w:rsid w:val="002A19C6"/>
    <w:rsid w:val="002A1C15"/>
    <w:rsid w:val="002A1FF6"/>
    <w:rsid w:val="002A2117"/>
    <w:rsid w:val="002A23B7"/>
    <w:rsid w:val="002A2A46"/>
    <w:rsid w:val="002A2A95"/>
    <w:rsid w:val="002A2E6B"/>
    <w:rsid w:val="002A3343"/>
    <w:rsid w:val="002A349B"/>
    <w:rsid w:val="002A3591"/>
    <w:rsid w:val="002A3627"/>
    <w:rsid w:val="002A398F"/>
    <w:rsid w:val="002A3A1C"/>
    <w:rsid w:val="002A3DD6"/>
    <w:rsid w:val="002A5084"/>
    <w:rsid w:val="002A5772"/>
    <w:rsid w:val="002A5CB8"/>
    <w:rsid w:val="002A5D51"/>
    <w:rsid w:val="002A5D9B"/>
    <w:rsid w:val="002A5DEA"/>
    <w:rsid w:val="002A5EC7"/>
    <w:rsid w:val="002A62AB"/>
    <w:rsid w:val="002A64B0"/>
    <w:rsid w:val="002A6835"/>
    <w:rsid w:val="002A6D1C"/>
    <w:rsid w:val="002A71BB"/>
    <w:rsid w:val="002A71BC"/>
    <w:rsid w:val="002A73E1"/>
    <w:rsid w:val="002A7431"/>
    <w:rsid w:val="002A760B"/>
    <w:rsid w:val="002A775A"/>
    <w:rsid w:val="002A7E05"/>
    <w:rsid w:val="002B0040"/>
    <w:rsid w:val="002B0409"/>
    <w:rsid w:val="002B0540"/>
    <w:rsid w:val="002B0651"/>
    <w:rsid w:val="002B0AF9"/>
    <w:rsid w:val="002B0BE5"/>
    <w:rsid w:val="002B0FCC"/>
    <w:rsid w:val="002B128B"/>
    <w:rsid w:val="002B16E0"/>
    <w:rsid w:val="002B18EB"/>
    <w:rsid w:val="002B1AA8"/>
    <w:rsid w:val="002B1C70"/>
    <w:rsid w:val="002B1C7F"/>
    <w:rsid w:val="002B1E46"/>
    <w:rsid w:val="002B241F"/>
    <w:rsid w:val="002B2B46"/>
    <w:rsid w:val="002B2F66"/>
    <w:rsid w:val="002B302D"/>
    <w:rsid w:val="002B315B"/>
    <w:rsid w:val="002B323C"/>
    <w:rsid w:val="002B32B9"/>
    <w:rsid w:val="002B334C"/>
    <w:rsid w:val="002B37A1"/>
    <w:rsid w:val="002B37FC"/>
    <w:rsid w:val="002B3C9F"/>
    <w:rsid w:val="002B400B"/>
    <w:rsid w:val="002B48F6"/>
    <w:rsid w:val="002B4A92"/>
    <w:rsid w:val="002B5024"/>
    <w:rsid w:val="002B51A7"/>
    <w:rsid w:val="002B5536"/>
    <w:rsid w:val="002B57CD"/>
    <w:rsid w:val="002B57CF"/>
    <w:rsid w:val="002B5AF5"/>
    <w:rsid w:val="002B5D93"/>
    <w:rsid w:val="002B5FAF"/>
    <w:rsid w:val="002B60E3"/>
    <w:rsid w:val="002B60F8"/>
    <w:rsid w:val="002B6113"/>
    <w:rsid w:val="002B615C"/>
    <w:rsid w:val="002B640E"/>
    <w:rsid w:val="002B66B4"/>
    <w:rsid w:val="002B6AEC"/>
    <w:rsid w:val="002B6BB9"/>
    <w:rsid w:val="002B6CAD"/>
    <w:rsid w:val="002B70A2"/>
    <w:rsid w:val="002C04A4"/>
    <w:rsid w:val="002C07C8"/>
    <w:rsid w:val="002C07E0"/>
    <w:rsid w:val="002C08DD"/>
    <w:rsid w:val="002C09DB"/>
    <w:rsid w:val="002C122A"/>
    <w:rsid w:val="002C1AC0"/>
    <w:rsid w:val="002C1CF2"/>
    <w:rsid w:val="002C1D57"/>
    <w:rsid w:val="002C1E18"/>
    <w:rsid w:val="002C1EF3"/>
    <w:rsid w:val="002C2640"/>
    <w:rsid w:val="002C279C"/>
    <w:rsid w:val="002C288F"/>
    <w:rsid w:val="002C2C4F"/>
    <w:rsid w:val="002C3529"/>
    <w:rsid w:val="002C352E"/>
    <w:rsid w:val="002C364F"/>
    <w:rsid w:val="002C3A54"/>
    <w:rsid w:val="002C3D22"/>
    <w:rsid w:val="002C4183"/>
    <w:rsid w:val="002C4355"/>
    <w:rsid w:val="002C43C7"/>
    <w:rsid w:val="002C4575"/>
    <w:rsid w:val="002C4781"/>
    <w:rsid w:val="002C49B0"/>
    <w:rsid w:val="002C4EE2"/>
    <w:rsid w:val="002C514D"/>
    <w:rsid w:val="002C54DA"/>
    <w:rsid w:val="002C56F9"/>
    <w:rsid w:val="002C579C"/>
    <w:rsid w:val="002C5A7C"/>
    <w:rsid w:val="002C5CE9"/>
    <w:rsid w:val="002C5DBA"/>
    <w:rsid w:val="002C657B"/>
    <w:rsid w:val="002C6666"/>
    <w:rsid w:val="002C6754"/>
    <w:rsid w:val="002C677A"/>
    <w:rsid w:val="002C68C2"/>
    <w:rsid w:val="002C694E"/>
    <w:rsid w:val="002C71C2"/>
    <w:rsid w:val="002C72F4"/>
    <w:rsid w:val="002C7532"/>
    <w:rsid w:val="002C7CBC"/>
    <w:rsid w:val="002D006F"/>
    <w:rsid w:val="002D01E7"/>
    <w:rsid w:val="002D0633"/>
    <w:rsid w:val="002D089F"/>
    <w:rsid w:val="002D0D02"/>
    <w:rsid w:val="002D14C2"/>
    <w:rsid w:val="002D15DF"/>
    <w:rsid w:val="002D1CAC"/>
    <w:rsid w:val="002D1D35"/>
    <w:rsid w:val="002D1DB5"/>
    <w:rsid w:val="002D20D1"/>
    <w:rsid w:val="002D24F1"/>
    <w:rsid w:val="002D257D"/>
    <w:rsid w:val="002D2843"/>
    <w:rsid w:val="002D28C5"/>
    <w:rsid w:val="002D2A1C"/>
    <w:rsid w:val="002D30BA"/>
    <w:rsid w:val="002D3577"/>
    <w:rsid w:val="002D3761"/>
    <w:rsid w:val="002D3908"/>
    <w:rsid w:val="002D3AC0"/>
    <w:rsid w:val="002D3B1A"/>
    <w:rsid w:val="002D3F3E"/>
    <w:rsid w:val="002D4101"/>
    <w:rsid w:val="002D4490"/>
    <w:rsid w:val="002D49ED"/>
    <w:rsid w:val="002D4BE2"/>
    <w:rsid w:val="002D4C5F"/>
    <w:rsid w:val="002D4C8C"/>
    <w:rsid w:val="002D4F45"/>
    <w:rsid w:val="002D5043"/>
    <w:rsid w:val="002D5112"/>
    <w:rsid w:val="002D528D"/>
    <w:rsid w:val="002D5323"/>
    <w:rsid w:val="002D54D7"/>
    <w:rsid w:val="002D5562"/>
    <w:rsid w:val="002D568A"/>
    <w:rsid w:val="002D5733"/>
    <w:rsid w:val="002D5927"/>
    <w:rsid w:val="002D59B4"/>
    <w:rsid w:val="002D5A9A"/>
    <w:rsid w:val="002D5C4F"/>
    <w:rsid w:val="002D5EEA"/>
    <w:rsid w:val="002D609C"/>
    <w:rsid w:val="002D6310"/>
    <w:rsid w:val="002D658F"/>
    <w:rsid w:val="002D6AE8"/>
    <w:rsid w:val="002D7028"/>
    <w:rsid w:val="002D708C"/>
    <w:rsid w:val="002D76BF"/>
    <w:rsid w:val="002D7931"/>
    <w:rsid w:val="002D7A72"/>
    <w:rsid w:val="002D7E9F"/>
    <w:rsid w:val="002D7ED8"/>
    <w:rsid w:val="002E0021"/>
    <w:rsid w:val="002E014A"/>
    <w:rsid w:val="002E016D"/>
    <w:rsid w:val="002E02E9"/>
    <w:rsid w:val="002E077F"/>
    <w:rsid w:val="002E0BEC"/>
    <w:rsid w:val="002E0EE1"/>
    <w:rsid w:val="002E0FAC"/>
    <w:rsid w:val="002E1177"/>
    <w:rsid w:val="002E129E"/>
    <w:rsid w:val="002E1AF9"/>
    <w:rsid w:val="002E1DE6"/>
    <w:rsid w:val="002E1EE3"/>
    <w:rsid w:val="002E317A"/>
    <w:rsid w:val="002E343D"/>
    <w:rsid w:val="002E377D"/>
    <w:rsid w:val="002E3954"/>
    <w:rsid w:val="002E3C1A"/>
    <w:rsid w:val="002E40E6"/>
    <w:rsid w:val="002E4300"/>
    <w:rsid w:val="002E46D8"/>
    <w:rsid w:val="002E4785"/>
    <w:rsid w:val="002E4F05"/>
    <w:rsid w:val="002E4FBC"/>
    <w:rsid w:val="002E4FF0"/>
    <w:rsid w:val="002E54F7"/>
    <w:rsid w:val="002E551A"/>
    <w:rsid w:val="002E58B6"/>
    <w:rsid w:val="002E5FD0"/>
    <w:rsid w:val="002E606C"/>
    <w:rsid w:val="002E60AC"/>
    <w:rsid w:val="002E6A07"/>
    <w:rsid w:val="002E6A50"/>
    <w:rsid w:val="002E6B53"/>
    <w:rsid w:val="002E6DA2"/>
    <w:rsid w:val="002E6FDE"/>
    <w:rsid w:val="002E75A5"/>
    <w:rsid w:val="002E7613"/>
    <w:rsid w:val="002E7B5D"/>
    <w:rsid w:val="002E7C2D"/>
    <w:rsid w:val="002E7F95"/>
    <w:rsid w:val="002F006B"/>
    <w:rsid w:val="002F0209"/>
    <w:rsid w:val="002F0340"/>
    <w:rsid w:val="002F07B5"/>
    <w:rsid w:val="002F0822"/>
    <w:rsid w:val="002F0A28"/>
    <w:rsid w:val="002F0F14"/>
    <w:rsid w:val="002F0F4C"/>
    <w:rsid w:val="002F0FC3"/>
    <w:rsid w:val="002F109C"/>
    <w:rsid w:val="002F1245"/>
    <w:rsid w:val="002F1395"/>
    <w:rsid w:val="002F149C"/>
    <w:rsid w:val="002F1582"/>
    <w:rsid w:val="002F15AA"/>
    <w:rsid w:val="002F15CA"/>
    <w:rsid w:val="002F19B2"/>
    <w:rsid w:val="002F1AAF"/>
    <w:rsid w:val="002F1B35"/>
    <w:rsid w:val="002F1C90"/>
    <w:rsid w:val="002F200B"/>
    <w:rsid w:val="002F2110"/>
    <w:rsid w:val="002F25CB"/>
    <w:rsid w:val="002F2932"/>
    <w:rsid w:val="002F29A2"/>
    <w:rsid w:val="002F29C9"/>
    <w:rsid w:val="002F2AFD"/>
    <w:rsid w:val="002F2D7A"/>
    <w:rsid w:val="002F2E2B"/>
    <w:rsid w:val="002F2F9A"/>
    <w:rsid w:val="002F3747"/>
    <w:rsid w:val="002F3ED2"/>
    <w:rsid w:val="002F4220"/>
    <w:rsid w:val="002F42BD"/>
    <w:rsid w:val="002F4459"/>
    <w:rsid w:val="002F490C"/>
    <w:rsid w:val="002F4C40"/>
    <w:rsid w:val="002F4D05"/>
    <w:rsid w:val="002F5435"/>
    <w:rsid w:val="002F5546"/>
    <w:rsid w:val="002F5967"/>
    <w:rsid w:val="002F59DA"/>
    <w:rsid w:val="002F5A7C"/>
    <w:rsid w:val="002F5B9B"/>
    <w:rsid w:val="002F5DA7"/>
    <w:rsid w:val="002F6214"/>
    <w:rsid w:val="002F62BA"/>
    <w:rsid w:val="002F64AD"/>
    <w:rsid w:val="002F6920"/>
    <w:rsid w:val="002F6A10"/>
    <w:rsid w:val="002F6E53"/>
    <w:rsid w:val="002F731E"/>
    <w:rsid w:val="002F73F4"/>
    <w:rsid w:val="002F7553"/>
    <w:rsid w:val="002F7594"/>
    <w:rsid w:val="002F76EE"/>
    <w:rsid w:val="002F770B"/>
    <w:rsid w:val="002F78E3"/>
    <w:rsid w:val="002F79BC"/>
    <w:rsid w:val="002F79F0"/>
    <w:rsid w:val="002F7B29"/>
    <w:rsid w:val="002F7B3F"/>
    <w:rsid w:val="003002D1"/>
    <w:rsid w:val="00300402"/>
    <w:rsid w:val="00300741"/>
    <w:rsid w:val="00300982"/>
    <w:rsid w:val="00300CF2"/>
    <w:rsid w:val="00300D51"/>
    <w:rsid w:val="003010F9"/>
    <w:rsid w:val="00301114"/>
    <w:rsid w:val="00301725"/>
    <w:rsid w:val="00301750"/>
    <w:rsid w:val="0030188F"/>
    <w:rsid w:val="00301CA3"/>
    <w:rsid w:val="0030296C"/>
    <w:rsid w:val="00302C03"/>
    <w:rsid w:val="00302CC9"/>
    <w:rsid w:val="00302DC6"/>
    <w:rsid w:val="00302E3A"/>
    <w:rsid w:val="003036D1"/>
    <w:rsid w:val="00303A86"/>
    <w:rsid w:val="00303B42"/>
    <w:rsid w:val="003043B7"/>
    <w:rsid w:val="0030447F"/>
    <w:rsid w:val="0030477C"/>
    <w:rsid w:val="00304B3B"/>
    <w:rsid w:val="00304CA0"/>
    <w:rsid w:val="00304D7E"/>
    <w:rsid w:val="00305341"/>
    <w:rsid w:val="00305446"/>
    <w:rsid w:val="003056CC"/>
    <w:rsid w:val="0030586B"/>
    <w:rsid w:val="00305AA7"/>
    <w:rsid w:val="00305EAD"/>
    <w:rsid w:val="00306193"/>
    <w:rsid w:val="00306434"/>
    <w:rsid w:val="00306481"/>
    <w:rsid w:val="003065B1"/>
    <w:rsid w:val="003066F8"/>
    <w:rsid w:val="00306B66"/>
    <w:rsid w:val="00306BE5"/>
    <w:rsid w:val="00307177"/>
    <w:rsid w:val="00307639"/>
    <w:rsid w:val="00307857"/>
    <w:rsid w:val="00307909"/>
    <w:rsid w:val="0031020B"/>
    <w:rsid w:val="00310302"/>
    <w:rsid w:val="00310725"/>
    <w:rsid w:val="00310D86"/>
    <w:rsid w:val="00310E66"/>
    <w:rsid w:val="003113BB"/>
    <w:rsid w:val="0031151C"/>
    <w:rsid w:val="003115B0"/>
    <w:rsid w:val="003115F5"/>
    <w:rsid w:val="0031164B"/>
    <w:rsid w:val="003119ED"/>
    <w:rsid w:val="00311ED0"/>
    <w:rsid w:val="003122EB"/>
    <w:rsid w:val="00312330"/>
    <w:rsid w:val="00312BC9"/>
    <w:rsid w:val="00312DD0"/>
    <w:rsid w:val="0031308B"/>
    <w:rsid w:val="00313457"/>
    <w:rsid w:val="00313F99"/>
    <w:rsid w:val="00314067"/>
    <w:rsid w:val="003145A9"/>
    <w:rsid w:val="0031491B"/>
    <w:rsid w:val="00314EDF"/>
    <w:rsid w:val="00315037"/>
    <w:rsid w:val="00315224"/>
    <w:rsid w:val="003152FA"/>
    <w:rsid w:val="00315666"/>
    <w:rsid w:val="00315667"/>
    <w:rsid w:val="003156AB"/>
    <w:rsid w:val="0031583D"/>
    <w:rsid w:val="003158A5"/>
    <w:rsid w:val="003159E4"/>
    <w:rsid w:val="00315CB8"/>
    <w:rsid w:val="00315E28"/>
    <w:rsid w:val="0031670F"/>
    <w:rsid w:val="00316CE5"/>
    <w:rsid w:val="00316F65"/>
    <w:rsid w:val="00317007"/>
    <w:rsid w:val="003173FA"/>
    <w:rsid w:val="00317AED"/>
    <w:rsid w:val="00317CA5"/>
    <w:rsid w:val="00317CDC"/>
    <w:rsid w:val="00320474"/>
    <w:rsid w:val="003206B7"/>
    <w:rsid w:val="003207D7"/>
    <w:rsid w:val="00320A51"/>
    <w:rsid w:val="00320C1B"/>
    <w:rsid w:val="00320D7B"/>
    <w:rsid w:val="00320EBA"/>
    <w:rsid w:val="0032105C"/>
    <w:rsid w:val="00321A4F"/>
    <w:rsid w:val="00321B91"/>
    <w:rsid w:val="00321E23"/>
    <w:rsid w:val="0032297B"/>
    <w:rsid w:val="00322A1A"/>
    <w:rsid w:val="00322BDA"/>
    <w:rsid w:val="00322F3F"/>
    <w:rsid w:val="00323534"/>
    <w:rsid w:val="00323874"/>
    <w:rsid w:val="0032394D"/>
    <w:rsid w:val="00323E3E"/>
    <w:rsid w:val="00323FCB"/>
    <w:rsid w:val="00324160"/>
    <w:rsid w:val="00324470"/>
    <w:rsid w:val="00324576"/>
    <w:rsid w:val="003249DA"/>
    <w:rsid w:val="003251C9"/>
    <w:rsid w:val="00325585"/>
    <w:rsid w:val="00325656"/>
    <w:rsid w:val="003258B3"/>
    <w:rsid w:val="003259FF"/>
    <w:rsid w:val="00325CBE"/>
    <w:rsid w:val="00325D5F"/>
    <w:rsid w:val="00325E52"/>
    <w:rsid w:val="0032611E"/>
    <w:rsid w:val="00326791"/>
    <w:rsid w:val="00326844"/>
    <w:rsid w:val="00326E28"/>
    <w:rsid w:val="00326F14"/>
    <w:rsid w:val="00326F7A"/>
    <w:rsid w:val="00327108"/>
    <w:rsid w:val="0032732A"/>
    <w:rsid w:val="00327936"/>
    <w:rsid w:val="00327FDD"/>
    <w:rsid w:val="003301E1"/>
    <w:rsid w:val="003302B0"/>
    <w:rsid w:val="003303AF"/>
    <w:rsid w:val="003305B4"/>
    <w:rsid w:val="00330747"/>
    <w:rsid w:val="00330821"/>
    <w:rsid w:val="00330D2C"/>
    <w:rsid w:val="003310C7"/>
    <w:rsid w:val="0033152F"/>
    <w:rsid w:val="00331823"/>
    <w:rsid w:val="0033237A"/>
    <w:rsid w:val="0033272A"/>
    <w:rsid w:val="0033276B"/>
    <w:rsid w:val="00332A4F"/>
    <w:rsid w:val="00333101"/>
    <w:rsid w:val="0033323D"/>
    <w:rsid w:val="003333AF"/>
    <w:rsid w:val="0033352C"/>
    <w:rsid w:val="003339FB"/>
    <w:rsid w:val="00333F96"/>
    <w:rsid w:val="00334030"/>
    <w:rsid w:val="003343B7"/>
    <w:rsid w:val="00334700"/>
    <w:rsid w:val="00334D6C"/>
    <w:rsid w:val="00334D89"/>
    <w:rsid w:val="00334EDD"/>
    <w:rsid w:val="00334F93"/>
    <w:rsid w:val="0033545D"/>
    <w:rsid w:val="0033577A"/>
    <w:rsid w:val="00335977"/>
    <w:rsid w:val="00335A01"/>
    <w:rsid w:val="00335AA0"/>
    <w:rsid w:val="00336CB4"/>
    <w:rsid w:val="00337189"/>
    <w:rsid w:val="00337400"/>
    <w:rsid w:val="00337745"/>
    <w:rsid w:val="00337895"/>
    <w:rsid w:val="00337EA4"/>
    <w:rsid w:val="00337F00"/>
    <w:rsid w:val="00340082"/>
    <w:rsid w:val="003414FD"/>
    <w:rsid w:val="00341A29"/>
    <w:rsid w:val="00342030"/>
    <w:rsid w:val="0034227B"/>
    <w:rsid w:val="00342374"/>
    <w:rsid w:val="003426DE"/>
    <w:rsid w:val="00342CFA"/>
    <w:rsid w:val="00342F15"/>
    <w:rsid w:val="003431D2"/>
    <w:rsid w:val="00343A4F"/>
    <w:rsid w:val="00343E3A"/>
    <w:rsid w:val="00343F6E"/>
    <w:rsid w:val="0034425B"/>
    <w:rsid w:val="0034429A"/>
    <w:rsid w:val="003445F8"/>
    <w:rsid w:val="00344848"/>
    <w:rsid w:val="00344918"/>
    <w:rsid w:val="00344CAB"/>
    <w:rsid w:val="0034530B"/>
    <w:rsid w:val="003455DE"/>
    <w:rsid w:val="00345786"/>
    <w:rsid w:val="00345E46"/>
    <w:rsid w:val="003460B6"/>
    <w:rsid w:val="003460B7"/>
    <w:rsid w:val="0034614D"/>
    <w:rsid w:val="0034616D"/>
    <w:rsid w:val="00346BCE"/>
    <w:rsid w:val="00347052"/>
    <w:rsid w:val="003476AF"/>
    <w:rsid w:val="0034772C"/>
    <w:rsid w:val="00347F1A"/>
    <w:rsid w:val="003502BF"/>
    <w:rsid w:val="003505A2"/>
    <w:rsid w:val="00350D82"/>
    <w:rsid w:val="0035131C"/>
    <w:rsid w:val="003516F1"/>
    <w:rsid w:val="003517A9"/>
    <w:rsid w:val="00351E56"/>
    <w:rsid w:val="00351EA4"/>
    <w:rsid w:val="003521A5"/>
    <w:rsid w:val="003529BD"/>
    <w:rsid w:val="00352CAD"/>
    <w:rsid w:val="003534DC"/>
    <w:rsid w:val="003534DF"/>
    <w:rsid w:val="00353B0A"/>
    <w:rsid w:val="00353CA1"/>
    <w:rsid w:val="00353D89"/>
    <w:rsid w:val="00354176"/>
    <w:rsid w:val="00354283"/>
    <w:rsid w:val="0035448A"/>
    <w:rsid w:val="00354572"/>
    <w:rsid w:val="00354A3F"/>
    <w:rsid w:val="00354AB4"/>
    <w:rsid w:val="00354C63"/>
    <w:rsid w:val="00354D95"/>
    <w:rsid w:val="00354EB9"/>
    <w:rsid w:val="00354EC1"/>
    <w:rsid w:val="003553DE"/>
    <w:rsid w:val="00355F0E"/>
    <w:rsid w:val="00356229"/>
    <w:rsid w:val="00356298"/>
    <w:rsid w:val="0035662D"/>
    <w:rsid w:val="003566B9"/>
    <w:rsid w:val="0035686F"/>
    <w:rsid w:val="00356875"/>
    <w:rsid w:val="003569FE"/>
    <w:rsid w:val="00356BD4"/>
    <w:rsid w:val="00356EE7"/>
    <w:rsid w:val="00356EEA"/>
    <w:rsid w:val="00357250"/>
    <w:rsid w:val="00357E57"/>
    <w:rsid w:val="00357ED3"/>
    <w:rsid w:val="003602AD"/>
    <w:rsid w:val="003602BF"/>
    <w:rsid w:val="00360323"/>
    <w:rsid w:val="00360357"/>
    <w:rsid w:val="003608F5"/>
    <w:rsid w:val="00360F59"/>
    <w:rsid w:val="00360FEF"/>
    <w:rsid w:val="00361BF8"/>
    <w:rsid w:val="00361C16"/>
    <w:rsid w:val="00361DEB"/>
    <w:rsid w:val="00361E80"/>
    <w:rsid w:val="00361FBF"/>
    <w:rsid w:val="00362023"/>
    <w:rsid w:val="003620B2"/>
    <w:rsid w:val="0036241D"/>
    <w:rsid w:val="0036272C"/>
    <w:rsid w:val="00362763"/>
    <w:rsid w:val="003627ED"/>
    <w:rsid w:val="00362B78"/>
    <w:rsid w:val="00362CAA"/>
    <w:rsid w:val="003631CE"/>
    <w:rsid w:val="003633AA"/>
    <w:rsid w:val="003636D4"/>
    <w:rsid w:val="003638E6"/>
    <w:rsid w:val="00363D1F"/>
    <w:rsid w:val="00364AD6"/>
    <w:rsid w:val="00364E96"/>
    <w:rsid w:val="0036529C"/>
    <w:rsid w:val="0036577D"/>
    <w:rsid w:val="00365AC1"/>
    <w:rsid w:val="00365EE1"/>
    <w:rsid w:val="00367460"/>
    <w:rsid w:val="0036749C"/>
    <w:rsid w:val="00367622"/>
    <w:rsid w:val="0036797D"/>
    <w:rsid w:val="003679A7"/>
    <w:rsid w:val="00367EF9"/>
    <w:rsid w:val="00370259"/>
    <w:rsid w:val="00370279"/>
    <w:rsid w:val="0037029E"/>
    <w:rsid w:val="003705BF"/>
    <w:rsid w:val="003706E8"/>
    <w:rsid w:val="0037070E"/>
    <w:rsid w:val="003707DF"/>
    <w:rsid w:val="003712E8"/>
    <w:rsid w:val="003714E6"/>
    <w:rsid w:val="003716A0"/>
    <w:rsid w:val="003717D5"/>
    <w:rsid w:val="00371987"/>
    <w:rsid w:val="00371EC2"/>
    <w:rsid w:val="0037247B"/>
    <w:rsid w:val="00372A1B"/>
    <w:rsid w:val="00372F64"/>
    <w:rsid w:val="00372F9C"/>
    <w:rsid w:val="0037319B"/>
    <w:rsid w:val="003734A3"/>
    <w:rsid w:val="00373773"/>
    <w:rsid w:val="00373897"/>
    <w:rsid w:val="00373DCD"/>
    <w:rsid w:val="00373EE7"/>
    <w:rsid w:val="00374500"/>
    <w:rsid w:val="0037452C"/>
    <w:rsid w:val="003745A2"/>
    <w:rsid w:val="0037471E"/>
    <w:rsid w:val="003749D5"/>
    <w:rsid w:val="00374C05"/>
    <w:rsid w:val="00374ED3"/>
    <w:rsid w:val="0037537C"/>
    <w:rsid w:val="00375626"/>
    <w:rsid w:val="00375908"/>
    <w:rsid w:val="00375B9A"/>
    <w:rsid w:val="00375DD5"/>
    <w:rsid w:val="0037607E"/>
    <w:rsid w:val="0037608E"/>
    <w:rsid w:val="003763A2"/>
    <w:rsid w:val="0037676E"/>
    <w:rsid w:val="00377092"/>
    <w:rsid w:val="00377111"/>
    <w:rsid w:val="003772A8"/>
    <w:rsid w:val="0037732F"/>
    <w:rsid w:val="00377447"/>
    <w:rsid w:val="0037767D"/>
    <w:rsid w:val="00377849"/>
    <w:rsid w:val="0038022B"/>
    <w:rsid w:val="00380608"/>
    <w:rsid w:val="003806ED"/>
    <w:rsid w:val="00380932"/>
    <w:rsid w:val="00380A25"/>
    <w:rsid w:val="00380A91"/>
    <w:rsid w:val="00380D44"/>
    <w:rsid w:val="00380FA9"/>
    <w:rsid w:val="00380FE7"/>
    <w:rsid w:val="00381254"/>
    <w:rsid w:val="003812B2"/>
    <w:rsid w:val="00381851"/>
    <w:rsid w:val="00381E37"/>
    <w:rsid w:val="00381E90"/>
    <w:rsid w:val="00381EB2"/>
    <w:rsid w:val="00381FBC"/>
    <w:rsid w:val="003820F4"/>
    <w:rsid w:val="003822A3"/>
    <w:rsid w:val="003826A6"/>
    <w:rsid w:val="0038279C"/>
    <w:rsid w:val="00382990"/>
    <w:rsid w:val="00382D14"/>
    <w:rsid w:val="003833C3"/>
    <w:rsid w:val="00383405"/>
    <w:rsid w:val="00383808"/>
    <w:rsid w:val="00383946"/>
    <w:rsid w:val="00383A4D"/>
    <w:rsid w:val="00383A8A"/>
    <w:rsid w:val="00383D67"/>
    <w:rsid w:val="00383F3D"/>
    <w:rsid w:val="0038425A"/>
    <w:rsid w:val="00384660"/>
    <w:rsid w:val="00384689"/>
    <w:rsid w:val="00384722"/>
    <w:rsid w:val="003849CE"/>
    <w:rsid w:val="00384B68"/>
    <w:rsid w:val="00384B75"/>
    <w:rsid w:val="00384C28"/>
    <w:rsid w:val="003851AD"/>
    <w:rsid w:val="003851FB"/>
    <w:rsid w:val="003854AF"/>
    <w:rsid w:val="00385B8E"/>
    <w:rsid w:val="00386108"/>
    <w:rsid w:val="003863B7"/>
    <w:rsid w:val="00386580"/>
    <w:rsid w:val="00386954"/>
    <w:rsid w:val="003869D8"/>
    <w:rsid w:val="00386D32"/>
    <w:rsid w:val="00386E04"/>
    <w:rsid w:val="00387367"/>
    <w:rsid w:val="003873E7"/>
    <w:rsid w:val="0038745A"/>
    <w:rsid w:val="003875F1"/>
    <w:rsid w:val="00387678"/>
    <w:rsid w:val="003876B2"/>
    <w:rsid w:val="0038773A"/>
    <w:rsid w:val="00387B6F"/>
    <w:rsid w:val="0039054B"/>
    <w:rsid w:val="0039084C"/>
    <w:rsid w:val="0039086B"/>
    <w:rsid w:val="00390892"/>
    <w:rsid w:val="00390BA4"/>
    <w:rsid w:val="00390C4A"/>
    <w:rsid w:val="00390C9F"/>
    <w:rsid w:val="00390D21"/>
    <w:rsid w:val="003913DD"/>
    <w:rsid w:val="00391442"/>
    <w:rsid w:val="003915D7"/>
    <w:rsid w:val="003916AA"/>
    <w:rsid w:val="003918C5"/>
    <w:rsid w:val="00391C49"/>
    <w:rsid w:val="00391C9D"/>
    <w:rsid w:val="00391DB8"/>
    <w:rsid w:val="003921BF"/>
    <w:rsid w:val="003922D3"/>
    <w:rsid w:val="00392358"/>
    <w:rsid w:val="003923BB"/>
    <w:rsid w:val="00392501"/>
    <w:rsid w:val="0039308A"/>
    <w:rsid w:val="003934B6"/>
    <w:rsid w:val="003935EE"/>
    <w:rsid w:val="003936DE"/>
    <w:rsid w:val="00393AAA"/>
    <w:rsid w:val="00393BC3"/>
    <w:rsid w:val="00393F06"/>
    <w:rsid w:val="0039457F"/>
    <w:rsid w:val="00394E08"/>
    <w:rsid w:val="00395142"/>
    <w:rsid w:val="00395301"/>
    <w:rsid w:val="00395773"/>
    <w:rsid w:val="00395970"/>
    <w:rsid w:val="00395D47"/>
    <w:rsid w:val="00395EB7"/>
    <w:rsid w:val="00395F71"/>
    <w:rsid w:val="00396308"/>
    <w:rsid w:val="00397268"/>
    <w:rsid w:val="003972B0"/>
    <w:rsid w:val="003973D0"/>
    <w:rsid w:val="003976ED"/>
    <w:rsid w:val="00397786"/>
    <w:rsid w:val="00397C1A"/>
    <w:rsid w:val="00397E0B"/>
    <w:rsid w:val="003A0582"/>
    <w:rsid w:val="003A0F3D"/>
    <w:rsid w:val="003A12A2"/>
    <w:rsid w:val="003A15B1"/>
    <w:rsid w:val="003A18DF"/>
    <w:rsid w:val="003A1DE0"/>
    <w:rsid w:val="003A201E"/>
    <w:rsid w:val="003A22E9"/>
    <w:rsid w:val="003A246B"/>
    <w:rsid w:val="003A2F29"/>
    <w:rsid w:val="003A30BE"/>
    <w:rsid w:val="003A33A2"/>
    <w:rsid w:val="003A33C9"/>
    <w:rsid w:val="003A36D9"/>
    <w:rsid w:val="003A375F"/>
    <w:rsid w:val="003A3C66"/>
    <w:rsid w:val="003A3FD7"/>
    <w:rsid w:val="003A4231"/>
    <w:rsid w:val="003A4242"/>
    <w:rsid w:val="003A42F6"/>
    <w:rsid w:val="003A477A"/>
    <w:rsid w:val="003A47F0"/>
    <w:rsid w:val="003A4872"/>
    <w:rsid w:val="003A4C0C"/>
    <w:rsid w:val="003A4D52"/>
    <w:rsid w:val="003A520C"/>
    <w:rsid w:val="003A521E"/>
    <w:rsid w:val="003A55E3"/>
    <w:rsid w:val="003A5719"/>
    <w:rsid w:val="003A574F"/>
    <w:rsid w:val="003A5765"/>
    <w:rsid w:val="003A5E8C"/>
    <w:rsid w:val="003A61F2"/>
    <w:rsid w:val="003A63D0"/>
    <w:rsid w:val="003A659D"/>
    <w:rsid w:val="003A6CB6"/>
    <w:rsid w:val="003A7009"/>
    <w:rsid w:val="003A71CA"/>
    <w:rsid w:val="003A7239"/>
    <w:rsid w:val="003A73D0"/>
    <w:rsid w:val="003B0078"/>
    <w:rsid w:val="003B0384"/>
    <w:rsid w:val="003B1C29"/>
    <w:rsid w:val="003B1C34"/>
    <w:rsid w:val="003B1E5E"/>
    <w:rsid w:val="003B2107"/>
    <w:rsid w:val="003B2470"/>
    <w:rsid w:val="003B26B0"/>
    <w:rsid w:val="003B2835"/>
    <w:rsid w:val="003B2D57"/>
    <w:rsid w:val="003B2E3A"/>
    <w:rsid w:val="003B2FC7"/>
    <w:rsid w:val="003B343B"/>
    <w:rsid w:val="003B3640"/>
    <w:rsid w:val="003B37B6"/>
    <w:rsid w:val="003B3BAA"/>
    <w:rsid w:val="003B3E0E"/>
    <w:rsid w:val="003B4189"/>
    <w:rsid w:val="003B4226"/>
    <w:rsid w:val="003B42A3"/>
    <w:rsid w:val="003B42E2"/>
    <w:rsid w:val="003B4317"/>
    <w:rsid w:val="003B4568"/>
    <w:rsid w:val="003B4660"/>
    <w:rsid w:val="003B4E4D"/>
    <w:rsid w:val="003B4E62"/>
    <w:rsid w:val="003B52A0"/>
    <w:rsid w:val="003B57ED"/>
    <w:rsid w:val="003B5CF1"/>
    <w:rsid w:val="003B625B"/>
    <w:rsid w:val="003B681E"/>
    <w:rsid w:val="003B6843"/>
    <w:rsid w:val="003B6B22"/>
    <w:rsid w:val="003B6F33"/>
    <w:rsid w:val="003B7528"/>
    <w:rsid w:val="003B775E"/>
    <w:rsid w:val="003B7D72"/>
    <w:rsid w:val="003B7DF6"/>
    <w:rsid w:val="003C0082"/>
    <w:rsid w:val="003C012E"/>
    <w:rsid w:val="003C027C"/>
    <w:rsid w:val="003C02EB"/>
    <w:rsid w:val="003C04C9"/>
    <w:rsid w:val="003C0BF3"/>
    <w:rsid w:val="003C0D58"/>
    <w:rsid w:val="003C0DEC"/>
    <w:rsid w:val="003C1238"/>
    <w:rsid w:val="003C13FE"/>
    <w:rsid w:val="003C1778"/>
    <w:rsid w:val="003C192B"/>
    <w:rsid w:val="003C1B41"/>
    <w:rsid w:val="003C1C2B"/>
    <w:rsid w:val="003C1F99"/>
    <w:rsid w:val="003C2171"/>
    <w:rsid w:val="003C21B7"/>
    <w:rsid w:val="003C279F"/>
    <w:rsid w:val="003C2B53"/>
    <w:rsid w:val="003C2EA3"/>
    <w:rsid w:val="003C31AB"/>
    <w:rsid w:val="003C3216"/>
    <w:rsid w:val="003C34FD"/>
    <w:rsid w:val="003C3566"/>
    <w:rsid w:val="003C39D3"/>
    <w:rsid w:val="003C3C6A"/>
    <w:rsid w:val="003C3E93"/>
    <w:rsid w:val="003C3F10"/>
    <w:rsid w:val="003C43C8"/>
    <w:rsid w:val="003C4469"/>
    <w:rsid w:val="003C44B5"/>
    <w:rsid w:val="003C452A"/>
    <w:rsid w:val="003C45C5"/>
    <w:rsid w:val="003C4690"/>
    <w:rsid w:val="003C477A"/>
    <w:rsid w:val="003C4AE2"/>
    <w:rsid w:val="003C4BCB"/>
    <w:rsid w:val="003C4DF6"/>
    <w:rsid w:val="003C51EA"/>
    <w:rsid w:val="003C51F5"/>
    <w:rsid w:val="003C56C2"/>
    <w:rsid w:val="003C56E1"/>
    <w:rsid w:val="003C5AC1"/>
    <w:rsid w:val="003C5CD9"/>
    <w:rsid w:val="003C60DC"/>
    <w:rsid w:val="003C62D1"/>
    <w:rsid w:val="003C6387"/>
    <w:rsid w:val="003C6A47"/>
    <w:rsid w:val="003C6BDA"/>
    <w:rsid w:val="003C70BE"/>
    <w:rsid w:val="003C7136"/>
    <w:rsid w:val="003C7A8A"/>
    <w:rsid w:val="003C7C0A"/>
    <w:rsid w:val="003C7F88"/>
    <w:rsid w:val="003D0802"/>
    <w:rsid w:val="003D0AD7"/>
    <w:rsid w:val="003D0B27"/>
    <w:rsid w:val="003D0E5A"/>
    <w:rsid w:val="003D16C9"/>
    <w:rsid w:val="003D189A"/>
    <w:rsid w:val="003D1B89"/>
    <w:rsid w:val="003D1D41"/>
    <w:rsid w:val="003D216A"/>
    <w:rsid w:val="003D32C7"/>
    <w:rsid w:val="003D3608"/>
    <w:rsid w:val="003D3751"/>
    <w:rsid w:val="003D3BA5"/>
    <w:rsid w:val="003D3C03"/>
    <w:rsid w:val="003D3C2D"/>
    <w:rsid w:val="003D3C43"/>
    <w:rsid w:val="003D3E2B"/>
    <w:rsid w:val="003D41BC"/>
    <w:rsid w:val="003D4273"/>
    <w:rsid w:val="003D434F"/>
    <w:rsid w:val="003D468D"/>
    <w:rsid w:val="003D48EF"/>
    <w:rsid w:val="003D4CFD"/>
    <w:rsid w:val="003D4F40"/>
    <w:rsid w:val="003D4F63"/>
    <w:rsid w:val="003D5333"/>
    <w:rsid w:val="003D594C"/>
    <w:rsid w:val="003D59DA"/>
    <w:rsid w:val="003D5CF9"/>
    <w:rsid w:val="003D5DAE"/>
    <w:rsid w:val="003D5FDB"/>
    <w:rsid w:val="003D60D5"/>
    <w:rsid w:val="003D610B"/>
    <w:rsid w:val="003D6140"/>
    <w:rsid w:val="003D6885"/>
    <w:rsid w:val="003D6D87"/>
    <w:rsid w:val="003D7957"/>
    <w:rsid w:val="003D7C26"/>
    <w:rsid w:val="003D7DD6"/>
    <w:rsid w:val="003D7FC8"/>
    <w:rsid w:val="003D7FDE"/>
    <w:rsid w:val="003E0006"/>
    <w:rsid w:val="003E0342"/>
    <w:rsid w:val="003E0BE9"/>
    <w:rsid w:val="003E0C25"/>
    <w:rsid w:val="003E0E12"/>
    <w:rsid w:val="003E100A"/>
    <w:rsid w:val="003E1466"/>
    <w:rsid w:val="003E1515"/>
    <w:rsid w:val="003E175C"/>
    <w:rsid w:val="003E19A6"/>
    <w:rsid w:val="003E1AE8"/>
    <w:rsid w:val="003E1B8C"/>
    <w:rsid w:val="003E1E6B"/>
    <w:rsid w:val="003E1E6F"/>
    <w:rsid w:val="003E2303"/>
    <w:rsid w:val="003E2312"/>
    <w:rsid w:val="003E2A4F"/>
    <w:rsid w:val="003E2D0C"/>
    <w:rsid w:val="003E2EDF"/>
    <w:rsid w:val="003E33BA"/>
    <w:rsid w:val="003E3495"/>
    <w:rsid w:val="003E34D0"/>
    <w:rsid w:val="003E379D"/>
    <w:rsid w:val="003E3CEA"/>
    <w:rsid w:val="003E41CB"/>
    <w:rsid w:val="003E4475"/>
    <w:rsid w:val="003E449E"/>
    <w:rsid w:val="003E4875"/>
    <w:rsid w:val="003E4BF6"/>
    <w:rsid w:val="003E4E61"/>
    <w:rsid w:val="003E502F"/>
    <w:rsid w:val="003E51EA"/>
    <w:rsid w:val="003E572C"/>
    <w:rsid w:val="003E57D6"/>
    <w:rsid w:val="003E5ADF"/>
    <w:rsid w:val="003E5D77"/>
    <w:rsid w:val="003E6109"/>
    <w:rsid w:val="003E6223"/>
    <w:rsid w:val="003E62A9"/>
    <w:rsid w:val="003E6892"/>
    <w:rsid w:val="003E69ED"/>
    <w:rsid w:val="003E6A38"/>
    <w:rsid w:val="003E6A89"/>
    <w:rsid w:val="003E6B47"/>
    <w:rsid w:val="003E6B6F"/>
    <w:rsid w:val="003E6C43"/>
    <w:rsid w:val="003E6EC3"/>
    <w:rsid w:val="003E70A0"/>
    <w:rsid w:val="003E79CA"/>
    <w:rsid w:val="003E7A06"/>
    <w:rsid w:val="003E7D66"/>
    <w:rsid w:val="003F022E"/>
    <w:rsid w:val="003F0549"/>
    <w:rsid w:val="003F07A6"/>
    <w:rsid w:val="003F07AB"/>
    <w:rsid w:val="003F0908"/>
    <w:rsid w:val="003F0A52"/>
    <w:rsid w:val="003F0B73"/>
    <w:rsid w:val="003F0B89"/>
    <w:rsid w:val="003F0C02"/>
    <w:rsid w:val="003F1613"/>
    <w:rsid w:val="003F16CE"/>
    <w:rsid w:val="003F18B1"/>
    <w:rsid w:val="003F19C0"/>
    <w:rsid w:val="003F19CB"/>
    <w:rsid w:val="003F1D5A"/>
    <w:rsid w:val="003F1DDA"/>
    <w:rsid w:val="003F1F88"/>
    <w:rsid w:val="003F29D0"/>
    <w:rsid w:val="003F2B3C"/>
    <w:rsid w:val="003F3441"/>
    <w:rsid w:val="003F3541"/>
    <w:rsid w:val="003F360F"/>
    <w:rsid w:val="003F37BF"/>
    <w:rsid w:val="003F3C58"/>
    <w:rsid w:val="003F3DCC"/>
    <w:rsid w:val="003F3DFE"/>
    <w:rsid w:val="003F43CE"/>
    <w:rsid w:val="003F43E0"/>
    <w:rsid w:val="003F45B3"/>
    <w:rsid w:val="003F4788"/>
    <w:rsid w:val="003F4849"/>
    <w:rsid w:val="003F4BDF"/>
    <w:rsid w:val="003F522A"/>
    <w:rsid w:val="003F5417"/>
    <w:rsid w:val="003F5497"/>
    <w:rsid w:val="003F577B"/>
    <w:rsid w:val="003F5D03"/>
    <w:rsid w:val="003F5E73"/>
    <w:rsid w:val="003F61BC"/>
    <w:rsid w:val="003F6276"/>
    <w:rsid w:val="003F65A5"/>
    <w:rsid w:val="003F66E9"/>
    <w:rsid w:val="003F6A78"/>
    <w:rsid w:val="003F6B98"/>
    <w:rsid w:val="003F6BDE"/>
    <w:rsid w:val="003F6EF1"/>
    <w:rsid w:val="003F6EFF"/>
    <w:rsid w:val="003F7109"/>
    <w:rsid w:val="003F71AD"/>
    <w:rsid w:val="003F7626"/>
    <w:rsid w:val="003F7B03"/>
    <w:rsid w:val="003F7C3B"/>
    <w:rsid w:val="004003A3"/>
    <w:rsid w:val="00400465"/>
    <w:rsid w:val="0040059A"/>
    <w:rsid w:val="004005A8"/>
    <w:rsid w:val="00400966"/>
    <w:rsid w:val="00400C56"/>
    <w:rsid w:val="00401413"/>
    <w:rsid w:val="00401448"/>
    <w:rsid w:val="0040147D"/>
    <w:rsid w:val="00401A66"/>
    <w:rsid w:val="00401D12"/>
    <w:rsid w:val="00401DE0"/>
    <w:rsid w:val="004022BC"/>
    <w:rsid w:val="004024D5"/>
    <w:rsid w:val="00402926"/>
    <w:rsid w:val="00402ADE"/>
    <w:rsid w:val="00402EAD"/>
    <w:rsid w:val="00403B21"/>
    <w:rsid w:val="00403C2F"/>
    <w:rsid w:val="004048AF"/>
    <w:rsid w:val="00404943"/>
    <w:rsid w:val="00404D5B"/>
    <w:rsid w:val="00404E8A"/>
    <w:rsid w:val="00404F3B"/>
    <w:rsid w:val="00405069"/>
    <w:rsid w:val="004051AA"/>
    <w:rsid w:val="00405414"/>
    <w:rsid w:val="004064B9"/>
    <w:rsid w:val="004064DF"/>
    <w:rsid w:val="00406A73"/>
    <w:rsid w:val="00406B8A"/>
    <w:rsid w:val="00406CC4"/>
    <w:rsid w:val="0040706C"/>
    <w:rsid w:val="00407088"/>
    <w:rsid w:val="00407DB4"/>
    <w:rsid w:val="004109E5"/>
    <w:rsid w:val="00410C16"/>
    <w:rsid w:val="00410D38"/>
    <w:rsid w:val="0041106E"/>
    <w:rsid w:val="00411108"/>
    <w:rsid w:val="00411136"/>
    <w:rsid w:val="00411358"/>
    <w:rsid w:val="0041157E"/>
    <w:rsid w:val="0041175C"/>
    <w:rsid w:val="00411814"/>
    <w:rsid w:val="00411A1D"/>
    <w:rsid w:val="00411B60"/>
    <w:rsid w:val="00411F12"/>
    <w:rsid w:val="004122F4"/>
    <w:rsid w:val="00412637"/>
    <w:rsid w:val="004134C9"/>
    <w:rsid w:val="00413ADB"/>
    <w:rsid w:val="00413FD9"/>
    <w:rsid w:val="0041415B"/>
    <w:rsid w:val="0041457B"/>
    <w:rsid w:val="00414766"/>
    <w:rsid w:val="00414DC3"/>
    <w:rsid w:val="00414E67"/>
    <w:rsid w:val="00414E9D"/>
    <w:rsid w:val="00414F48"/>
    <w:rsid w:val="00414FFB"/>
    <w:rsid w:val="00415812"/>
    <w:rsid w:val="00415813"/>
    <w:rsid w:val="00415833"/>
    <w:rsid w:val="004158EA"/>
    <w:rsid w:val="00415F8C"/>
    <w:rsid w:val="00416069"/>
    <w:rsid w:val="004163CE"/>
    <w:rsid w:val="00416856"/>
    <w:rsid w:val="00416B4D"/>
    <w:rsid w:val="00416B96"/>
    <w:rsid w:val="00416D41"/>
    <w:rsid w:val="0041702B"/>
    <w:rsid w:val="00417215"/>
    <w:rsid w:val="00417337"/>
    <w:rsid w:val="00417AC8"/>
    <w:rsid w:val="00417B7F"/>
    <w:rsid w:val="00417D21"/>
    <w:rsid w:val="00417F90"/>
    <w:rsid w:val="004201A1"/>
    <w:rsid w:val="004201A7"/>
    <w:rsid w:val="0042021E"/>
    <w:rsid w:val="004204C0"/>
    <w:rsid w:val="00420667"/>
    <w:rsid w:val="004206B6"/>
    <w:rsid w:val="00420CE7"/>
    <w:rsid w:val="00421096"/>
    <w:rsid w:val="004212DD"/>
    <w:rsid w:val="004219BA"/>
    <w:rsid w:val="00421A95"/>
    <w:rsid w:val="00421CCF"/>
    <w:rsid w:val="0042255B"/>
    <w:rsid w:val="00422AFF"/>
    <w:rsid w:val="00422BBE"/>
    <w:rsid w:val="004230AC"/>
    <w:rsid w:val="004231F1"/>
    <w:rsid w:val="00423481"/>
    <w:rsid w:val="004236E8"/>
    <w:rsid w:val="00423BC4"/>
    <w:rsid w:val="00423CD3"/>
    <w:rsid w:val="00423D9D"/>
    <w:rsid w:val="00423E36"/>
    <w:rsid w:val="00424114"/>
    <w:rsid w:val="00424153"/>
    <w:rsid w:val="00424273"/>
    <w:rsid w:val="00424397"/>
    <w:rsid w:val="00424546"/>
    <w:rsid w:val="00424590"/>
    <w:rsid w:val="004245F1"/>
    <w:rsid w:val="0042478C"/>
    <w:rsid w:val="00424F35"/>
    <w:rsid w:val="00424F5E"/>
    <w:rsid w:val="0042517F"/>
    <w:rsid w:val="00425BEA"/>
    <w:rsid w:val="00425DB6"/>
    <w:rsid w:val="00425E39"/>
    <w:rsid w:val="00426211"/>
    <w:rsid w:val="00426D73"/>
    <w:rsid w:val="0042758E"/>
    <w:rsid w:val="004278F4"/>
    <w:rsid w:val="004279D0"/>
    <w:rsid w:val="00427EDD"/>
    <w:rsid w:val="00427FE3"/>
    <w:rsid w:val="00430182"/>
    <w:rsid w:val="00430AC0"/>
    <w:rsid w:val="00431DC7"/>
    <w:rsid w:val="0043258B"/>
    <w:rsid w:val="00432801"/>
    <w:rsid w:val="004329DD"/>
    <w:rsid w:val="004336B9"/>
    <w:rsid w:val="0043395F"/>
    <w:rsid w:val="00433996"/>
    <w:rsid w:val="00433A5E"/>
    <w:rsid w:val="004341C7"/>
    <w:rsid w:val="00434310"/>
    <w:rsid w:val="00434537"/>
    <w:rsid w:val="00434C1F"/>
    <w:rsid w:val="00434FFB"/>
    <w:rsid w:val="004353C3"/>
    <w:rsid w:val="004356B6"/>
    <w:rsid w:val="004356EA"/>
    <w:rsid w:val="0043586E"/>
    <w:rsid w:val="00435A15"/>
    <w:rsid w:val="00435B4A"/>
    <w:rsid w:val="00435CEC"/>
    <w:rsid w:val="00435E4E"/>
    <w:rsid w:val="00436083"/>
    <w:rsid w:val="00436158"/>
    <w:rsid w:val="0043662F"/>
    <w:rsid w:val="00436781"/>
    <w:rsid w:val="00436AE1"/>
    <w:rsid w:val="00436BB7"/>
    <w:rsid w:val="00436D50"/>
    <w:rsid w:val="00436E89"/>
    <w:rsid w:val="00436FBB"/>
    <w:rsid w:val="0043711B"/>
    <w:rsid w:val="00437166"/>
    <w:rsid w:val="00437332"/>
    <w:rsid w:val="004376B5"/>
    <w:rsid w:val="004376C1"/>
    <w:rsid w:val="0043787B"/>
    <w:rsid w:val="00437B9C"/>
    <w:rsid w:val="00437E97"/>
    <w:rsid w:val="00437F8E"/>
    <w:rsid w:val="004400A7"/>
    <w:rsid w:val="004400B5"/>
    <w:rsid w:val="00440339"/>
    <w:rsid w:val="004403FE"/>
    <w:rsid w:val="00440691"/>
    <w:rsid w:val="0044071C"/>
    <w:rsid w:val="00440A9C"/>
    <w:rsid w:val="00440D4E"/>
    <w:rsid w:val="00440DAA"/>
    <w:rsid w:val="0044127C"/>
    <w:rsid w:val="00441949"/>
    <w:rsid w:val="004419DA"/>
    <w:rsid w:val="00441AF2"/>
    <w:rsid w:val="00441EC4"/>
    <w:rsid w:val="00442167"/>
    <w:rsid w:val="004421DF"/>
    <w:rsid w:val="00442390"/>
    <w:rsid w:val="004426DE"/>
    <w:rsid w:val="00442891"/>
    <w:rsid w:val="00442A51"/>
    <w:rsid w:val="00442C31"/>
    <w:rsid w:val="00442D06"/>
    <w:rsid w:val="00442E40"/>
    <w:rsid w:val="00443469"/>
    <w:rsid w:val="00443A2D"/>
    <w:rsid w:val="00443A8E"/>
    <w:rsid w:val="00443AE2"/>
    <w:rsid w:val="00443FC4"/>
    <w:rsid w:val="004442B3"/>
    <w:rsid w:val="00444473"/>
    <w:rsid w:val="004444B2"/>
    <w:rsid w:val="004444E4"/>
    <w:rsid w:val="00444BF3"/>
    <w:rsid w:val="00444CCA"/>
    <w:rsid w:val="00444F5D"/>
    <w:rsid w:val="00444FBD"/>
    <w:rsid w:val="00445218"/>
    <w:rsid w:val="0044555F"/>
    <w:rsid w:val="00446029"/>
    <w:rsid w:val="004461E6"/>
    <w:rsid w:val="004462FF"/>
    <w:rsid w:val="004464B6"/>
    <w:rsid w:val="0044665E"/>
    <w:rsid w:val="004472D4"/>
    <w:rsid w:val="00447914"/>
    <w:rsid w:val="00447A57"/>
    <w:rsid w:val="00447B9D"/>
    <w:rsid w:val="004502E2"/>
    <w:rsid w:val="004503DF"/>
    <w:rsid w:val="004505E1"/>
    <w:rsid w:val="004509CA"/>
    <w:rsid w:val="00450D98"/>
    <w:rsid w:val="00451027"/>
    <w:rsid w:val="004511DA"/>
    <w:rsid w:val="004512E8"/>
    <w:rsid w:val="004515D0"/>
    <w:rsid w:val="00451601"/>
    <w:rsid w:val="00451765"/>
    <w:rsid w:val="0045187C"/>
    <w:rsid w:val="00451B42"/>
    <w:rsid w:val="00451B53"/>
    <w:rsid w:val="00452010"/>
    <w:rsid w:val="00452366"/>
    <w:rsid w:val="004528AC"/>
    <w:rsid w:val="004528DB"/>
    <w:rsid w:val="004529F3"/>
    <w:rsid w:val="00452C3F"/>
    <w:rsid w:val="00452E04"/>
    <w:rsid w:val="00452ED1"/>
    <w:rsid w:val="00452F4B"/>
    <w:rsid w:val="00453052"/>
    <w:rsid w:val="004531D5"/>
    <w:rsid w:val="0045368D"/>
    <w:rsid w:val="00453840"/>
    <w:rsid w:val="00453999"/>
    <w:rsid w:val="004539C2"/>
    <w:rsid w:val="00453A88"/>
    <w:rsid w:val="00453ACC"/>
    <w:rsid w:val="00453CB9"/>
    <w:rsid w:val="00453ECA"/>
    <w:rsid w:val="0045404A"/>
    <w:rsid w:val="00454086"/>
    <w:rsid w:val="004548B5"/>
    <w:rsid w:val="00454C4B"/>
    <w:rsid w:val="00454C6B"/>
    <w:rsid w:val="00455050"/>
    <w:rsid w:val="004550AD"/>
    <w:rsid w:val="0045533B"/>
    <w:rsid w:val="00455584"/>
    <w:rsid w:val="0045563E"/>
    <w:rsid w:val="00455B92"/>
    <w:rsid w:val="00455BD2"/>
    <w:rsid w:val="00456328"/>
    <w:rsid w:val="00456339"/>
    <w:rsid w:val="00456A97"/>
    <w:rsid w:val="00456B39"/>
    <w:rsid w:val="00456B6C"/>
    <w:rsid w:val="00456CAF"/>
    <w:rsid w:val="004571FD"/>
    <w:rsid w:val="0045743A"/>
    <w:rsid w:val="004574A5"/>
    <w:rsid w:val="004576A8"/>
    <w:rsid w:val="004579C4"/>
    <w:rsid w:val="00457BBA"/>
    <w:rsid w:val="00460265"/>
    <w:rsid w:val="0046048B"/>
    <w:rsid w:val="004604A6"/>
    <w:rsid w:val="00460847"/>
    <w:rsid w:val="00460F94"/>
    <w:rsid w:val="004612A5"/>
    <w:rsid w:val="004616A8"/>
    <w:rsid w:val="00461ABB"/>
    <w:rsid w:val="004625F9"/>
    <w:rsid w:val="004627C3"/>
    <w:rsid w:val="00462B89"/>
    <w:rsid w:val="00462FEB"/>
    <w:rsid w:val="00463559"/>
    <w:rsid w:val="004637C7"/>
    <w:rsid w:val="004639F4"/>
    <w:rsid w:val="00463BC6"/>
    <w:rsid w:val="00463DBF"/>
    <w:rsid w:val="0046434C"/>
    <w:rsid w:val="004644E3"/>
    <w:rsid w:val="0046485B"/>
    <w:rsid w:val="00464C92"/>
    <w:rsid w:val="00464CED"/>
    <w:rsid w:val="00464F94"/>
    <w:rsid w:val="0046532F"/>
    <w:rsid w:val="00465353"/>
    <w:rsid w:val="0046554B"/>
    <w:rsid w:val="004659FA"/>
    <w:rsid w:val="00465A25"/>
    <w:rsid w:val="00465DFB"/>
    <w:rsid w:val="0046627B"/>
    <w:rsid w:val="0046637F"/>
    <w:rsid w:val="004663B9"/>
    <w:rsid w:val="004666F3"/>
    <w:rsid w:val="00467128"/>
    <w:rsid w:val="004678F3"/>
    <w:rsid w:val="00467D41"/>
    <w:rsid w:val="00467F67"/>
    <w:rsid w:val="00470015"/>
    <w:rsid w:val="00470318"/>
    <w:rsid w:val="0047057C"/>
    <w:rsid w:val="0047089C"/>
    <w:rsid w:val="00470BFB"/>
    <w:rsid w:val="00470D64"/>
    <w:rsid w:val="00470F32"/>
    <w:rsid w:val="00471061"/>
    <w:rsid w:val="004710B1"/>
    <w:rsid w:val="00471308"/>
    <w:rsid w:val="0047178F"/>
    <w:rsid w:val="004717F6"/>
    <w:rsid w:val="0047183A"/>
    <w:rsid w:val="00471A45"/>
    <w:rsid w:val="00471E01"/>
    <w:rsid w:val="00471EA7"/>
    <w:rsid w:val="00471F52"/>
    <w:rsid w:val="004723EC"/>
    <w:rsid w:val="00472905"/>
    <w:rsid w:val="00473119"/>
    <w:rsid w:val="0047313D"/>
    <w:rsid w:val="004731E6"/>
    <w:rsid w:val="00473571"/>
    <w:rsid w:val="00473572"/>
    <w:rsid w:val="00473CB4"/>
    <w:rsid w:val="00473DD6"/>
    <w:rsid w:val="00473F88"/>
    <w:rsid w:val="00474278"/>
    <w:rsid w:val="00474470"/>
    <w:rsid w:val="004746E9"/>
    <w:rsid w:val="00474AB0"/>
    <w:rsid w:val="00474E72"/>
    <w:rsid w:val="004752F0"/>
    <w:rsid w:val="004753D0"/>
    <w:rsid w:val="00476095"/>
    <w:rsid w:val="004765E8"/>
    <w:rsid w:val="004767D7"/>
    <w:rsid w:val="00476A77"/>
    <w:rsid w:val="00476B28"/>
    <w:rsid w:val="00476EC6"/>
    <w:rsid w:val="00477182"/>
    <w:rsid w:val="00477885"/>
    <w:rsid w:val="00477B1E"/>
    <w:rsid w:val="00477EBA"/>
    <w:rsid w:val="00477EF2"/>
    <w:rsid w:val="00477FAC"/>
    <w:rsid w:val="00477FE8"/>
    <w:rsid w:val="0048087A"/>
    <w:rsid w:val="004809E1"/>
    <w:rsid w:val="0048151F"/>
    <w:rsid w:val="004817E6"/>
    <w:rsid w:val="00481B19"/>
    <w:rsid w:val="00481BFF"/>
    <w:rsid w:val="00481C47"/>
    <w:rsid w:val="0048233A"/>
    <w:rsid w:val="00482438"/>
    <w:rsid w:val="0048263E"/>
    <w:rsid w:val="00482A4C"/>
    <w:rsid w:val="00482AAB"/>
    <w:rsid w:val="00482D28"/>
    <w:rsid w:val="004830EA"/>
    <w:rsid w:val="00483524"/>
    <w:rsid w:val="00483705"/>
    <w:rsid w:val="004837A3"/>
    <w:rsid w:val="004837C2"/>
    <w:rsid w:val="004837D5"/>
    <w:rsid w:val="00483AAD"/>
    <w:rsid w:val="00484A5D"/>
    <w:rsid w:val="00484F01"/>
    <w:rsid w:val="00485259"/>
    <w:rsid w:val="004856A3"/>
    <w:rsid w:val="00485A21"/>
    <w:rsid w:val="00485A51"/>
    <w:rsid w:val="00485B08"/>
    <w:rsid w:val="00485E7D"/>
    <w:rsid w:val="004860C5"/>
    <w:rsid w:val="0048675E"/>
    <w:rsid w:val="004867DA"/>
    <w:rsid w:val="00486BD1"/>
    <w:rsid w:val="00486C0B"/>
    <w:rsid w:val="00487032"/>
    <w:rsid w:val="00487510"/>
    <w:rsid w:val="004879AC"/>
    <w:rsid w:val="00487BF0"/>
    <w:rsid w:val="00487D26"/>
    <w:rsid w:val="00487D4B"/>
    <w:rsid w:val="00487E26"/>
    <w:rsid w:val="00487F3D"/>
    <w:rsid w:val="00487F63"/>
    <w:rsid w:val="00487FB1"/>
    <w:rsid w:val="00490098"/>
    <w:rsid w:val="004903B4"/>
    <w:rsid w:val="00490483"/>
    <w:rsid w:val="00490533"/>
    <w:rsid w:val="0049057E"/>
    <w:rsid w:val="00490E70"/>
    <w:rsid w:val="00490F07"/>
    <w:rsid w:val="00491053"/>
    <w:rsid w:val="004910D8"/>
    <w:rsid w:val="0049165E"/>
    <w:rsid w:val="00491B23"/>
    <w:rsid w:val="00491E33"/>
    <w:rsid w:val="00491F14"/>
    <w:rsid w:val="00492012"/>
    <w:rsid w:val="004925F3"/>
    <w:rsid w:val="0049286D"/>
    <w:rsid w:val="00492BCC"/>
    <w:rsid w:val="004936CF"/>
    <w:rsid w:val="004937EA"/>
    <w:rsid w:val="00493C9F"/>
    <w:rsid w:val="00493D9F"/>
    <w:rsid w:val="004941EF"/>
    <w:rsid w:val="0049447C"/>
    <w:rsid w:val="004944ED"/>
    <w:rsid w:val="004945CE"/>
    <w:rsid w:val="00494D5A"/>
    <w:rsid w:val="00494F30"/>
    <w:rsid w:val="004955DC"/>
    <w:rsid w:val="004956BB"/>
    <w:rsid w:val="00495772"/>
    <w:rsid w:val="00495CA0"/>
    <w:rsid w:val="00495DB7"/>
    <w:rsid w:val="00496843"/>
    <w:rsid w:val="004969D7"/>
    <w:rsid w:val="00496E41"/>
    <w:rsid w:val="00496EC9"/>
    <w:rsid w:val="00497004"/>
    <w:rsid w:val="00497243"/>
    <w:rsid w:val="004977FC"/>
    <w:rsid w:val="00497A09"/>
    <w:rsid w:val="00497AA4"/>
    <w:rsid w:val="00497DA8"/>
    <w:rsid w:val="00497DB1"/>
    <w:rsid w:val="004A0D64"/>
    <w:rsid w:val="004A1029"/>
    <w:rsid w:val="004A1058"/>
    <w:rsid w:val="004A1405"/>
    <w:rsid w:val="004A1570"/>
    <w:rsid w:val="004A18A8"/>
    <w:rsid w:val="004A1E15"/>
    <w:rsid w:val="004A1EC7"/>
    <w:rsid w:val="004A1F7A"/>
    <w:rsid w:val="004A232C"/>
    <w:rsid w:val="004A266D"/>
    <w:rsid w:val="004A2750"/>
    <w:rsid w:val="004A2897"/>
    <w:rsid w:val="004A28AE"/>
    <w:rsid w:val="004A2AB5"/>
    <w:rsid w:val="004A2EB7"/>
    <w:rsid w:val="004A2FD8"/>
    <w:rsid w:val="004A3328"/>
    <w:rsid w:val="004A35B6"/>
    <w:rsid w:val="004A399A"/>
    <w:rsid w:val="004A39AC"/>
    <w:rsid w:val="004A3B1C"/>
    <w:rsid w:val="004A3B51"/>
    <w:rsid w:val="004A3B9A"/>
    <w:rsid w:val="004A3E92"/>
    <w:rsid w:val="004A3F4A"/>
    <w:rsid w:val="004A3F5A"/>
    <w:rsid w:val="004A4058"/>
    <w:rsid w:val="004A4155"/>
    <w:rsid w:val="004A43D6"/>
    <w:rsid w:val="004A43F7"/>
    <w:rsid w:val="004A46D1"/>
    <w:rsid w:val="004A4807"/>
    <w:rsid w:val="004A4A3F"/>
    <w:rsid w:val="004A4CAD"/>
    <w:rsid w:val="004A4CBF"/>
    <w:rsid w:val="004A4F48"/>
    <w:rsid w:val="004A5052"/>
    <w:rsid w:val="004A5243"/>
    <w:rsid w:val="004A5619"/>
    <w:rsid w:val="004A57D4"/>
    <w:rsid w:val="004A5E1E"/>
    <w:rsid w:val="004A6066"/>
    <w:rsid w:val="004A6362"/>
    <w:rsid w:val="004A68E5"/>
    <w:rsid w:val="004A6BC0"/>
    <w:rsid w:val="004A7086"/>
    <w:rsid w:val="004A749B"/>
    <w:rsid w:val="004A74C1"/>
    <w:rsid w:val="004A7B59"/>
    <w:rsid w:val="004B00B6"/>
    <w:rsid w:val="004B0997"/>
    <w:rsid w:val="004B0B15"/>
    <w:rsid w:val="004B0B67"/>
    <w:rsid w:val="004B1106"/>
    <w:rsid w:val="004B1420"/>
    <w:rsid w:val="004B1457"/>
    <w:rsid w:val="004B1990"/>
    <w:rsid w:val="004B1E26"/>
    <w:rsid w:val="004B1FF5"/>
    <w:rsid w:val="004B2015"/>
    <w:rsid w:val="004B2171"/>
    <w:rsid w:val="004B2520"/>
    <w:rsid w:val="004B25E7"/>
    <w:rsid w:val="004B27A2"/>
    <w:rsid w:val="004B27D9"/>
    <w:rsid w:val="004B2F95"/>
    <w:rsid w:val="004B34D8"/>
    <w:rsid w:val="004B3C21"/>
    <w:rsid w:val="004B3D12"/>
    <w:rsid w:val="004B441C"/>
    <w:rsid w:val="004B44B2"/>
    <w:rsid w:val="004B44B6"/>
    <w:rsid w:val="004B5088"/>
    <w:rsid w:val="004B50AF"/>
    <w:rsid w:val="004B53B1"/>
    <w:rsid w:val="004B55CA"/>
    <w:rsid w:val="004B562B"/>
    <w:rsid w:val="004B5648"/>
    <w:rsid w:val="004B56AD"/>
    <w:rsid w:val="004B582E"/>
    <w:rsid w:val="004B5DD4"/>
    <w:rsid w:val="004B6022"/>
    <w:rsid w:val="004B6026"/>
    <w:rsid w:val="004B60AB"/>
    <w:rsid w:val="004B6140"/>
    <w:rsid w:val="004B614B"/>
    <w:rsid w:val="004B61FC"/>
    <w:rsid w:val="004B6BD5"/>
    <w:rsid w:val="004B6C8E"/>
    <w:rsid w:val="004B727E"/>
    <w:rsid w:val="004B7A79"/>
    <w:rsid w:val="004B7DA8"/>
    <w:rsid w:val="004B7DEA"/>
    <w:rsid w:val="004C0000"/>
    <w:rsid w:val="004C0BDA"/>
    <w:rsid w:val="004C0EE4"/>
    <w:rsid w:val="004C101C"/>
    <w:rsid w:val="004C1132"/>
    <w:rsid w:val="004C1432"/>
    <w:rsid w:val="004C15D6"/>
    <w:rsid w:val="004C17D4"/>
    <w:rsid w:val="004C1EAC"/>
    <w:rsid w:val="004C2125"/>
    <w:rsid w:val="004C240D"/>
    <w:rsid w:val="004C252D"/>
    <w:rsid w:val="004C2576"/>
    <w:rsid w:val="004C288E"/>
    <w:rsid w:val="004C2B27"/>
    <w:rsid w:val="004C324F"/>
    <w:rsid w:val="004C32E7"/>
    <w:rsid w:val="004C350B"/>
    <w:rsid w:val="004C3561"/>
    <w:rsid w:val="004C3837"/>
    <w:rsid w:val="004C4903"/>
    <w:rsid w:val="004C499C"/>
    <w:rsid w:val="004C4BBD"/>
    <w:rsid w:val="004C4DE5"/>
    <w:rsid w:val="004C5167"/>
    <w:rsid w:val="004C54D2"/>
    <w:rsid w:val="004C54F4"/>
    <w:rsid w:val="004C55B8"/>
    <w:rsid w:val="004C56CF"/>
    <w:rsid w:val="004C57F6"/>
    <w:rsid w:val="004C58CC"/>
    <w:rsid w:val="004C5FA1"/>
    <w:rsid w:val="004C629B"/>
    <w:rsid w:val="004C66BF"/>
    <w:rsid w:val="004C6915"/>
    <w:rsid w:val="004C6F83"/>
    <w:rsid w:val="004C7127"/>
    <w:rsid w:val="004C71EB"/>
    <w:rsid w:val="004C7270"/>
    <w:rsid w:val="004C74B8"/>
    <w:rsid w:val="004C794B"/>
    <w:rsid w:val="004C7B56"/>
    <w:rsid w:val="004D01C1"/>
    <w:rsid w:val="004D0258"/>
    <w:rsid w:val="004D07EF"/>
    <w:rsid w:val="004D0826"/>
    <w:rsid w:val="004D0E6B"/>
    <w:rsid w:val="004D1401"/>
    <w:rsid w:val="004D19A6"/>
    <w:rsid w:val="004D1C93"/>
    <w:rsid w:val="004D22C8"/>
    <w:rsid w:val="004D24A9"/>
    <w:rsid w:val="004D26D7"/>
    <w:rsid w:val="004D2978"/>
    <w:rsid w:val="004D2F97"/>
    <w:rsid w:val="004D3061"/>
    <w:rsid w:val="004D30BD"/>
    <w:rsid w:val="004D35CC"/>
    <w:rsid w:val="004D383B"/>
    <w:rsid w:val="004D3879"/>
    <w:rsid w:val="004D3999"/>
    <w:rsid w:val="004D3AD2"/>
    <w:rsid w:val="004D3B02"/>
    <w:rsid w:val="004D3BB2"/>
    <w:rsid w:val="004D3D3B"/>
    <w:rsid w:val="004D411C"/>
    <w:rsid w:val="004D426B"/>
    <w:rsid w:val="004D4382"/>
    <w:rsid w:val="004D4565"/>
    <w:rsid w:val="004D46BF"/>
    <w:rsid w:val="004D4D30"/>
    <w:rsid w:val="004D5299"/>
    <w:rsid w:val="004D530E"/>
    <w:rsid w:val="004D574B"/>
    <w:rsid w:val="004D5FB0"/>
    <w:rsid w:val="004D617E"/>
    <w:rsid w:val="004D627F"/>
    <w:rsid w:val="004D66DA"/>
    <w:rsid w:val="004D6A2D"/>
    <w:rsid w:val="004D6A8E"/>
    <w:rsid w:val="004D6AB9"/>
    <w:rsid w:val="004D6AE9"/>
    <w:rsid w:val="004D6D01"/>
    <w:rsid w:val="004D7561"/>
    <w:rsid w:val="004D76E8"/>
    <w:rsid w:val="004D7722"/>
    <w:rsid w:val="004D78A2"/>
    <w:rsid w:val="004D7E42"/>
    <w:rsid w:val="004D7EE9"/>
    <w:rsid w:val="004E0219"/>
    <w:rsid w:val="004E024B"/>
    <w:rsid w:val="004E0464"/>
    <w:rsid w:val="004E05F7"/>
    <w:rsid w:val="004E06A9"/>
    <w:rsid w:val="004E0B6D"/>
    <w:rsid w:val="004E1200"/>
    <w:rsid w:val="004E1213"/>
    <w:rsid w:val="004E15BB"/>
    <w:rsid w:val="004E15FD"/>
    <w:rsid w:val="004E1787"/>
    <w:rsid w:val="004E19D9"/>
    <w:rsid w:val="004E1D2A"/>
    <w:rsid w:val="004E1D9B"/>
    <w:rsid w:val="004E25F9"/>
    <w:rsid w:val="004E260E"/>
    <w:rsid w:val="004E297F"/>
    <w:rsid w:val="004E2B37"/>
    <w:rsid w:val="004E33CC"/>
    <w:rsid w:val="004E343B"/>
    <w:rsid w:val="004E355E"/>
    <w:rsid w:val="004E3592"/>
    <w:rsid w:val="004E3887"/>
    <w:rsid w:val="004E3955"/>
    <w:rsid w:val="004E3A57"/>
    <w:rsid w:val="004E3AC2"/>
    <w:rsid w:val="004E4028"/>
    <w:rsid w:val="004E45A0"/>
    <w:rsid w:val="004E49BF"/>
    <w:rsid w:val="004E4E11"/>
    <w:rsid w:val="004E52C3"/>
    <w:rsid w:val="004E565D"/>
    <w:rsid w:val="004E56A1"/>
    <w:rsid w:val="004E5724"/>
    <w:rsid w:val="004E5A4B"/>
    <w:rsid w:val="004E5CDD"/>
    <w:rsid w:val="004E5EF5"/>
    <w:rsid w:val="004E6104"/>
    <w:rsid w:val="004E610A"/>
    <w:rsid w:val="004E61FF"/>
    <w:rsid w:val="004E651F"/>
    <w:rsid w:val="004E6A2E"/>
    <w:rsid w:val="004E6B20"/>
    <w:rsid w:val="004E6CAC"/>
    <w:rsid w:val="004E6E28"/>
    <w:rsid w:val="004E7055"/>
    <w:rsid w:val="004E729F"/>
    <w:rsid w:val="004E7325"/>
    <w:rsid w:val="004E73D3"/>
    <w:rsid w:val="004E7592"/>
    <w:rsid w:val="004E77E7"/>
    <w:rsid w:val="004E7CA6"/>
    <w:rsid w:val="004E7DE9"/>
    <w:rsid w:val="004F0190"/>
    <w:rsid w:val="004F0397"/>
    <w:rsid w:val="004F055B"/>
    <w:rsid w:val="004F05ED"/>
    <w:rsid w:val="004F0D10"/>
    <w:rsid w:val="004F0E96"/>
    <w:rsid w:val="004F0EA9"/>
    <w:rsid w:val="004F106E"/>
    <w:rsid w:val="004F11DA"/>
    <w:rsid w:val="004F1872"/>
    <w:rsid w:val="004F1B05"/>
    <w:rsid w:val="004F1BEA"/>
    <w:rsid w:val="004F1EFF"/>
    <w:rsid w:val="004F2155"/>
    <w:rsid w:val="004F2188"/>
    <w:rsid w:val="004F2470"/>
    <w:rsid w:val="004F26B6"/>
    <w:rsid w:val="004F27B1"/>
    <w:rsid w:val="004F28BE"/>
    <w:rsid w:val="004F2A48"/>
    <w:rsid w:val="004F2A9E"/>
    <w:rsid w:val="004F2CA7"/>
    <w:rsid w:val="004F2CED"/>
    <w:rsid w:val="004F3022"/>
    <w:rsid w:val="004F33D0"/>
    <w:rsid w:val="004F3596"/>
    <w:rsid w:val="004F378B"/>
    <w:rsid w:val="004F37B3"/>
    <w:rsid w:val="004F3A4B"/>
    <w:rsid w:val="004F3B4D"/>
    <w:rsid w:val="004F3B7D"/>
    <w:rsid w:val="004F3C96"/>
    <w:rsid w:val="004F3D92"/>
    <w:rsid w:val="004F3DBE"/>
    <w:rsid w:val="004F3F1D"/>
    <w:rsid w:val="004F424D"/>
    <w:rsid w:val="004F4420"/>
    <w:rsid w:val="004F4571"/>
    <w:rsid w:val="004F45DA"/>
    <w:rsid w:val="004F480C"/>
    <w:rsid w:val="004F5213"/>
    <w:rsid w:val="004F5C4F"/>
    <w:rsid w:val="004F5D6E"/>
    <w:rsid w:val="004F6017"/>
    <w:rsid w:val="004F6229"/>
    <w:rsid w:val="004F627A"/>
    <w:rsid w:val="004F6988"/>
    <w:rsid w:val="004F6B36"/>
    <w:rsid w:val="004F6B9C"/>
    <w:rsid w:val="004F770E"/>
    <w:rsid w:val="004F7A1B"/>
    <w:rsid w:val="004F7EA8"/>
    <w:rsid w:val="004F7F99"/>
    <w:rsid w:val="004F7FE8"/>
    <w:rsid w:val="005000B2"/>
    <w:rsid w:val="00500799"/>
    <w:rsid w:val="00500B35"/>
    <w:rsid w:val="005011B6"/>
    <w:rsid w:val="005012F5"/>
    <w:rsid w:val="00501749"/>
    <w:rsid w:val="00501846"/>
    <w:rsid w:val="00501C0A"/>
    <w:rsid w:val="00501D2D"/>
    <w:rsid w:val="0050250E"/>
    <w:rsid w:val="00502706"/>
    <w:rsid w:val="005027D1"/>
    <w:rsid w:val="00502826"/>
    <w:rsid w:val="00502990"/>
    <w:rsid w:val="00502B61"/>
    <w:rsid w:val="00502DD2"/>
    <w:rsid w:val="00502E32"/>
    <w:rsid w:val="00502EBD"/>
    <w:rsid w:val="0050312E"/>
    <w:rsid w:val="00503155"/>
    <w:rsid w:val="0050316D"/>
    <w:rsid w:val="0050381F"/>
    <w:rsid w:val="00503B95"/>
    <w:rsid w:val="00504032"/>
    <w:rsid w:val="005043F0"/>
    <w:rsid w:val="005044D6"/>
    <w:rsid w:val="005045E7"/>
    <w:rsid w:val="005047E7"/>
    <w:rsid w:val="005050A1"/>
    <w:rsid w:val="005050B6"/>
    <w:rsid w:val="00505130"/>
    <w:rsid w:val="005058B9"/>
    <w:rsid w:val="005058CC"/>
    <w:rsid w:val="00505AEE"/>
    <w:rsid w:val="00505CB9"/>
    <w:rsid w:val="00505D0D"/>
    <w:rsid w:val="00505D66"/>
    <w:rsid w:val="00505E27"/>
    <w:rsid w:val="00506374"/>
    <w:rsid w:val="00506DDB"/>
    <w:rsid w:val="00506E31"/>
    <w:rsid w:val="00506EE6"/>
    <w:rsid w:val="00506F4B"/>
    <w:rsid w:val="005070B5"/>
    <w:rsid w:val="005072D3"/>
    <w:rsid w:val="005076A3"/>
    <w:rsid w:val="00507E39"/>
    <w:rsid w:val="0051025F"/>
    <w:rsid w:val="0051087A"/>
    <w:rsid w:val="005110C7"/>
    <w:rsid w:val="0051111D"/>
    <w:rsid w:val="005117A6"/>
    <w:rsid w:val="00511BBF"/>
    <w:rsid w:val="00511C98"/>
    <w:rsid w:val="00512154"/>
    <w:rsid w:val="005121FD"/>
    <w:rsid w:val="0051269F"/>
    <w:rsid w:val="005126B9"/>
    <w:rsid w:val="00512824"/>
    <w:rsid w:val="0051288C"/>
    <w:rsid w:val="005128D2"/>
    <w:rsid w:val="005129CE"/>
    <w:rsid w:val="00512AE6"/>
    <w:rsid w:val="00512CE1"/>
    <w:rsid w:val="00512D3A"/>
    <w:rsid w:val="00512EEF"/>
    <w:rsid w:val="00512FFA"/>
    <w:rsid w:val="0051301B"/>
    <w:rsid w:val="00513A3A"/>
    <w:rsid w:val="00513A4F"/>
    <w:rsid w:val="00513A91"/>
    <w:rsid w:val="00513ADF"/>
    <w:rsid w:val="00514509"/>
    <w:rsid w:val="005147D5"/>
    <w:rsid w:val="00514ADC"/>
    <w:rsid w:val="00514B8F"/>
    <w:rsid w:val="00514BC9"/>
    <w:rsid w:val="00514FC6"/>
    <w:rsid w:val="00515139"/>
    <w:rsid w:val="005151F0"/>
    <w:rsid w:val="0051578F"/>
    <w:rsid w:val="00515A48"/>
    <w:rsid w:val="00515BD8"/>
    <w:rsid w:val="00516117"/>
    <w:rsid w:val="005165AB"/>
    <w:rsid w:val="005166E6"/>
    <w:rsid w:val="00516832"/>
    <w:rsid w:val="0051686E"/>
    <w:rsid w:val="00516929"/>
    <w:rsid w:val="00516F05"/>
    <w:rsid w:val="00517050"/>
    <w:rsid w:val="00517499"/>
    <w:rsid w:val="0051755E"/>
    <w:rsid w:val="005176EA"/>
    <w:rsid w:val="005179B2"/>
    <w:rsid w:val="00517B6D"/>
    <w:rsid w:val="00517C0B"/>
    <w:rsid w:val="00517EEA"/>
    <w:rsid w:val="00520151"/>
    <w:rsid w:val="00520A8F"/>
    <w:rsid w:val="00520B0A"/>
    <w:rsid w:val="00520B86"/>
    <w:rsid w:val="00520E9D"/>
    <w:rsid w:val="0052150F"/>
    <w:rsid w:val="005215F9"/>
    <w:rsid w:val="0052167C"/>
    <w:rsid w:val="005217D9"/>
    <w:rsid w:val="0052192C"/>
    <w:rsid w:val="00521D29"/>
    <w:rsid w:val="005221A6"/>
    <w:rsid w:val="005223A2"/>
    <w:rsid w:val="00522550"/>
    <w:rsid w:val="005225EE"/>
    <w:rsid w:val="00522744"/>
    <w:rsid w:val="00522D39"/>
    <w:rsid w:val="0052326B"/>
    <w:rsid w:val="005237D5"/>
    <w:rsid w:val="00523B85"/>
    <w:rsid w:val="00523D45"/>
    <w:rsid w:val="00523E95"/>
    <w:rsid w:val="005245DB"/>
    <w:rsid w:val="00524A07"/>
    <w:rsid w:val="00525037"/>
    <w:rsid w:val="0052514A"/>
    <w:rsid w:val="00525354"/>
    <w:rsid w:val="0052565E"/>
    <w:rsid w:val="00525E2D"/>
    <w:rsid w:val="00525F00"/>
    <w:rsid w:val="00525FAF"/>
    <w:rsid w:val="00526020"/>
    <w:rsid w:val="00526078"/>
    <w:rsid w:val="005261FB"/>
    <w:rsid w:val="0052643D"/>
    <w:rsid w:val="00526581"/>
    <w:rsid w:val="00526657"/>
    <w:rsid w:val="005266B9"/>
    <w:rsid w:val="00526958"/>
    <w:rsid w:val="00526C54"/>
    <w:rsid w:val="00526CB0"/>
    <w:rsid w:val="00526FCC"/>
    <w:rsid w:val="005273B2"/>
    <w:rsid w:val="00527484"/>
    <w:rsid w:val="00527550"/>
    <w:rsid w:val="0052769C"/>
    <w:rsid w:val="005276D3"/>
    <w:rsid w:val="00527B4D"/>
    <w:rsid w:val="0053001F"/>
    <w:rsid w:val="005305AF"/>
    <w:rsid w:val="005305E0"/>
    <w:rsid w:val="00530858"/>
    <w:rsid w:val="0053087E"/>
    <w:rsid w:val="005309E2"/>
    <w:rsid w:val="00530AE0"/>
    <w:rsid w:val="00530D39"/>
    <w:rsid w:val="00530E3F"/>
    <w:rsid w:val="00530EDD"/>
    <w:rsid w:val="00530FAF"/>
    <w:rsid w:val="0053187C"/>
    <w:rsid w:val="005319C3"/>
    <w:rsid w:val="00531ACC"/>
    <w:rsid w:val="00531BC5"/>
    <w:rsid w:val="00531D06"/>
    <w:rsid w:val="00531E84"/>
    <w:rsid w:val="00531E92"/>
    <w:rsid w:val="005321DE"/>
    <w:rsid w:val="005322E5"/>
    <w:rsid w:val="005324BD"/>
    <w:rsid w:val="005325AC"/>
    <w:rsid w:val="00532716"/>
    <w:rsid w:val="00532F69"/>
    <w:rsid w:val="005330D7"/>
    <w:rsid w:val="00533102"/>
    <w:rsid w:val="005331B7"/>
    <w:rsid w:val="00533325"/>
    <w:rsid w:val="0053371B"/>
    <w:rsid w:val="00533AF4"/>
    <w:rsid w:val="0053477C"/>
    <w:rsid w:val="005347E3"/>
    <w:rsid w:val="0053489E"/>
    <w:rsid w:val="005349E5"/>
    <w:rsid w:val="00534D7E"/>
    <w:rsid w:val="00534DD7"/>
    <w:rsid w:val="00535447"/>
    <w:rsid w:val="00535505"/>
    <w:rsid w:val="00535716"/>
    <w:rsid w:val="00535776"/>
    <w:rsid w:val="00535A78"/>
    <w:rsid w:val="00535B3B"/>
    <w:rsid w:val="005366A7"/>
    <w:rsid w:val="005366F4"/>
    <w:rsid w:val="00536A19"/>
    <w:rsid w:val="00536AEE"/>
    <w:rsid w:val="00536CD0"/>
    <w:rsid w:val="00536CE7"/>
    <w:rsid w:val="00537179"/>
    <w:rsid w:val="00537543"/>
    <w:rsid w:val="00537565"/>
    <w:rsid w:val="0053789C"/>
    <w:rsid w:val="00537DE3"/>
    <w:rsid w:val="00540249"/>
    <w:rsid w:val="0054052B"/>
    <w:rsid w:val="00540681"/>
    <w:rsid w:val="0054087F"/>
    <w:rsid w:val="005409AA"/>
    <w:rsid w:val="00541433"/>
    <w:rsid w:val="005414FB"/>
    <w:rsid w:val="00541C26"/>
    <w:rsid w:val="00541C4A"/>
    <w:rsid w:val="00541ED8"/>
    <w:rsid w:val="00542180"/>
    <w:rsid w:val="0054273E"/>
    <w:rsid w:val="005427A1"/>
    <w:rsid w:val="0054296B"/>
    <w:rsid w:val="00543ADB"/>
    <w:rsid w:val="00543C2C"/>
    <w:rsid w:val="00543CBF"/>
    <w:rsid w:val="00543ED0"/>
    <w:rsid w:val="0054408F"/>
    <w:rsid w:val="0054411F"/>
    <w:rsid w:val="0054422C"/>
    <w:rsid w:val="005443FA"/>
    <w:rsid w:val="0054440C"/>
    <w:rsid w:val="005447FF"/>
    <w:rsid w:val="005449AD"/>
    <w:rsid w:val="00544CA9"/>
    <w:rsid w:val="00544D16"/>
    <w:rsid w:val="00544DEF"/>
    <w:rsid w:val="00544F09"/>
    <w:rsid w:val="00545182"/>
    <w:rsid w:val="00545280"/>
    <w:rsid w:val="005452AD"/>
    <w:rsid w:val="0054535A"/>
    <w:rsid w:val="00545514"/>
    <w:rsid w:val="005455E0"/>
    <w:rsid w:val="00545817"/>
    <w:rsid w:val="00545C42"/>
    <w:rsid w:val="00545C7D"/>
    <w:rsid w:val="00546662"/>
    <w:rsid w:val="005468E3"/>
    <w:rsid w:val="00546DE6"/>
    <w:rsid w:val="00547413"/>
    <w:rsid w:val="00547780"/>
    <w:rsid w:val="00547AFE"/>
    <w:rsid w:val="00547CD9"/>
    <w:rsid w:val="00547DF0"/>
    <w:rsid w:val="00547E02"/>
    <w:rsid w:val="005501BE"/>
    <w:rsid w:val="005503E6"/>
    <w:rsid w:val="00550571"/>
    <w:rsid w:val="005505D8"/>
    <w:rsid w:val="005508C5"/>
    <w:rsid w:val="00550A21"/>
    <w:rsid w:val="00550A32"/>
    <w:rsid w:val="00551772"/>
    <w:rsid w:val="0055177F"/>
    <w:rsid w:val="0055178B"/>
    <w:rsid w:val="005519AC"/>
    <w:rsid w:val="00551DEC"/>
    <w:rsid w:val="00551F2D"/>
    <w:rsid w:val="00552175"/>
    <w:rsid w:val="005522E9"/>
    <w:rsid w:val="005523A4"/>
    <w:rsid w:val="00552581"/>
    <w:rsid w:val="005528FE"/>
    <w:rsid w:val="00552912"/>
    <w:rsid w:val="00552A9D"/>
    <w:rsid w:val="00552AD0"/>
    <w:rsid w:val="00552B0F"/>
    <w:rsid w:val="00552CEC"/>
    <w:rsid w:val="005531F5"/>
    <w:rsid w:val="0055353A"/>
    <w:rsid w:val="00553A5D"/>
    <w:rsid w:val="00553C5C"/>
    <w:rsid w:val="00553EA5"/>
    <w:rsid w:val="0055497E"/>
    <w:rsid w:val="00554B3A"/>
    <w:rsid w:val="00554FAC"/>
    <w:rsid w:val="00555152"/>
    <w:rsid w:val="005553DD"/>
    <w:rsid w:val="005555B6"/>
    <w:rsid w:val="00555F6A"/>
    <w:rsid w:val="005560B7"/>
    <w:rsid w:val="00556A42"/>
    <w:rsid w:val="00556C26"/>
    <w:rsid w:val="0055733D"/>
    <w:rsid w:val="0055748D"/>
    <w:rsid w:val="00557681"/>
    <w:rsid w:val="005577A5"/>
    <w:rsid w:val="005578F1"/>
    <w:rsid w:val="00557A25"/>
    <w:rsid w:val="00560055"/>
    <w:rsid w:val="005601C3"/>
    <w:rsid w:val="005605A6"/>
    <w:rsid w:val="00560900"/>
    <w:rsid w:val="005611A5"/>
    <w:rsid w:val="0056121B"/>
    <w:rsid w:val="005617A4"/>
    <w:rsid w:val="00561A2F"/>
    <w:rsid w:val="005622D8"/>
    <w:rsid w:val="0056241C"/>
    <w:rsid w:val="00562F0E"/>
    <w:rsid w:val="00563062"/>
    <w:rsid w:val="0056315E"/>
    <w:rsid w:val="00563363"/>
    <w:rsid w:val="005635E9"/>
    <w:rsid w:val="0056366F"/>
    <w:rsid w:val="0056399D"/>
    <w:rsid w:val="00563BF9"/>
    <w:rsid w:val="00563F26"/>
    <w:rsid w:val="00563FB4"/>
    <w:rsid w:val="005640A8"/>
    <w:rsid w:val="00564423"/>
    <w:rsid w:val="005648FA"/>
    <w:rsid w:val="00564D35"/>
    <w:rsid w:val="00564F2B"/>
    <w:rsid w:val="00564F6A"/>
    <w:rsid w:val="0056554A"/>
    <w:rsid w:val="005655A3"/>
    <w:rsid w:val="00565716"/>
    <w:rsid w:val="0056572B"/>
    <w:rsid w:val="00565860"/>
    <w:rsid w:val="00565FC4"/>
    <w:rsid w:val="0056614F"/>
    <w:rsid w:val="0056615B"/>
    <w:rsid w:val="00566774"/>
    <w:rsid w:val="00566CFB"/>
    <w:rsid w:val="00566F95"/>
    <w:rsid w:val="00566FEA"/>
    <w:rsid w:val="0056731B"/>
    <w:rsid w:val="005676C4"/>
    <w:rsid w:val="00567781"/>
    <w:rsid w:val="00567945"/>
    <w:rsid w:val="00567D84"/>
    <w:rsid w:val="0057054F"/>
    <w:rsid w:val="00570A12"/>
    <w:rsid w:val="00570A1C"/>
    <w:rsid w:val="00570D81"/>
    <w:rsid w:val="00570F11"/>
    <w:rsid w:val="00570FB8"/>
    <w:rsid w:val="00571294"/>
    <w:rsid w:val="0057129E"/>
    <w:rsid w:val="005712BE"/>
    <w:rsid w:val="0057178C"/>
    <w:rsid w:val="00571C35"/>
    <w:rsid w:val="00571C9C"/>
    <w:rsid w:val="005723F8"/>
    <w:rsid w:val="005724E9"/>
    <w:rsid w:val="0057335A"/>
    <w:rsid w:val="00573496"/>
    <w:rsid w:val="005734B3"/>
    <w:rsid w:val="0057364A"/>
    <w:rsid w:val="00573B14"/>
    <w:rsid w:val="005748BF"/>
    <w:rsid w:val="00574B0E"/>
    <w:rsid w:val="00574E2D"/>
    <w:rsid w:val="005753B5"/>
    <w:rsid w:val="0057556B"/>
    <w:rsid w:val="00575668"/>
    <w:rsid w:val="00575E06"/>
    <w:rsid w:val="0057602B"/>
    <w:rsid w:val="0057612E"/>
    <w:rsid w:val="0057674B"/>
    <w:rsid w:val="005767F5"/>
    <w:rsid w:val="00576857"/>
    <w:rsid w:val="00576BA9"/>
    <w:rsid w:val="00576DB3"/>
    <w:rsid w:val="005772E2"/>
    <w:rsid w:val="00577306"/>
    <w:rsid w:val="00577CA5"/>
    <w:rsid w:val="00577EBB"/>
    <w:rsid w:val="00580103"/>
    <w:rsid w:val="00580109"/>
    <w:rsid w:val="00580524"/>
    <w:rsid w:val="005806B5"/>
    <w:rsid w:val="00580716"/>
    <w:rsid w:val="005810C6"/>
    <w:rsid w:val="0058120D"/>
    <w:rsid w:val="00581CBC"/>
    <w:rsid w:val="00581D63"/>
    <w:rsid w:val="005821AB"/>
    <w:rsid w:val="005824B0"/>
    <w:rsid w:val="0058262B"/>
    <w:rsid w:val="00582749"/>
    <w:rsid w:val="005828AD"/>
    <w:rsid w:val="005838F9"/>
    <w:rsid w:val="00584271"/>
    <w:rsid w:val="005844BC"/>
    <w:rsid w:val="005848A5"/>
    <w:rsid w:val="00584BF4"/>
    <w:rsid w:val="00584C98"/>
    <w:rsid w:val="00584DA8"/>
    <w:rsid w:val="005850E1"/>
    <w:rsid w:val="00585283"/>
    <w:rsid w:val="0058528B"/>
    <w:rsid w:val="005852C3"/>
    <w:rsid w:val="0058530D"/>
    <w:rsid w:val="005854A6"/>
    <w:rsid w:val="00585779"/>
    <w:rsid w:val="0058591B"/>
    <w:rsid w:val="00585BF0"/>
    <w:rsid w:val="00585D84"/>
    <w:rsid w:val="00586416"/>
    <w:rsid w:val="00586771"/>
    <w:rsid w:val="00586818"/>
    <w:rsid w:val="00586F89"/>
    <w:rsid w:val="00587408"/>
    <w:rsid w:val="005875CB"/>
    <w:rsid w:val="005877D1"/>
    <w:rsid w:val="00587988"/>
    <w:rsid w:val="00587A82"/>
    <w:rsid w:val="00587ABE"/>
    <w:rsid w:val="00587BD9"/>
    <w:rsid w:val="00587E80"/>
    <w:rsid w:val="0059041F"/>
    <w:rsid w:val="005904BF"/>
    <w:rsid w:val="00590EFC"/>
    <w:rsid w:val="005910CC"/>
    <w:rsid w:val="005911FA"/>
    <w:rsid w:val="00591337"/>
    <w:rsid w:val="005919FD"/>
    <w:rsid w:val="00591A55"/>
    <w:rsid w:val="00591D38"/>
    <w:rsid w:val="00591D48"/>
    <w:rsid w:val="0059225A"/>
    <w:rsid w:val="00592587"/>
    <w:rsid w:val="0059271D"/>
    <w:rsid w:val="0059280A"/>
    <w:rsid w:val="0059286D"/>
    <w:rsid w:val="00592BCB"/>
    <w:rsid w:val="00592E93"/>
    <w:rsid w:val="00593110"/>
    <w:rsid w:val="00593204"/>
    <w:rsid w:val="0059344C"/>
    <w:rsid w:val="005934C6"/>
    <w:rsid w:val="0059396D"/>
    <w:rsid w:val="005939E1"/>
    <w:rsid w:val="00593A32"/>
    <w:rsid w:val="00593E2F"/>
    <w:rsid w:val="00593F2F"/>
    <w:rsid w:val="0059400F"/>
    <w:rsid w:val="00594822"/>
    <w:rsid w:val="0059483A"/>
    <w:rsid w:val="005949A5"/>
    <w:rsid w:val="00594B23"/>
    <w:rsid w:val="00594F59"/>
    <w:rsid w:val="0059512D"/>
    <w:rsid w:val="0059532E"/>
    <w:rsid w:val="005956D2"/>
    <w:rsid w:val="00595F8F"/>
    <w:rsid w:val="005961D3"/>
    <w:rsid w:val="0059637C"/>
    <w:rsid w:val="0059664E"/>
    <w:rsid w:val="00596CD7"/>
    <w:rsid w:val="00596D94"/>
    <w:rsid w:val="005978CC"/>
    <w:rsid w:val="005979FF"/>
    <w:rsid w:val="00597C52"/>
    <w:rsid w:val="005A02CD"/>
    <w:rsid w:val="005A0CF2"/>
    <w:rsid w:val="005A140B"/>
    <w:rsid w:val="005A141A"/>
    <w:rsid w:val="005A1A76"/>
    <w:rsid w:val="005A1BC4"/>
    <w:rsid w:val="005A1C1B"/>
    <w:rsid w:val="005A1C50"/>
    <w:rsid w:val="005A1D64"/>
    <w:rsid w:val="005A1F27"/>
    <w:rsid w:val="005A249F"/>
    <w:rsid w:val="005A25AA"/>
    <w:rsid w:val="005A25F4"/>
    <w:rsid w:val="005A2BBC"/>
    <w:rsid w:val="005A2DB4"/>
    <w:rsid w:val="005A41C2"/>
    <w:rsid w:val="005A41D5"/>
    <w:rsid w:val="005A43D9"/>
    <w:rsid w:val="005A486F"/>
    <w:rsid w:val="005A4A59"/>
    <w:rsid w:val="005A4B06"/>
    <w:rsid w:val="005A4C88"/>
    <w:rsid w:val="005A4E45"/>
    <w:rsid w:val="005A52AA"/>
    <w:rsid w:val="005A52D7"/>
    <w:rsid w:val="005A5363"/>
    <w:rsid w:val="005A5390"/>
    <w:rsid w:val="005A5470"/>
    <w:rsid w:val="005A5737"/>
    <w:rsid w:val="005A58B3"/>
    <w:rsid w:val="005A5B64"/>
    <w:rsid w:val="005A5F03"/>
    <w:rsid w:val="005A6186"/>
    <w:rsid w:val="005A6213"/>
    <w:rsid w:val="005A651E"/>
    <w:rsid w:val="005A6532"/>
    <w:rsid w:val="005A65ED"/>
    <w:rsid w:val="005A66D3"/>
    <w:rsid w:val="005A70AC"/>
    <w:rsid w:val="005A777D"/>
    <w:rsid w:val="005A7A03"/>
    <w:rsid w:val="005A7D94"/>
    <w:rsid w:val="005B05C7"/>
    <w:rsid w:val="005B06E4"/>
    <w:rsid w:val="005B0C2C"/>
    <w:rsid w:val="005B140C"/>
    <w:rsid w:val="005B14D8"/>
    <w:rsid w:val="005B1C6A"/>
    <w:rsid w:val="005B1D10"/>
    <w:rsid w:val="005B201F"/>
    <w:rsid w:val="005B2CFF"/>
    <w:rsid w:val="005B2E5B"/>
    <w:rsid w:val="005B37A5"/>
    <w:rsid w:val="005B3816"/>
    <w:rsid w:val="005B3C9C"/>
    <w:rsid w:val="005B3E16"/>
    <w:rsid w:val="005B4469"/>
    <w:rsid w:val="005B47CD"/>
    <w:rsid w:val="005B489C"/>
    <w:rsid w:val="005B48DA"/>
    <w:rsid w:val="005B4AF3"/>
    <w:rsid w:val="005B4B8E"/>
    <w:rsid w:val="005B4C28"/>
    <w:rsid w:val="005B4C77"/>
    <w:rsid w:val="005B4CAD"/>
    <w:rsid w:val="005B4EBA"/>
    <w:rsid w:val="005B4FF8"/>
    <w:rsid w:val="005B5ABE"/>
    <w:rsid w:val="005B5C97"/>
    <w:rsid w:val="005B5DE9"/>
    <w:rsid w:val="005B5E46"/>
    <w:rsid w:val="005B5E6C"/>
    <w:rsid w:val="005B6130"/>
    <w:rsid w:val="005B61EB"/>
    <w:rsid w:val="005B655B"/>
    <w:rsid w:val="005B6682"/>
    <w:rsid w:val="005B6F76"/>
    <w:rsid w:val="005B705D"/>
    <w:rsid w:val="005B722A"/>
    <w:rsid w:val="005B750C"/>
    <w:rsid w:val="005B756A"/>
    <w:rsid w:val="005B7827"/>
    <w:rsid w:val="005B7B19"/>
    <w:rsid w:val="005B7DB6"/>
    <w:rsid w:val="005C02D8"/>
    <w:rsid w:val="005C037D"/>
    <w:rsid w:val="005C04FE"/>
    <w:rsid w:val="005C19FD"/>
    <w:rsid w:val="005C1B33"/>
    <w:rsid w:val="005C1CBE"/>
    <w:rsid w:val="005C1EBC"/>
    <w:rsid w:val="005C2298"/>
    <w:rsid w:val="005C25A4"/>
    <w:rsid w:val="005C2E58"/>
    <w:rsid w:val="005C3121"/>
    <w:rsid w:val="005C3134"/>
    <w:rsid w:val="005C3294"/>
    <w:rsid w:val="005C36AE"/>
    <w:rsid w:val="005C3B80"/>
    <w:rsid w:val="005C3C23"/>
    <w:rsid w:val="005C4F4D"/>
    <w:rsid w:val="005C4FDC"/>
    <w:rsid w:val="005C5292"/>
    <w:rsid w:val="005C53FB"/>
    <w:rsid w:val="005C54F6"/>
    <w:rsid w:val="005C557B"/>
    <w:rsid w:val="005C613C"/>
    <w:rsid w:val="005C61A1"/>
    <w:rsid w:val="005C66B0"/>
    <w:rsid w:val="005C6DC6"/>
    <w:rsid w:val="005C702A"/>
    <w:rsid w:val="005C707F"/>
    <w:rsid w:val="005C70AE"/>
    <w:rsid w:val="005C733C"/>
    <w:rsid w:val="005C7816"/>
    <w:rsid w:val="005C78F4"/>
    <w:rsid w:val="005C78FD"/>
    <w:rsid w:val="005C7A1C"/>
    <w:rsid w:val="005C7C74"/>
    <w:rsid w:val="005D01BD"/>
    <w:rsid w:val="005D0286"/>
    <w:rsid w:val="005D029A"/>
    <w:rsid w:val="005D062D"/>
    <w:rsid w:val="005D0877"/>
    <w:rsid w:val="005D105C"/>
    <w:rsid w:val="005D133D"/>
    <w:rsid w:val="005D13E2"/>
    <w:rsid w:val="005D177C"/>
    <w:rsid w:val="005D18A1"/>
    <w:rsid w:val="005D1925"/>
    <w:rsid w:val="005D1B81"/>
    <w:rsid w:val="005D1E6A"/>
    <w:rsid w:val="005D2662"/>
    <w:rsid w:val="005D2C07"/>
    <w:rsid w:val="005D2CA8"/>
    <w:rsid w:val="005D2CCD"/>
    <w:rsid w:val="005D2E20"/>
    <w:rsid w:val="005D30DC"/>
    <w:rsid w:val="005D3128"/>
    <w:rsid w:val="005D3548"/>
    <w:rsid w:val="005D36B7"/>
    <w:rsid w:val="005D46E9"/>
    <w:rsid w:val="005D47C4"/>
    <w:rsid w:val="005D4E8A"/>
    <w:rsid w:val="005D505F"/>
    <w:rsid w:val="005D50F7"/>
    <w:rsid w:val="005D55DC"/>
    <w:rsid w:val="005D55E4"/>
    <w:rsid w:val="005D55E9"/>
    <w:rsid w:val="005D5953"/>
    <w:rsid w:val="005D5E74"/>
    <w:rsid w:val="005D5ECC"/>
    <w:rsid w:val="005D5F6F"/>
    <w:rsid w:val="005D617E"/>
    <w:rsid w:val="005D62BF"/>
    <w:rsid w:val="005D7072"/>
    <w:rsid w:val="005D7080"/>
    <w:rsid w:val="005D7622"/>
    <w:rsid w:val="005D78BB"/>
    <w:rsid w:val="005D79FF"/>
    <w:rsid w:val="005D7CED"/>
    <w:rsid w:val="005D7DED"/>
    <w:rsid w:val="005E01B1"/>
    <w:rsid w:val="005E08B9"/>
    <w:rsid w:val="005E08FF"/>
    <w:rsid w:val="005E0BC3"/>
    <w:rsid w:val="005E0EE2"/>
    <w:rsid w:val="005E1389"/>
    <w:rsid w:val="005E22A5"/>
    <w:rsid w:val="005E2347"/>
    <w:rsid w:val="005E253B"/>
    <w:rsid w:val="005E2793"/>
    <w:rsid w:val="005E2A47"/>
    <w:rsid w:val="005E2B1B"/>
    <w:rsid w:val="005E2DCA"/>
    <w:rsid w:val="005E2DD9"/>
    <w:rsid w:val="005E3250"/>
    <w:rsid w:val="005E340F"/>
    <w:rsid w:val="005E3479"/>
    <w:rsid w:val="005E3779"/>
    <w:rsid w:val="005E3D6B"/>
    <w:rsid w:val="005E3E2C"/>
    <w:rsid w:val="005E404B"/>
    <w:rsid w:val="005E42EE"/>
    <w:rsid w:val="005E43DC"/>
    <w:rsid w:val="005E4507"/>
    <w:rsid w:val="005E4649"/>
    <w:rsid w:val="005E4836"/>
    <w:rsid w:val="005E4888"/>
    <w:rsid w:val="005E4A1C"/>
    <w:rsid w:val="005E4D0F"/>
    <w:rsid w:val="005E507B"/>
    <w:rsid w:val="005E53B0"/>
    <w:rsid w:val="005E559E"/>
    <w:rsid w:val="005E55B6"/>
    <w:rsid w:val="005E5644"/>
    <w:rsid w:val="005E5776"/>
    <w:rsid w:val="005E59C0"/>
    <w:rsid w:val="005E5CDC"/>
    <w:rsid w:val="005E5F81"/>
    <w:rsid w:val="005E5F9B"/>
    <w:rsid w:val="005E65C3"/>
    <w:rsid w:val="005E6832"/>
    <w:rsid w:val="005E69CA"/>
    <w:rsid w:val="005E6A59"/>
    <w:rsid w:val="005E6BEC"/>
    <w:rsid w:val="005E715F"/>
    <w:rsid w:val="005E7265"/>
    <w:rsid w:val="005E781A"/>
    <w:rsid w:val="005E7C93"/>
    <w:rsid w:val="005E7D82"/>
    <w:rsid w:val="005E7E2A"/>
    <w:rsid w:val="005F0174"/>
    <w:rsid w:val="005F0255"/>
    <w:rsid w:val="005F0999"/>
    <w:rsid w:val="005F0B09"/>
    <w:rsid w:val="005F0DBB"/>
    <w:rsid w:val="005F0E52"/>
    <w:rsid w:val="005F18A7"/>
    <w:rsid w:val="005F18C4"/>
    <w:rsid w:val="005F1DAA"/>
    <w:rsid w:val="005F2060"/>
    <w:rsid w:val="005F2456"/>
    <w:rsid w:val="005F24BB"/>
    <w:rsid w:val="005F262D"/>
    <w:rsid w:val="005F26AC"/>
    <w:rsid w:val="005F2CE2"/>
    <w:rsid w:val="005F2F69"/>
    <w:rsid w:val="005F304B"/>
    <w:rsid w:val="005F304F"/>
    <w:rsid w:val="005F3077"/>
    <w:rsid w:val="005F33C5"/>
    <w:rsid w:val="005F3564"/>
    <w:rsid w:val="005F36E9"/>
    <w:rsid w:val="005F38B9"/>
    <w:rsid w:val="005F4AC1"/>
    <w:rsid w:val="005F5078"/>
    <w:rsid w:val="005F52C5"/>
    <w:rsid w:val="005F52ED"/>
    <w:rsid w:val="005F5339"/>
    <w:rsid w:val="005F53A3"/>
    <w:rsid w:val="005F5885"/>
    <w:rsid w:val="005F5C95"/>
    <w:rsid w:val="005F6332"/>
    <w:rsid w:val="005F6475"/>
    <w:rsid w:val="005F6760"/>
    <w:rsid w:val="005F68C0"/>
    <w:rsid w:val="005F727C"/>
    <w:rsid w:val="005F72E4"/>
    <w:rsid w:val="005F7488"/>
    <w:rsid w:val="005F753B"/>
    <w:rsid w:val="005F76CF"/>
    <w:rsid w:val="005F7885"/>
    <w:rsid w:val="005F78ED"/>
    <w:rsid w:val="005F7D1A"/>
    <w:rsid w:val="005F7E6A"/>
    <w:rsid w:val="00600662"/>
    <w:rsid w:val="00600B16"/>
    <w:rsid w:val="00600EC8"/>
    <w:rsid w:val="006014F1"/>
    <w:rsid w:val="00601CFF"/>
    <w:rsid w:val="00601E00"/>
    <w:rsid w:val="00602133"/>
    <w:rsid w:val="006022C1"/>
    <w:rsid w:val="006023DA"/>
    <w:rsid w:val="006024D6"/>
    <w:rsid w:val="0060251B"/>
    <w:rsid w:val="0060261A"/>
    <w:rsid w:val="00602690"/>
    <w:rsid w:val="0060278F"/>
    <w:rsid w:val="00602BB9"/>
    <w:rsid w:val="00602E88"/>
    <w:rsid w:val="00603008"/>
    <w:rsid w:val="006036B1"/>
    <w:rsid w:val="00603E7E"/>
    <w:rsid w:val="00603F75"/>
    <w:rsid w:val="00604477"/>
    <w:rsid w:val="006049BD"/>
    <w:rsid w:val="00604B26"/>
    <w:rsid w:val="00604C5B"/>
    <w:rsid w:val="00604E58"/>
    <w:rsid w:val="00605069"/>
    <w:rsid w:val="006051D5"/>
    <w:rsid w:val="006054E8"/>
    <w:rsid w:val="00605516"/>
    <w:rsid w:val="00605685"/>
    <w:rsid w:val="006058F8"/>
    <w:rsid w:val="006059AF"/>
    <w:rsid w:val="006059E6"/>
    <w:rsid w:val="00605D3D"/>
    <w:rsid w:val="006064F9"/>
    <w:rsid w:val="0060694B"/>
    <w:rsid w:val="00606B52"/>
    <w:rsid w:val="00606EF0"/>
    <w:rsid w:val="00606F01"/>
    <w:rsid w:val="00607104"/>
    <w:rsid w:val="006071E9"/>
    <w:rsid w:val="00607248"/>
    <w:rsid w:val="00607A62"/>
    <w:rsid w:val="00607B34"/>
    <w:rsid w:val="006101E9"/>
    <w:rsid w:val="00610505"/>
    <w:rsid w:val="00610775"/>
    <w:rsid w:val="00610A94"/>
    <w:rsid w:val="00610AF0"/>
    <w:rsid w:val="00611506"/>
    <w:rsid w:val="006116A1"/>
    <w:rsid w:val="006116B6"/>
    <w:rsid w:val="00611717"/>
    <w:rsid w:val="0061204D"/>
    <w:rsid w:val="006121BA"/>
    <w:rsid w:val="006129A4"/>
    <w:rsid w:val="00612DA5"/>
    <w:rsid w:val="00612ED4"/>
    <w:rsid w:val="00612F32"/>
    <w:rsid w:val="00612FB4"/>
    <w:rsid w:val="0061302A"/>
    <w:rsid w:val="0061322A"/>
    <w:rsid w:val="006138FA"/>
    <w:rsid w:val="00613C2F"/>
    <w:rsid w:val="00613E0C"/>
    <w:rsid w:val="0061408C"/>
    <w:rsid w:val="00614250"/>
    <w:rsid w:val="00614319"/>
    <w:rsid w:val="0061455C"/>
    <w:rsid w:val="00614989"/>
    <w:rsid w:val="0061558B"/>
    <w:rsid w:val="00615ABF"/>
    <w:rsid w:val="00615DF6"/>
    <w:rsid w:val="00616378"/>
    <w:rsid w:val="0061670E"/>
    <w:rsid w:val="0061681C"/>
    <w:rsid w:val="00616C69"/>
    <w:rsid w:val="00616F17"/>
    <w:rsid w:val="006172A1"/>
    <w:rsid w:val="0061763F"/>
    <w:rsid w:val="00617728"/>
    <w:rsid w:val="00617A0A"/>
    <w:rsid w:val="00617A14"/>
    <w:rsid w:val="00620152"/>
    <w:rsid w:val="006203F1"/>
    <w:rsid w:val="00620534"/>
    <w:rsid w:val="0062073E"/>
    <w:rsid w:val="00620D7C"/>
    <w:rsid w:val="006212F1"/>
    <w:rsid w:val="00621430"/>
    <w:rsid w:val="00621598"/>
    <w:rsid w:val="00621700"/>
    <w:rsid w:val="00621B37"/>
    <w:rsid w:val="0062239F"/>
    <w:rsid w:val="00622438"/>
    <w:rsid w:val="006224D4"/>
    <w:rsid w:val="00622F2F"/>
    <w:rsid w:val="00623083"/>
    <w:rsid w:val="00623490"/>
    <w:rsid w:val="006234E6"/>
    <w:rsid w:val="0062354F"/>
    <w:rsid w:val="006235D4"/>
    <w:rsid w:val="006236FA"/>
    <w:rsid w:val="00623DEB"/>
    <w:rsid w:val="0062420A"/>
    <w:rsid w:val="0062432F"/>
    <w:rsid w:val="00624B4C"/>
    <w:rsid w:val="00625093"/>
    <w:rsid w:val="00625248"/>
    <w:rsid w:val="00625312"/>
    <w:rsid w:val="0062553B"/>
    <w:rsid w:val="006256F5"/>
    <w:rsid w:val="00625C27"/>
    <w:rsid w:val="00625FC3"/>
    <w:rsid w:val="00625FE7"/>
    <w:rsid w:val="0062640E"/>
    <w:rsid w:val="00626563"/>
    <w:rsid w:val="0062683F"/>
    <w:rsid w:val="0062684E"/>
    <w:rsid w:val="00626C41"/>
    <w:rsid w:val="00626C66"/>
    <w:rsid w:val="006270BF"/>
    <w:rsid w:val="0062744B"/>
    <w:rsid w:val="00627564"/>
    <w:rsid w:val="00627610"/>
    <w:rsid w:val="00627698"/>
    <w:rsid w:val="00627AF6"/>
    <w:rsid w:val="00627DBD"/>
    <w:rsid w:val="00627FF2"/>
    <w:rsid w:val="006301A5"/>
    <w:rsid w:val="006305A4"/>
    <w:rsid w:val="006305E4"/>
    <w:rsid w:val="00630825"/>
    <w:rsid w:val="00630865"/>
    <w:rsid w:val="00630B2C"/>
    <w:rsid w:val="00630EDC"/>
    <w:rsid w:val="00630F0A"/>
    <w:rsid w:val="00630F7C"/>
    <w:rsid w:val="00630FCE"/>
    <w:rsid w:val="00631336"/>
    <w:rsid w:val="00631575"/>
    <w:rsid w:val="006320F0"/>
    <w:rsid w:val="006321C7"/>
    <w:rsid w:val="00632561"/>
    <w:rsid w:val="006325C2"/>
    <w:rsid w:val="0063272F"/>
    <w:rsid w:val="00632820"/>
    <w:rsid w:val="0063286B"/>
    <w:rsid w:val="00632DDC"/>
    <w:rsid w:val="00632DEC"/>
    <w:rsid w:val="00632ECC"/>
    <w:rsid w:val="00633213"/>
    <w:rsid w:val="00633C03"/>
    <w:rsid w:val="00633C5E"/>
    <w:rsid w:val="00633FF2"/>
    <w:rsid w:val="006341BC"/>
    <w:rsid w:val="006343D1"/>
    <w:rsid w:val="006343EA"/>
    <w:rsid w:val="0063467F"/>
    <w:rsid w:val="00634D6C"/>
    <w:rsid w:val="00634DA0"/>
    <w:rsid w:val="00634DBB"/>
    <w:rsid w:val="006353E8"/>
    <w:rsid w:val="006354B3"/>
    <w:rsid w:val="00635512"/>
    <w:rsid w:val="0063563A"/>
    <w:rsid w:val="00635659"/>
    <w:rsid w:val="006358F3"/>
    <w:rsid w:val="00635B4F"/>
    <w:rsid w:val="00635F2A"/>
    <w:rsid w:val="00635F71"/>
    <w:rsid w:val="006360AF"/>
    <w:rsid w:val="00636575"/>
    <w:rsid w:val="00636BE8"/>
    <w:rsid w:val="00637250"/>
    <w:rsid w:val="0063733C"/>
    <w:rsid w:val="00637653"/>
    <w:rsid w:val="00637984"/>
    <w:rsid w:val="00637FCD"/>
    <w:rsid w:val="00640017"/>
    <w:rsid w:val="00640893"/>
    <w:rsid w:val="0064095E"/>
    <w:rsid w:val="00640A32"/>
    <w:rsid w:val="00640B33"/>
    <w:rsid w:val="00640E7D"/>
    <w:rsid w:val="006412AD"/>
    <w:rsid w:val="00641B1A"/>
    <w:rsid w:val="00642146"/>
    <w:rsid w:val="0064227D"/>
    <w:rsid w:val="0064233A"/>
    <w:rsid w:val="006425A1"/>
    <w:rsid w:val="006425A7"/>
    <w:rsid w:val="00642C43"/>
    <w:rsid w:val="00642D9A"/>
    <w:rsid w:val="006430DB"/>
    <w:rsid w:val="0064319C"/>
    <w:rsid w:val="006431C6"/>
    <w:rsid w:val="0064359F"/>
    <w:rsid w:val="006436F3"/>
    <w:rsid w:val="006437A9"/>
    <w:rsid w:val="0064385D"/>
    <w:rsid w:val="00643BF6"/>
    <w:rsid w:val="00643ED1"/>
    <w:rsid w:val="00643FD0"/>
    <w:rsid w:val="0064411A"/>
    <w:rsid w:val="0064414F"/>
    <w:rsid w:val="006445BB"/>
    <w:rsid w:val="0064462B"/>
    <w:rsid w:val="0064485A"/>
    <w:rsid w:val="006448BB"/>
    <w:rsid w:val="0064491E"/>
    <w:rsid w:val="0064525D"/>
    <w:rsid w:val="00645D39"/>
    <w:rsid w:val="006461A9"/>
    <w:rsid w:val="0064620B"/>
    <w:rsid w:val="00646959"/>
    <w:rsid w:val="006469BB"/>
    <w:rsid w:val="006469E1"/>
    <w:rsid w:val="00646A43"/>
    <w:rsid w:val="00646A87"/>
    <w:rsid w:val="00646B39"/>
    <w:rsid w:val="00646D1F"/>
    <w:rsid w:val="00646DEB"/>
    <w:rsid w:val="00646EC7"/>
    <w:rsid w:val="00647767"/>
    <w:rsid w:val="0064785A"/>
    <w:rsid w:val="00647F17"/>
    <w:rsid w:val="006502C3"/>
    <w:rsid w:val="006503A0"/>
    <w:rsid w:val="006504A4"/>
    <w:rsid w:val="006507C3"/>
    <w:rsid w:val="00650B38"/>
    <w:rsid w:val="00651306"/>
    <w:rsid w:val="006516B3"/>
    <w:rsid w:val="00651DCB"/>
    <w:rsid w:val="00652175"/>
    <w:rsid w:val="00652194"/>
    <w:rsid w:val="00652383"/>
    <w:rsid w:val="00652698"/>
    <w:rsid w:val="006528D6"/>
    <w:rsid w:val="006533C9"/>
    <w:rsid w:val="00653435"/>
    <w:rsid w:val="00653CBF"/>
    <w:rsid w:val="00653E0C"/>
    <w:rsid w:val="00653EFC"/>
    <w:rsid w:val="006540EF"/>
    <w:rsid w:val="00654968"/>
    <w:rsid w:val="0065510E"/>
    <w:rsid w:val="00655128"/>
    <w:rsid w:val="006552AE"/>
    <w:rsid w:val="00655353"/>
    <w:rsid w:val="00655467"/>
    <w:rsid w:val="006554F5"/>
    <w:rsid w:val="0065581B"/>
    <w:rsid w:val="006558DD"/>
    <w:rsid w:val="00655906"/>
    <w:rsid w:val="00655D4E"/>
    <w:rsid w:val="00655ED2"/>
    <w:rsid w:val="006567C0"/>
    <w:rsid w:val="00656C41"/>
    <w:rsid w:val="00656D9C"/>
    <w:rsid w:val="00656D9D"/>
    <w:rsid w:val="00656EA7"/>
    <w:rsid w:val="006572B8"/>
    <w:rsid w:val="00657AFC"/>
    <w:rsid w:val="00657E99"/>
    <w:rsid w:val="00657F56"/>
    <w:rsid w:val="00660187"/>
    <w:rsid w:val="00660197"/>
    <w:rsid w:val="00660224"/>
    <w:rsid w:val="0066055C"/>
    <w:rsid w:val="00660680"/>
    <w:rsid w:val="00660723"/>
    <w:rsid w:val="00660853"/>
    <w:rsid w:val="00660996"/>
    <w:rsid w:val="00660A8B"/>
    <w:rsid w:val="00660C72"/>
    <w:rsid w:val="00661047"/>
    <w:rsid w:val="00661218"/>
    <w:rsid w:val="0066149B"/>
    <w:rsid w:val="00661B8C"/>
    <w:rsid w:val="00661C03"/>
    <w:rsid w:val="00661C6A"/>
    <w:rsid w:val="00661CCA"/>
    <w:rsid w:val="00661FD8"/>
    <w:rsid w:val="0066203C"/>
    <w:rsid w:val="00662909"/>
    <w:rsid w:val="006629F8"/>
    <w:rsid w:val="00662CD8"/>
    <w:rsid w:val="00663591"/>
    <w:rsid w:val="006638B9"/>
    <w:rsid w:val="00663A65"/>
    <w:rsid w:val="00663E19"/>
    <w:rsid w:val="006641B1"/>
    <w:rsid w:val="00664294"/>
    <w:rsid w:val="0066457F"/>
    <w:rsid w:val="006645BC"/>
    <w:rsid w:val="00664888"/>
    <w:rsid w:val="00664C2A"/>
    <w:rsid w:val="006651B8"/>
    <w:rsid w:val="006667CB"/>
    <w:rsid w:val="0066688C"/>
    <w:rsid w:val="00666EAA"/>
    <w:rsid w:val="00666F57"/>
    <w:rsid w:val="00666FC3"/>
    <w:rsid w:val="006675FD"/>
    <w:rsid w:val="006676FF"/>
    <w:rsid w:val="00667BA5"/>
    <w:rsid w:val="0067012A"/>
    <w:rsid w:val="00670260"/>
    <w:rsid w:val="0067053D"/>
    <w:rsid w:val="00670737"/>
    <w:rsid w:val="0067079E"/>
    <w:rsid w:val="00670903"/>
    <w:rsid w:val="006710B7"/>
    <w:rsid w:val="00671101"/>
    <w:rsid w:val="006717EF"/>
    <w:rsid w:val="00671CE6"/>
    <w:rsid w:val="00671E3C"/>
    <w:rsid w:val="00671F87"/>
    <w:rsid w:val="006720B8"/>
    <w:rsid w:val="0067217C"/>
    <w:rsid w:val="0067219E"/>
    <w:rsid w:val="0067269A"/>
    <w:rsid w:val="00672724"/>
    <w:rsid w:val="00672868"/>
    <w:rsid w:val="006728C2"/>
    <w:rsid w:val="006729AA"/>
    <w:rsid w:val="00672A53"/>
    <w:rsid w:val="00672B0D"/>
    <w:rsid w:val="00672BC1"/>
    <w:rsid w:val="00672BDA"/>
    <w:rsid w:val="00672E03"/>
    <w:rsid w:val="0067347D"/>
    <w:rsid w:val="0067351F"/>
    <w:rsid w:val="00673A81"/>
    <w:rsid w:val="00673B35"/>
    <w:rsid w:val="00673BD1"/>
    <w:rsid w:val="00673EFA"/>
    <w:rsid w:val="00674045"/>
    <w:rsid w:val="006742DE"/>
    <w:rsid w:val="00674325"/>
    <w:rsid w:val="006745BA"/>
    <w:rsid w:val="0067466F"/>
    <w:rsid w:val="00674C86"/>
    <w:rsid w:val="00674D80"/>
    <w:rsid w:val="00674F17"/>
    <w:rsid w:val="0067599C"/>
    <w:rsid w:val="00675C1A"/>
    <w:rsid w:val="00675E3C"/>
    <w:rsid w:val="00675EF5"/>
    <w:rsid w:val="00675F60"/>
    <w:rsid w:val="00676712"/>
    <w:rsid w:val="00676851"/>
    <w:rsid w:val="0067685B"/>
    <w:rsid w:val="00676E32"/>
    <w:rsid w:val="00676E7C"/>
    <w:rsid w:val="00676F82"/>
    <w:rsid w:val="00677456"/>
    <w:rsid w:val="0067748E"/>
    <w:rsid w:val="006776BA"/>
    <w:rsid w:val="00677901"/>
    <w:rsid w:val="00677E85"/>
    <w:rsid w:val="00680620"/>
    <w:rsid w:val="00680AD9"/>
    <w:rsid w:val="00680C11"/>
    <w:rsid w:val="00680C83"/>
    <w:rsid w:val="00680F19"/>
    <w:rsid w:val="00680FC3"/>
    <w:rsid w:val="00680FDA"/>
    <w:rsid w:val="00681796"/>
    <w:rsid w:val="0068189E"/>
    <w:rsid w:val="006820B2"/>
    <w:rsid w:val="0068210B"/>
    <w:rsid w:val="0068246F"/>
    <w:rsid w:val="00682928"/>
    <w:rsid w:val="00682F5E"/>
    <w:rsid w:val="0068323A"/>
    <w:rsid w:val="00683711"/>
    <w:rsid w:val="00683BB5"/>
    <w:rsid w:val="00683DBF"/>
    <w:rsid w:val="0068416D"/>
    <w:rsid w:val="006844F5"/>
    <w:rsid w:val="00684A11"/>
    <w:rsid w:val="00685161"/>
    <w:rsid w:val="006852D9"/>
    <w:rsid w:val="00685639"/>
    <w:rsid w:val="006858DF"/>
    <w:rsid w:val="00685D0B"/>
    <w:rsid w:val="00685FE4"/>
    <w:rsid w:val="00686013"/>
    <w:rsid w:val="00686353"/>
    <w:rsid w:val="00686403"/>
    <w:rsid w:val="00686581"/>
    <w:rsid w:val="00686691"/>
    <w:rsid w:val="00686CF5"/>
    <w:rsid w:val="00686D79"/>
    <w:rsid w:val="00686DBC"/>
    <w:rsid w:val="0068717E"/>
    <w:rsid w:val="00687440"/>
    <w:rsid w:val="00687664"/>
    <w:rsid w:val="0068767A"/>
    <w:rsid w:val="00687781"/>
    <w:rsid w:val="0068779E"/>
    <w:rsid w:val="00687C03"/>
    <w:rsid w:val="00687DBB"/>
    <w:rsid w:val="0069030F"/>
    <w:rsid w:val="006904DD"/>
    <w:rsid w:val="006906F2"/>
    <w:rsid w:val="006908E7"/>
    <w:rsid w:val="00690A3B"/>
    <w:rsid w:val="00691B00"/>
    <w:rsid w:val="00692152"/>
    <w:rsid w:val="006922F4"/>
    <w:rsid w:val="00692402"/>
    <w:rsid w:val="0069298D"/>
    <w:rsid w:val="00692C1D"/>
    <w:rsid w:val="00692C4C"/>
    <w:rsid w:val="00692DCF"/>
    <w:rsid w:val="00692E90"/>
    <w:rsid w:val="0069323B"/>
    <w:rsid w:val="006932EF"/>
    <w:rsid w:val="006934F9"/>
    <w:rsid w:val="0069381E"/>
    <w:rsid w:val="00693E24"/>
    <w:rsid w:val="00693F08"/>
    <w:rsid w:val="006943CC"/>
    <w:rsid w:val="006945C4"/>
    <w:rsid w:val="0069486F"/>
    <w:rsid w:val="00694B01"/>
    <w:rsid w:val="00694B73"/>
    <w:rsid w:val="0069525C"/>
    <w:rsid w:val="006955D8"/>
    <w:rsid w:val="00695685"/>
    <w:rsid w:val="006958BB"/>
    <w:rsid w:val="00695AB9"/>
    <w:rsid w:val="00695F03"/>
    <w:rsid w:val="00696732"/>
    <w:rsid w:val="00696767"/>
    <w:rsid w:val="0069678C"/>
    <w:rsid w:val="00696A50"/>
    <w:rsid w:val="00696DE6"/>
    <w:rsid w:val="00697E0C"/>
    <w:rsid w:val="006A0605"/>
    <w:rsid w:val="006A12F2"/>
    <w:rsid w:val="006A14C6"/>
    <w:rsid w:val="006A163E"/>
    <w:rsid w:val="006A1744"/>
    <w:rsid w:val="006A190B"/>
    <w:rsid w:val="006A1B89"/>
    <w:rsid w:val="006A1D92"/>
    <w:rsid w:val="006A1F9D"/>
    <w:rsid w:val="006A204A"/>
    <w:rsid w:val="006A2114"/>
    <w:rsid w:val="006A27D2"/>
    <w:rsid w:val="006A2A2B"/>
    <w:rsid w:val="006A2A7E"/>
    <w:rsid w:val="006A2C8B"/>
    <w:rsid w:val="006A2EDB"/>
    <w:rsid w:val="006A308B"/>
    <w:rsid w:val="006A313F"/>
    <w:rsid w:val="006A3521"/>
    <w:rsid w:val="006A35EC"/>
    <w:rsid w:val="006A3999"/>
    <w:rsid w:val="006A3BB2"/>
    <w:rsid w:val="006A3D73"/>
    <w:rsid w:val="006A4075"/>
    <w:rsid w:val="006A4381"/>
    <w:rsid w:val="006A45C2"/>
    <w:rsid w:val="006A4705"/>
    <w:rsid w:val="006A4C73"/>
    <w:rsid w:val="006A4E4D"/>
    <w:rsid w:val="006A578C"/>
    <w:rsid w:val="006A5AD4"/>
    <w:rsid w:val="006A639F"/>
    <w:rsid w:val="006A63D1"/>
    <w:rsid w:val="006A66C9"/>
    <w:rsid w:val="006A6966"/>
    <w:rsid w:val="006A6BA5"/>
    <w:rsid w:val="006A6F35"/>
    <w:rsid w:val="006A758E"/>
    <w:rsid w:val="006A785A"/>
    <w:rsid w:val="006A79D7"/>
    <w:rsid w:val="006A7E57"/>
    <w:rsid w:val="006B02B4"/>
    <w:rsid w:val="006B0405"/>
    <w:rsid w:val="006B0581"/>
    <w:rsid w:val="006B0E65"/>
    <w:rsid w:val="006B1138"/>
    <w:rsid w:val="006B1194"/>
    <w:rsid w:val="006B12E6"/>
    <w:rsid w:val="006B1A80"/>
    <w:rsid w:val="006B1AB1"/>
    <w:rsid w:val="006B1CD0"/>
    <w:rsid w:val="006B1F53"/>
    <w:rsid w:val="006B2189"/>
    <w:rsid w:val="006B266C"/>
    <w:rsid w:val="006B26FC"/>
    <w:rsid w:val="006B2F71"/>
    <w:rsid w:val="006B3580"/>
    <w:rsid w:val="006B35D1"/>
    <w:rsid w:val="006B3A02"/>
    <w:rsid w:val="006B3B77"/>
    <w:rsid w:val="006B3E5E"/>
    <w:rsid w:val="006B3FE9"/>
    <w:rsid w:val="006B44E2"/>
    <w:rsid w:val="006B4A97"/>
    <w:rsid w:val="006B4AA8"/>
    <w:rsid w:val="006B4D4B"/>
    <w:rsid w:val="006B51F7"/>
    <w:rsid w:val="006B5662"/>
    <w:rsid w:val="006B566B"/>
    <w:rsid w:val="006B572F"/>
    <w:rsid w:val="006B57D9"/>
    <w:rsid w:val="006B581C"/>
    <w:rsid w:val="006B5860"/>
    <w:rsid w:val="006B5A2B"/>
    <w:rsid w:val="006B5D65"/>
    <w:rsid w:val="006B6143"/>
    <w:rsid w:val="006B62CA"/>
    <w:rsid w:val="006B6382"/>
    <w:rsid w:val="006B6AAB"/>
    <w:rsid w:val="006B6DFB"/>
    <w:rsid w:val="006B72C9"/>
    <w:rsid w:val="006B792D"/>
    <w:rsid w:val="006B7AD3"/>
    <w:rsid w:val="006B7C80"/>
    <w:rsid w:val="006B7CA4"/>
    <w:rsid w:val="006B7EB3"/>
    <w:rsid w:val="006B7FA8"/>
    <w:rsid w:val="006C024A"/>
    <w:rsid w:val="006C04D5"/>
    <w:rsid w:val="006C052C"/>
    <w:rsid w:val="006C096E"/>
    <w:rsid w:val="006C145B"/>
    <w:rsid w:val="006C175C"/>
    <w:rsid w:val="006C1B6C"/>
    <w:rsid w:val="006C1D8D"/>
    <w:rsid w:val="006C1DBE"/>
    <w:rsid w:val="006C2578"/>
    <w:rsid w:val="006C2648"/>
    <w:rsid w:val="006C2828"/>
    <w:rsid w:val="006C29C1"/>
    <w:rsid w:val="006C302B"/>
    <w:rsid w:val="006C362F"/>
    <w:rsid w:val="006C368A"/>
    <w:rsid w:val="006C378D"/>
    <w:rsid w:val="006C3840"/>
    <w:rsid w:val="006C3AA5"/>
    <w:rsid w:val="006C4181"/>
    <w:rsid w:val="006C44FE"/>
    <w:rsid w:val="006C4C8A"/>
    <w:rsid w:val="006C4E5D"/>
    <w:rsid w:val="006C4E5E"/>
    <w:rsid w:val="006C50D3"/>
    <w:rsid w:val="006C55A1"/>
    <w:rsid w:val="006C5722"/>
    <w:rsid w:val="006C5879"/>
    <w:rsid w:val="006C594B"/>
    <w:rsid w:val="006C60F6"/>
    <w:rsid w:val="006C6716"/>
    <w:rsid w:val="006C6795"/>
    <w:rsid w:val="006C68A8"/>
    <w:rsid w:val="006C68B8"/>
    <w:rsid w:val="006C68D7"/>
    <w:rsid w:val="006C69D8"/>
    <w:rsid w:val="006C6AC0"/>
    <w:rsid w:val="006C6E0F"/>
    <w:rsid w:val="006C717E"/>
    <w:rsid w:val="006C7856"/>
    <w:rsid w:val="006C7B4F"/>
    <w:rsid w:val="006C7D0A"/>
    <w:rsid w:val="006D0012"/>
    <w:rsid w:val="006D0691"/>
    <w:rsid w:val="006D0986"/>
    <w:rsid w:val="006D0B28"/>
    <w:rsid w:val="006D0E09"/>
    <w:rsid w:val="006D1026"/>
    <w:rsid w:val="006D1238"/>
    <w:rsid w:val="006D15A7"/>
    <w:rsid w:val="006D1C29"/>
    <w:rsid w:val="006D1E77"/>
    <w:rsid w:val="006D20A6"/>
    <w:rsid w:val="006D2850"/>
    <w:rsid w:val="006D2A51"/>
    <w:rsid w:val="006D2CD0"/>
    <w:rsid w:val="006D2D7C"/>
    <w:rsid w:val="006D3033"/>
    <w:rsid w:val="006D3065"/>
    <w:rsid w:val="006D381B"/>
    <w:rsid w:val="006D3DDF"/>
    <w:rsid w:val="006D456C"/>
    <w:rsid w:val="006D493D"/>
    <w:rsid w:val="006D506B"/>
    <w:rsid w:val="006D52C2"/>
    <w:rsid w:val="006D5476"/>
    <w:rsid w:val="006D5538"/>
    <w:rsid w:val="006D5544"/>
    <w:rsid w:val="006D5A62"/>
    <w:rsid w:val="006D5C58"/>
    <w:rsid w:val="006D6142"/>
    <w:rsid w:val="006D62AF"/>
    <w:rsid w:val="006D630F"/>
    <w:rsid w:val="006D6771"/>
    <w:rsid w:val="006D68AE"/>
    <w:rsid w:val="006D6AE0"/>
    <w:rsid w:val="006D6B81"/>
    <w:rsid w:val="006D6E42"/>
    <w:rsid w:val="006D7C65"/>
    <w:rsid w:val="006E030A"/>
    <w:rsid w:val="006E04C4"/>
    <w:rsid w:val="006E10CD"/>
    <w:rsid w:val="006E11C2"/>
    <w:rsid w:val="006E179A"/>
    <w:rsid w:val="006E1901"/>
    <w:rsid w:val="006E1925"/>
    <w:rsid w:val="006E1A66"/>
    <w:rsid w:val="006E1DB7"/>
    <w:rsid w:val="006E1E1C"/>
    <w:rsid w:val="006E2850"/>
    <w:rsid w:val="006E2A30"/>
    <w:rsid w:val="006E2C56"/>
    <w:rsid w:val="006E2ED2"/>
    <w:rsid w:val="006E2F88"/>
    <w:rsid w:val="006E3142"/>
    <w:rsid w:val="006E332E"/>
    <w:rsid w:val="006E3A18"/>
    <w:rsid w:val="006E3A43"/>
    <w:rsid w:val="006E41FB"/>
    <w:rsid w:val="006E4C61"/>
    <w:rsid w:val="006E4DC0"/>
    <w:rsid w:val="006E5541"/>
    <w:rsid w:val="006E587B"/>
    <w:rsid w:val="006E5A71"/>
    <w:rsid w:val="006E6169"/>
    <w:rsid w:val="006E64AE"/>
    <w:rsid w:val="006E65AA"/>
    <w:rsid w:val="006E6933"/>
    <w:rsid w:val="006E6A78"/>
    <w:rsid w:val="006E6C52"/>
    <w:rsid w:val="006E6CB1"/>
    <w:rsid w:val="006E6DE7"/>
    <w:rsid w:val="006E6E33"/>
    <w:rsid w:val="006E70BF"/>
    <w:rsid w:val="006E70DA"/>
    <w:rsid w:val="006E70E8"/>
    <w:rsid w:val="006E71CC"/>
    <w:rsid w:val="006E7326"/>
    <w:rsid w:val="006E74C5"/>
    <w:rsid w:val="006E7BEB"/>
    <w:rsid w:val="006E7C9A"/>
    <w:rsid w:val="006E7D41"/>
    <w:rsid w:val="006E7D68"/>
    <w:rsid w:val="006E7FE2"/>
    <w:rsid w:val="006F05BD"/>
    <w:rsid w:val="006F0651"/>
    <w:rsid w:val="006F0AF4"/>
    <w:rsid w:val="006F0F6E"/>
    <w:rsid w:val="006F12A6"/>
    <w:rsid w:val="006F137B"/>
    <w:rsid w:val="006F1C1D"/>
    <w:rsid w:val="006F1F40"/>
    <w:rsid w:val="006F1F7C"/>
    <w:rsid w:val="006F21C9"/>
    <w:rsid w:val="006F2269"/>
    <w:rsid w:val="006F2647"/>
    <w:rsid w:val="006F26ED"/>
    <w:rsid w:val="006F2813"/>
    <w:rsid w:val="006F288E"/>
    <w:rsid w:val="006F2C9B"/>
    <w:rsid w:val="006F2E3D"/>
    <w:rsid w:val="006F2F63"/>
    <w:rsid w:val="006F30D7"/>
    <w:rsid w:val="006F3AA4"/>
    <w:rsid w:val="006F3B8A"/>
    <w:rsid w:val="006F3C62"/>
    <w:rsid w:val="006F3D3E"/>
    <w:rsid w:val="006F3D81"/>
    <w:rsid w:val="006F3EAE"/>
    <w:rsid w:val="006F40CE"/>
    <w:rsid w:val="006F41D6"/>
    <w:rsid w:val="006F4266"/>
    <w:rsid w:val="006F432F"/>
    <w:rsid w:val="006F44ED"/>
    <w:rsid w:val="006F491B"/>
    <w:rsid w:val="006F4DE9"/>
    <w:rsid w:val="006F5237"/>
    <w:rsid w:val="006F5982"/>
    <w:rsid w:val="006F5C15"/>
    <w:rsid w:val="006F5E18"/>
    <w:rsid w:val="006F614B"/>
    <w:rsid w:val="006F622F"/>
    <w:rsid w:val="006F673F"/>
    <w:rsid w:val="006F686E"/>
    <w:rsid w:val="006F6988"/>
    <w:rsid w:val="006F6B89"/>
    <w:rsid w:val="006F6C0E"/>
    <w:rsid w:val="006F6CD4"/>
    <w:rsid w:val="006F6D31"/>
    <w:rsid w:val="006F73FA"/>
    <w:rsid w:val="006F7755"/>
    <w:rsid w:val="006F7B54"/>
    <w:rsid w:val="006F7B73"/>
    <w:rsid w:val="006F7D6D"/>
    <w:rsid w:val="007000B4"/>
    <w:rsid w:val="0070029A"/>
    <w:rsid w:val="00700857"/>
    <w:rsid w:val="00700923"/>
    <w:rsid w:val="00700967"/>
    <w:rsid w:val="007009AD"/>
    <w:rsid w:val="007009B3"/>
    <w:rsid w:val="00700DA0"/>
    <w:rsid w:val="007012D0"/>
    <w:rsid w:val="00701373"/>
    <w:rsid w:val="00701436"/>
    <w:rsid w:val="007015A9"/>
    <w:rsid w:val="007016F5"/>
    <w:rsid w:val="00701BA5"/>
    <w:rsid w:val="00701D12"/>
    <w:rsid w:val="00702289"/>
    <w:rsid w:val="007023C4"/>
    <w:rsid w:val="0070254B"/>
    <w:rsid w:val="00702C89"/>
    <w:rsid w:val="0070306D"/>
    <w:rsid w:val="00703237"/>
    <w:rsid w:val="007034CE"/>
    <w:rsid w:val="00703624"/>
    <w:rsid w:val="0070378B"/>
    <w:rsid w:val="00703859"/>
    <w:rsid w:val="0070398B"/>
    <w:rsid w:val="00703B0F"/>
    <w:rsid w:val="00703CA1"/>
    <w:rsid w:val="00703D09"/>
    <w:rsid w:val="00704424"/>
    <w:rsid w:val="00704521"/>
    <w:rsid w:val="0070457A"/>
    <w:rsid w:val="00704D16"/>
    <w:rsid w:val="00704D4F"/>
    <w:rsid w:val="00705342"/>
    <w:rsid w:val="00705531"/>
    <w:rsid w:val="0070562A"/>
    <w:rsid w:val="00705670"/>
    <w:rsid w:val="007056C2"/>
    <w:rsid w:val="007058BA"/>
    <w:rsid w:val="00705A42"/>
    <w:rsid w:val="00705B16"/>
    <w:rsid w:val="00706262"/>
    <w:rsid w:val="007064BB"/>
    <w:rsid w:val="00706EA0"/>
    <w:rsid w:val="007070AC"/>
    <w:rsid w:val="00707424"/>
    <w:rsid w:val="00707620"/>
    <w:rsid w:val="00707890"/>
    <w:rsid w:val="00707893"/>
    <w:rsid w:val="00707B5D"/>
    <w:rsid w:val="00707E16"/>
    <w:rsid w:val="00707EF1"/>
    <w:rsid w:val="00707F0F"/>
    <w:rsid w:val="0071020C"/>
    <w:rsid w:val="007102E9"/>
    <w:rsid w:val="00710429"/>
    <w:rsid w:val="00711120"/>
    <w:rsid w:val="00711714"/>
    <w:rsid w:val="007118F8"/>
    <w:rsid w:val="00711DEC"/>
    <w:rsid w:val="00711F65"/>
    <w:rsid w:val="0071211B"/>
    <w:rsid w:val="00712175"/>
    <w:rsid w:val="00712624"/>
    <w:rsid w:val="00712790"/>
    <w:rsid w:val="007129A4"/>
    <w:rsid w:val="00712C04"/>
    <w:rsid w:val="0071305E"/>
    <w:rsid w:val="007135BD"/>
    <w:rsid w:val="00713AB9"/>
    <w:rsid w:val="00713EE6"/>
    <w:rsid w:val="0071429A"/>
    <w:rsid w:val="0071439C"/>
    <w:rsid w:val="0071476D"/>
    <w:rsid w:val="007147FC"/>
    <w:rsid w:val="00715329"/>
    <w:rsid w:val="00715336"/>
    <w:rsid w:val="007155E3"/>
    <w:rsid w:val="00715921"/>
    <w:rsid w:val="00715B06"/>
    <w:rsid w:val="00715B73"/>
    <w:rsid w:val="00715E83"/>
    <w:rsid w:val="007160EE"/>
    <w:rsid w:val="0071626B"/>
    <w:rsid w:val="0071694D"/>
    <w:rsid w:val="00717194"/>
    <w:rsid w:val="007171BC"/>
    <w:rsid w:val="007176CD"/>
    <w:rsid w:val="00717A65"/>
    <w:rsid w:val="00720032"/>
    <w:rsid w:val="00720240"/>
    <w:rsid w:val="00720B6C"/>
    <w:rsid w:val="00720D58"/>
    <w:rsid w:val="00720F7C"/>
    <w:rsid w:val="00721032"/>
    <w:rsid w:val="007211D7"/>
    <w:rsid w:val="00721619"/>
    <w:rsid w:val="00721953"/>
    <w:rsid w:val="00721ACD"/>
    <w:rsid w:val="00721C7A"/>
    <w:rsid w:val="00721D0F"/>
    <w:rsid w:val="007224C9"/>
    <w:rsid w:val="00722B12"/>
    <w:rsid w:val="00722B3D"/>
    <w:rsid w:val="00722B53"/>
    <w:rsid w:val="00722F5B"/>
    <w:rsid w:val="007230E3"/>
    <w:rsid w:val="00723272"/>
    <w:rsid w:val="007232EC"/>
    <w:rsid w:val="00723355"/>
    <w:rsid w:val="0072340F"/>
    <w:rsid w:val="00723559"/>
    <w:rsid w:val="007238F9"/>
    <w:rsid w:val="007239A5"/>
    <w:rsid w:val="00723C46"/>
    <w:rsid w:val="007242E3"/>
    <w:rsid w:val="00724349"/>
    <w:rsid w:val="007243F1"/>
    <w:rsid w:val="007246B7"/>
    <w:rsid w:val="00724B1C"/>
    <w:rsid w:val="0072595B"/>
    <w:rsid w:val="0072596B"/>
    <w:rsid w:val="00725E07"/>
    <w:rsid w:val="00726162"/>
    <w:rsid w:val="0072696F"/>
    <w:rsid w:val="007273CA"/>
    <w:rsid w:val="00727535"/>
    <w:rsid w:val="00727D65"/>
    <w:rsid w:val="00727F60"/>
    <w:rsid w:val="007302A5"/>
    <w:rsid w:val="00730AA6"/>
    <w:rsid w:val="00730B2D"/>
    <w:rsid w:val="00730E86"/>
    <w:rsid w:val="007312B1"/>
    <w:rsid w:val="00731B46"/>
    <w:rsid w:val="007324B9"/>
    <w:rsid w:val="00732997"/>
    <w:rsid w:val="00732A39"/>
    <w:rsid w:val="00732BBE"/>
    <w:rsid w:val="00733394"/>
    <w:rsid w:val="00733AF5"/>
    <w:rsid w:val="00733C2F"/>
    <w:rsid w:val="00733FDD"/>
    <w:rsid w:val="00734687"/>
    <w:rsid w:val="00734816"/>
    <w:rsid w:val="007348DC"/>
    <w:rsid w:val="00735068"/>
    <w:rsid w:val="007358DE"/>
    <w:rsid w:val="00735921"/>
    <w:rsid w:val="007359A9"/>
    <w:rsid w:val="00735E8E"/>
    <w:rsid w:val="00736187"/>
    <w:rsid w:val="00736928"/>
    <w:rsid w:val="00736939"/>
    <w:rsid w:val="00736B3E"/>
    <w:rsid w:val="00736BAE"/>
    <w:rsid w:val="00736CDE"/>
    <w:rsid w:val="007371B2"/>
    <w:rsid w:val="007372F0"/>
    <w:rsid w:val="00737699"/>
    <w:rsid w:val="0073772B"/>
    <w:rsid w:val="00737B6D"/>
    <w:rsid w:val="00737E19"/>
    <w:rsid w:val="00737FDA"/>
    <w:rsid w:val="007402E1"/>
    <w:rsid w:val="007406F1"/>
    <w:rsid w:val="00740FE1"/>
    <w:rsid w:val="00741367"/>
    <w:rsid w:val="0074177E"/>
    <w:rsid w:val="00741A88"/>
    <w:rsid w:val="00741E92"/>
    <w:rsid w:val="007420DA"/>
    <w:rsid w:val="007424E9"/>
    <w:rsid w:val="00742C74"/>
    <w:rsid w:val="00742EA3"/>
    <w:rsid w:val="00742EE4"/>
    <w:rsid w:val="00742EE8"/>
    <w:rsid w:val="00742F41"/>
    <w:rsid w:val="00742FD1"/>
    <w:rsid w:val="007432E2"/>
    <w:rsid w:val="00743979"/>
    <w:rsid w:val="00743AA9"/>
    <w:rsid w:val="00743CD5"/>
    <w:rsid w:val="00743D41"/>
    <w:rsid w:val="007445A1"/>
    <w:rsid w:val="0074472D"/>
    <w:rsid w:val="007449A6"/>
    <w:rsid w:val="00744C3F"/>
    <w:rsid w:val="00744DD8"/>
    <w:rsid w:val="00745147"/>
    <w:rsid w:val="007452EC"/>
    <w:rsid w:val="007452F8"/>
    <w:rsid w:val="00745371"/>
    <w:rsid w:val="00745A2C"/>
    <w:rsid w:val="00746009"/>
    <w:rsid w:val="007465B0"/>
    <w:rsid w:val="007466EE"/>
    <w:rsid w:val="00746888"/>
    <w:rsid w:val="007469AC"/>
    <w:rsid w:val="00746B61"/>
    <w:rsid w:val="00746C43"/>
    <w:rsid w:val="00746D8E"/>
    <w:rsid w:val="00746E40"/>
    <w:rsid w:val="00746E4F"/>
    <w:rsid w:val="00747783"/>
    <w:rsid w:val="00747AD0"/>
    <w:rsid w:val="00747D79"/>
    <w:rsid w:val="00750010"/>
    <w:rsid w:val="007501AC"/>
    <w:rsid w:val="00750465"/>
    <w:rsid w:val="007505ED"/>
    <w:rsid w:val="0075094B"/>
    <w:rsid w:val="00750A45"/>
    <w:rsid w:val="00750B70"/>
    <w:rsid w:val="00750E94"/>
    <w:rsid w:val="00751062"/>
    <w:rsid w:val="0075112B"/>
    <w:rsid w:val="007511C6"/>
    <w:rsid w:val="007513A8"/>
    <w:rsid w:val="0075157B"/>
    <w:rsid w:val="00751774"/>
    <w:rsid w:val="00751F6D"/>
    <w:rsid w:val="00751FF7"/>
    <w:rsid w:val="00752106"/>
    <w:rsid w:val="007522F8"/>
    <w:rsid w:val="00752A53"/>
    <w:rsid w:val="00753136"/>
    <w:rsid w:val="00753805"/>
    <w:rsid w:val="007538D9"/>
    <w:rsid w:val="00754033"/>
    <w:rsid w:val="0075425E"/>
    <w:rsid w:val="00754948"/>
    <w:rsid w:val="00754B9B"/>
    <w:rsid w:val="00754E99"/>
    <w:rsid w:val="00755B2D"/>
    <w:rsid w:val="0075613F"/>
    <w:rsid w:val="0075623E"/>
    <w:rsid w:val="00756B36"/>
    <w:rsid w:val="00756CD5"/>
    <w:rsid w:val="00757557"/>
    <w:rsid w:val="00757829"/>
    <w:rsid w:val="00757A45"/>
    <w:rsid w:val="00757AB1"/>
    <w:rsid w:val="007602FD"/>
    <w:rsid w:val="00760884"/>
    <w:rsid w:val="00760920"/>
    <w:rsid w:val="00760979"/>
    <w:rsid w:val="00760A43"/>
    <w:rsid w:val="00760D82"/>
    <w:rsid w:val="00760E48"/>
    <w:rsid w:val="00760EA8"/>
    <w:rsid w:val="00761058"/>
    <w:rsid w:val="007614F0"/>
    <w:rsid w:val="00761634"/>
    <w:rsid w:val="00761A1E"/>
    <w:rsid w:val="00761B76"/>
    <w:rsid w:val="00762185"/>
    <w:rsid w:val="00762E37"/>
    <w:rsid w:val="00763131"/>
    <w:rsid w:val="007631FC"/>
    <w:rsid w:val="0076478C"/>
    <w:rsid w:val="00764B8D"/>
    <w:rsid w:val="00764C75"/>
    <w:rsid w:val="00764EB8"/>
    <w:rsid w:val="00765345"/>
    <w:rsid w:val="007653EC"/>
    <w:rsid w:val="0076575F"/>
    <w:rsid w:val="00765CBC"/>
    <w:rsid w:val="00765E99"/>
    <w:rsid w:val="00765F75"/>
    <w:rsid w:val="0076608E"/>
    <w:rsid w:val="007663D8"/>
    <w:rsid w:val="0076665B"/>
    <w:rsid w:val="007666F1"/>
    <w:rsid w:val="007669EB"/>
    <w:rsid w:val="00766A0C"/>
    <w:rsid w:val="00766A6F"/>
    <w:rsid w:val="00766D5B"/>
    <w:rsid w:val="00766F34"/>
    <w:rsid w:val="007671E1"/>
    <w:rsid w:val="00767288"/>
    <w:rsid w:val="0076743B"/>
    <w:rsid w:val="007679CE"/>
    <w:rsid w:val="00767F2B"/>
    <w:rsid w:val="007700BF"/>
    <w:rsid w:val="007705F9"/>
    <w:rsid w:val="0077096D"/>
    <w:rsid w:val="007709D7"/>
    <w:rsid w:val="00770A12"/>
    <w:rsid w:val="00770AFC"/>
    <w:rsid w:val="00770D11"/>
    <w:rsid w:val="007715E5"/>
    <w:rsid w:val="00771CA4"/>
    <w:rsid w:val="00771FDE"/>
    <w:rsid w:val="0077243E"/>
    <w:rsid w:val="0077267D"/>
    <w:rsid w:val="00772CFA"/>
    <w:rsid w:val="00772FAB"/>
    <w:rsid w:val="00772FBF"/>
    <w:rsid w:val="007732A5"/>
    <w:rsid w:val="00773506"/>
    <w:rsid w:val="007738C1"/>
    <w:rsid w:val="00773A4B"/>
    <w:rsid w:val="00773D50"/>
    <w:rsid w:val="00774056"/>
    <w:rsid w:val="007747B6"/>
    <w:rsid w:val="007748D3"/>
    <w:rsid w:val="00774C16"/>
    <w:rsid w:val="00774D9E"/>
    <w:rsid w:val="007750BB"/>
    <w:rsid w:val="0077523B"/>
    <w:rsid w:val="00775406"/>
    <w:rsid w:val="00775D7E"/>
    <w:rsid w:val="007762A9"/>
    <w:rsid w:val="00776A85"/>
    <w:rsid w:val="00776C8C"/>
    <w:rsid w:val="00776FAD"/>
    <w:rsid w:val="00777112"/>
    <w:rsid w:val="00777439"/>
    <w:rsid w:val="00777581"/>
    <w:rsid w:val="00777950"/>
    <w:rsid w:val="00780325"/>
    <w:rsid w:val="007808C2"/>
    <w:rsid w:val="00780E1E"/>
    <w:rsid w:val="00780F12"/>
    <w:rsid w:val="00781193"/>
    <w:rsid w:val="007812C8"/>
    <w:rsid w:val="007814E8"/>
    <w:rsid w:val="007817D4"/>
    <w:rsid w:val="00781ECB"/>
    <w:rsid w:val="00781F42"/>
    <w:rsid w:val="007820DC"/>
    <w:rsid w:val="007821E3"/>
    <w:rsid w:val="00782627"/>
    <w:rsid w:val="0078263A"/>
    <w:rsid w:val="00782AE4"/>
    <w:rsid w:val="00782CE3"/>
    <w:rsid w:val="00782E8A"/>
    <w:rsid w:val="007830AE"/>
    <w:rsid w:val="007833E1"/>
    <w:rsid w:val="0078346D"/>
    <w:rsid w:val="007836EC"/>
    <w:rsid w:val="007838F8"/>
    <w:rsid w:val="0078390F"/>
    <w:rsid w:val="00783A5B"/>
    <w:rsid w:val="00783CB7"/>
    <w:rsid w:val="00783D37"/>
    <w:rsid w:val="00783E91"/>
    <w:rsid w:val="0078416F"/>
    <w:rsid w:val="00784590"/>
    <w:rsid w:val="00784988"/>
    <w:rsid w:val="00784AB9"/>
    <w:rsid w:val="00785178"/>
    <w:rsid w:val="00785394"/>
    <w:rsid w:val="007857BC"/>
    <w:rsid w:val="00785977"/>
    <w:rsid w:val="00785E83"/>
    <w:rsid w:val="007863EF"/>
    <w:rsid w:val="007866AE"/>
    <w:rsid w:val="007866D1"/>
    <w:rsid w:val="007869E5"/>
    <w:rsid w:val="00786A4C"/>
    <w:rsid w:val="00786A77"/>
    <w:rsid w:val="00786C73"/>
    <w:rsid w:val="00786F42"/>
    <w:rsid w:val="00786F5C"/>
    <w:rsid w:val="00787033"/>
    <w:rsid w:val="00787122"/>
    <w:rsid w:val="007872CF"/>
    <w:rsid w:val="00787378"/>
    <w:rsid w:val="00787B0E"/>
    <w:rsid w:val="00787D5F"/>
    <w:rsid w:val="00787F36"/>
    <w:rsid w:val="0079024F"/>
    <w:rsid w:val="007904C7"/>
    <w:rsid w:val="00790A3B"/>
    <w:rsid w:val="00790B5F"/>
    <w:rsid w:val="00790C1E"/>
    <w:rsid w:val="00790E28"/>
    <w:rsid w:val="00790E2B"/>
    <w:rsid w:val="007912D7"/>
    <w:rsid w:val="00791396"/>
    <w:rsid w:val="007913DF"/>
    <w:rsid w:val="00791678"/>
    <w:rsid w:val="00791B51"/>
    <w:rsid w:val="00791FCF"/>
    <w:rsid w:val="007920D0"/>
    <w:rsid w:val="00792100"/>
    <w:rsid w:val="007924DD"/>
    <w:rsid w:val="007924FE"/>
    <w:rsid w:val="0079292B"/>
    <w:rsid w:val="00792C13"/>
    <w:rsid w:val="00792ECD"/>
    <w:rsid w:val="007931B5"/>
    <w:rsid w:val="007935D0"/>
    <w:rsid w:val="00793827"/>
    <w:rsid w:val="00794099"/>
    <w:rsid w:val="00794356"/>
    <w:rsid w:val="007944CF"/>
    <w:rsid w:val="007944E9"/>
    <w:rsid w:val="007948F0"/>
    <w:rsid w:val="00794951"/>
    <w:rsid w:val="00794AA2"/>
    <w:rsid w:val="00794C30"/>
    <w:rsid w:val="00795336"/>
    <w:rsid w:val="007956BE"/>
    <w:rsid w:val="007956F3"/>
    <w:rsid w:val="00795ACC"/>
    <w:rsid w:val="00795B24"/>
    <w:rsid w:val="00795BA2"/>
    <w:rsid w:val="00795D45"/>
    <w:rsid w:val="00795E39"/>
    <w:rsid w:val="007961D9"/>
    <w:rsid w:val="007963FD"/>
    <w:rsid w:val="007967C9"/>
    <w:rsid w:val="00796882"/>
    <w:rsid w:val="00796884"/>
    <w:rsid w:val="007969DB"/>
    <w:rsid w:val="00796A34"/>
    <w:rsid w:val="00796A8B"/>
    <w:rsid w:val="007972BD"/>
    <w:rsid w:val="00797374"/>
    <w:rsid w:val="0079758B"/>
    <w:rsid w:val="007976AA"/>
    <w:rsid w:val="00797C5C"/>
    <w:rsid w:val="00797EB4"/>
    <w:rsid w:val="007A0396"/>
    <w:rsid w:val="007A0411"/>
    <w:rsid w:val="007A0C54"/>
    <w:rsid w:val="007A107A"/>
    <w:rsid w:val="007A1097"/>
    <w:rsid w:val="007A11D7"/>
    <w:rsid w:val="007A12EA"/>
    <w:rsid w:val="007A1335"/>
    <w:rsid w:val="007A133B"/>
    <w:rsid w:val="007A1CB1"/>
    <w:rsid w:val="007A1D0F"/>
    <w:rsid w:val="007A1D80"/>
    <w:rsid w:val="007A1DB3"/>
    <w:rsid w:val="007A1F0A"/>
    <w:rsid w:val="007A2098"/>
    <w:rsid w:val="007A2327"/>
    <w:rsid w:val="007A2488"/>
    <w:rsid w:val="007A26C1"/>
    <w:rsid w:val="007A2D5B"/>
    <w:rsid w:val="007A2E7F"/>
    <w:rsid w:val="007A32D8"/>
    <w:rsid w:val="007A3538"/>
    <w:rsid w:val="007A365F"/>
    <w:rsid w:val="007A41CE"/>
    <w:rsid w:val="007A4714"/>
    <w:rsid w:val="007A4C5B"/>
    <w:rsid w:val="007A4F7D"/>
    <w:rsid w:val="007A5234"/>
    <w:rsid w:val="007A526B"/>
    <w:rsid w:val="007A52C9"/>
    <w:rsid w:val="007A5648"/>
    <w:rsid w:val="007A5668"/>
    <w:rsid w:val="007A584F"/>
    <w:rsid w:val="007A58A3"/>
    <w:rsid w:val="007A610B"/>
    <w:rsid w:val="007A6204"/>
    <w:rsid w:val="007A6205"/>
    <w:rsid w:val="007A6ABF"/>
    <w:rsid w:val="007A7090"/>
    <w:rsid w:val="007A7240"/>
    <w:rsid w:val="007A74BB"/>
    <w:rsid w:val="007A7550"/>
    <w:rsid w:val="007A7941"/>
    <w:rsid w:val="007A7A8B"/>
    <w:rsid w:val="007A7EBE"/>
    <w:rsid w:val="007B0196"/>
    <w:rsid w:val="007B0425"/>
    <w:rsid w:val="007B0526"/>
    <w:rsid w:val="007B07F8"/>
    <w:rsid w:val="007B0AF1"/>
    <w:rsid w:val="007B109A"/>
    <w:rsid w:val="007B12C1"/>
    <w:rsid w:val="007B174A"/>
    <w:rsid w:val="007B1D76"/>
    <w:rsid w:val="007B1DA3"/>
    <w:rsid w:val="007B2254"/>
    <w:rsid w:val="007B272F"/>
    <w:rsid w:val="007B28F0"/>
    <w:rsid w:val="007B3307"/>
    <w:rsid w:val="007B3429"/>
    <w:rsid w:val="007B35D7"/>
    <w:rsid w:val="007B3707"/>
    <w:rsid w:val="007B3B11"/>
    <w:rsid w:val="007B3C01"/>
    <w:rsid w:val="007B3D3B"/>
    <w:rsid w:val="007B4476"/>
    <w:rsid w:val="007B477A"/>
    <w:rsid w:val="007B4881"/>
    <w:rsid w:val="007B4B14"/>
    <w:rsid w:val="007B4BAA"/>
    <w:rsid w:val="007B4C16"/>
    <w:rsid w:val="007B4EBA"/>
    <w:rsid w:val="007B4FE3"/>
    <w:rsid w:val="007B5531"/>
    <w:rsid w:val="007B61CD"/>
    <w:rsid w:val="007B64FF"/>
    <w:rsid w:val="007B683D"/>
    <w:rsid w:val="007B706A"/>
    <w:rsid w:val="007B710C"/>
    <w:rsid w:val="007B714E"/>
    <w:rsid w:val="007B751B"/>
    <w:rsid w:val="007B776C"/>
    <w:rsid w:val="007B7CD6"/>
    <w:rsid w:val="007B7DA4"/>
    <w:rsid w:val="007C04D2"/>
    <w:rsid w:val="007C0591"/>
    <w:rsid w:val="007C06DE"/>
    <w:rsid w:val="007C0BE8"/>
    <w:rsid w:val="007C0C64"/>
    <w:rsid w:val="007C0F27"/>
    <w:rsid w:val="007C1078"/>
    <w:rsid w:val="007C10A7"/>
    <w:rsid w:val="007C137A"/>
    <w:rsid w:val="007C16F0"/>
    <w:rsid w:val="007C17A0"/>
    <w:rsid w:val="007C1AA2"/>
    <w:rsid w:val="007C1D01"/>
    <w:rsid w:val="007C1D13"/>
    <w:rsid w:val="007C1E22"/>
    <w:rsid w:val="007C1EC0"/>
    <w:rsid w:val="007C21F1"/>
    <w:rsid w:val="007C2714"/>
    <w:rsid w:val="007C28A7"/>
    <w:rsid w:val="007C3348"/>
    <w:rsid w:val="007C3971"/>
    <w:rsid w:val="007C456F"/>
    <w:rsid w:val="007C4E52"/>
    <w:rsid w:val="007C4F19"/>
    <w:rsid w:val="007C4F4C"/>
    <w:rsid w:val="007C52D9"/>
    <w:rsid w:val="007C58C6"/>
    <w:rsid w:val="007C590F"/>
    <w:rsid w:val="007C5C0B"/>
    <w:rsid w:val="007C602E"/>
    <w:rsid w:val="007C6068"/>
    <w:rsid w:val="007C62EF"/>
    <w:rsid w:val="007C6370"/>
    <w:rsid w:val="007C640B"/>
    <w:rsid w:val="007C6421"/>
    <w:rsid w:val="007C6C1C"/>
    <w:rsid w:val="007C710D"/>
    <w:rsid w:val="007C7250"/>
    <w:rsid w:val="007D040E"/>
    <w:rsid w:val="007D0836"/>
    <w:rsid w:val="007D091D"/>
    <w:rsid w:val="007D0936"/>
    <w:rsid w:val="007D1239"/>
    <w:rsid w:val="007D142E"/>
    <w:rsid w:val="007D16B8"/>
    <w:rsid w:val="007D181C"/>
    <w:rsid w:val="007D1B86"/>
    <w:rsid w:val="007D1E15"/>
    <w:rsid w:val="007D1E28"/>
    <w:rsid w:val="007D2A4A"/>
    <w:rsid w:val="007D2C4D"/>
    <w:rsid w:val="007D2C74"/>
    <w:rsid w:val="007D2ED6"/>
    <w:rsid w:val="007D30B6"/>
    <w:rsid w:val="007D3C18"/>
    <w:rsid w:val="007D3F1E"/>
    <w:rsid w:val="007D3F8D"/>
    <w:rsid w:val="007D438D"/>
    <w:rsid w:val="007D4580"/>
    <w:rsid w:val="007D4A86"/>
    <w:rsid w:val="007D4D13"/>
    <w:rsid w:val="007D4E63"/>
    <w:rsid w:val="007D56EB"/>
    <w:rsid w:val="007D56F7"/>
    <w:rsid w:val="007D5CD6"/>
    <w:rsid w:val="007D5FF0"/>
    <w:rsid w:val="007D63EF"/>
    <w:rsid w:val="007D65E7"/>
    <w:rsid w:val="007D6625"/>
    <w:rsid w:val="007D6F2A"/>
    <w:rsid w:val="007D70C6"/>
    <w:rsid w:val="007D711B"/>
    <w:rsid w:val="007D7194"/>
    <w:rsid w:val="007D73D0"/>
    <w:rsid w:val="007D75F2"/>
    <w:rsid w:val="007D763D"/>
    <w:rsid w:val="007D7F1E"/>
    <w:rsid w:val="007E0637"/>
    <w:rsid w:val="007E0751"/>
    <w:rsid w:val="007E0AE0"/>
    <w:rsid w:val="007E0C75"/>
    <w:rsid w:val="007E152F"/>
    <w:rsid w:val="007E17CE"/>
    <w:rsid w:val="007E1889"/>
    <w:rsid w:val="007E1BD3"/>
    <w:rsid w:val="007E1FCF"/>
    <w:rsid w:val="007E2004"/>
    <w:rsid w:val="007E222F"/>
    <w:rsid w:val="007E2444"/>
    <w:rsid w:val="007E27EA"/>
    <w:rsid w:val="007E28CB"/>
    <w:rsid w:val="007E2EC0"/>
    <w:rsid w:val="007E2FC7"/>
    <w:rsid w:val="007E2FD5"/>
    <w:rsid w:val="007E31A4"/>
    <w:rsid w:val="007E3572"/>
    <w:rsid w:val="007E36C1"/>
    <w:rsid w:val="007E36DF"/>
    <w:rsid w:val="007E3CFE"/>
    <w:rsid w:val="007E3E23"/>
    <w:rsid w:val="007E3FB6"/>
    <w:rsid w:val="007E4432"/>
    <w:rsid w:val="007E49DC"/>
    <w:rsid w:val="007E4BE6"/>
    <w:rsid w:val="007E4BF2"/>
    <w:rsid w:val="007E4BFA"/>
    <w:rsid w:val="007E4CF6"/>
    <w:rsid w:val="007E4E6B"/>
    <w:rsid w:val="007E4FDA"/>
    <w:rsid w:val="007E5501"/>
    <w:rsid w:val="007E5806"/>
    <w:rsid w:val="007E58A0"/>
    <w:rsid w:val="007E5967"/>
    <w:rsid w:val="007E60EE"/>
    <w:rsid w:val="007E627A"/>
    <w:rsid w:val="007E64C6"/>
    <w:rsid w:val="007E6B1B"/>
    <w:rsid w:val="007E6E46"/>
    <w:rsid w:val="007E7217"/>
    <w:rsid w:val="007E761A"/>
    <w:rsid w:val="007F0005"/>
    <w:rsid w:val="007F055E"/>
    <w:rsid w:val="007F059B"/>
    <w:rsid w:val="007F0930"/>
    <w:rsid w:val="007F0E57"/>
    <w:rsid w:val="007F0EC5"/>
    <w:rsid w:val="007F128A"/>
    <w:rsid w:val="007F142C"/>
    <w:rsid w:val="007F1771"/>
    <w:rsid w:val="007F18C1"/>
    <w:rsid w:val="007F21D7"/>
    <w:rsid w:val="007F22BC"/>
    <w:rsid w:val="007F2547"/>
    <w:rsid w:val="007F258B"/>
    <w:rsid w:val="007F265F"/>
    <w:rsid w:val="007F2817"/>
    <w:rsid w:val="007F28A3"/>
    <w:rsid w:val="007F2AD1"/>
    <w:rsid w:val="007F2BC3"/>
    <w:rsid w:val="007F2BE4"/>
    <w:rsid w:val="007F2D1D"/>
    <w:rsid w:val="007F346E"/>
    <w:rsid w:val="007F39CA"/>
    <w:rsid w:val="007F3A35"/>
    <w:rsid w:val="007F3E4F"/>
    <w:rsid w:val="007F3E7D"/>
    <w:rsid w:val="007F4250"/>
    <w:rsid w:val="007F45C2"/>
    <w:rsid w:val="007F4940"/>
    <w:rsid w:val="007F4AD0"/>
    <w:rsid w:val="007F4D63"/>
    <w:rsid w:val="007F4FF4"/>
    <w:rsid w:val="007F52C7"/>
    <w:rsid w:val="007F5803"/>
    <w:rsid w:val="007F5966"/>
    <w:rsid w:val="007F5D74"/>
    <w:rsid w:val="007F6116"/>
    <w:rsid w:val="007F646D"/>
    <w:rsid w:val="007F67A1"/>
    <w:rsid w:val="007F6DB3"/>
    <w:rsid w:val="007F7274"/>
    <w:rsid w:val="007F734C"/>
    <w:rsid w:val="007F73B3"/>
    <w:rsid w:val="007F77E2"/>
    <w:rsid w:val="007F787C"/>
    <w:rsid w:val="007F7AD9"/>
    <w:rsid w:val="007F7BC9"/>
    <w:rsid w:val="008003F1"/>
    <w:rsid w:val="00800609"/>
    <w:rsid w:val="008006C1"/>
    <w:rsid w:val="008013B4"/>
    <w:rsid w:val="008013E9"/>
    <w:rsid w:val="008019F6"/>
    <w:rsid w:val="00801D2D"/>
    <w:rsid w:val="00801DC4"/>
    <w:rsid w:val="00801FD5"/>
    <w:rsid w:val="008021E9"/>
    <w:rsid w:val="0080238A"/>
    <w:rsid w:val="0080290F"/>
    <w:rsid w:val="00802ED5"/>
    <w:rsid w:val="00802F60"/>
    <w:rsid w:val="00803212"/>
    <w:rsid w:val="0080331D"/>
    <w:rsid w:val="00803614"/>
    <w:rsid w:val="008038A0"/>
    <w:rsid w:val="008039EC"/>
    <w:rsid w:val="00803C67"/>
    <w:rsid w:val="00803D8F"/>
    <w:rsid w:val="00804103"/>
    <w:rsid w:val="008043AB"/>
    <w:rsid w:val="0080444E"/>
    <w:rsid w:val="008046D0"/>
    <w:rsid w:val="008049F0"/>
    <w:rsid w:val="00804E43"/>
    <w:rsid w:val="008050BE"/>
    <w:rsid w:val="008055C1"/>
    <w:rsid w:val="008057D1"/>
    <w:rsid w:val="00805B55"/>
    <w:rsid w:val="00805D70"/>
    <w:rsid w:val="00805F2F"/>
    <w:rsid w:val="00805FAE"/>
    <w:rsid w:val="008061E5"/>
    <w:rsid w:val="0080651C"/>
    <w:rsid w:val="00806644"/>
    <w:rsid w:val="0080688A"/>
    <w:rsid w:val="00806928"/>
    <w:rsid w:val="00806EFD"/>
    <w:rsid w:val="00806FAF"/>
    <w:rsid w:val="00807026"/>
    <w:rsid w:val="00807570"/>
    <w:rsid w:val="00807C43"/>
    <w:rsid w:val="00807F2B"/>
    <w:rsid w:val="00810059"/>
    <w:rsid w:val="00810242"/>
    <w:rsid w:val="008103B3"/>
    <w:rsid w:val="00810515"/>
    <w:rsid w:val="00810727"/>
    <w:rsid w:val="00810C95"/>
    <w:rsid w:val="00810C9A"/>
    <w:rsid w:val="00810FD4"/>
    <w:rsid w:val="00811109"/>
    <w:rsid w:val="008111D6"/>
    <w:rsid w:val="0081140B"/>
    <w:rsid w:val="008114D8"/>
    <w:rsid w:val="0081165D"/>
    <w:rsid w:val="00811932"/>
    <w:rsid w:val="0081203B"/>
    <w:rsid w:val="00812908"/>
    <w:rsid w:val="00812FA5"/>
    <w:rsid w:val="008130D5"/>
    <w:rsid w:val="008133B1"/>
    <w:rsid w:val="008137B1"/>
    <w:rsid w:val="00813D9C"/>
    <w:rsid w:val="008144DC"/>
    <w:rsid w:val="00814ADD"/>
    <w:rsid w:val="00814C27"/>
    <w:rsid w:val="00814DCC"/>
    <w:rsid w:val="00815069"/>
    <w:rsid w:val="008155C1"/>
    <w:rsid w:val="00815685"/>
    <w:rsid w:val="00815749"/>
    <w:rsid w:val="00815890"/>
    <w:rsid w:val="00815FF6"/>
    <w:rsid w:val="00816070"/>
    <w:rsid w:val="00816088"/>
    <w:rsid w:val="0081619F"/>
    <w:rsid w:val="0081625E"/>
    <w:rsid w:val="0081636F"/>
    <w:rsid w:val="00816D9C"/>
    <w:rsid w:val="00816F74"/>
    <w:rsid w:val="0081703C"/>
    <w:rsid w:val="00817281"/>
    <w:rsid w:val="008172C0"/>
    <w:rsid w:val="008173AD"/>
    <w:rsid w:val="00817C37"/>
    <w:rsid w:val="00817CF3"/>
    <w:rsid w:val="0082007D"/>
    <w:rsid w:val="00820153"/>
    <w:rsid w:val="008203A6"/>
    <w:rsid w:val="0082047F"/>
    <w:rsid w:val="008207C2"/>
    <w:rsid w:val="00820DC8"/>
    <w:rsid w:val="008210F4"/>
    <w:rsid w:val="00821200"/>
    <w:rsid w:val="00821330"/>
    <w:rsid w:val="0082183C"/>
    <w:rsid w:val="00821B54"/>
    <w:rsid w:val="008223FE"/>
    <w:rsid w:val="008224EF"/>
    <w:rsid w:val="00822939"/>
    <w:rsid w:val="008230F5"/>
    <w:rsid w:val="00823579"/>
    <w:rsid w:val="00823688"/>
    <w:rsid w:val="008238C1"/>
    <w:rsid w:val="00823953"/>
    <w:rsid w:val="00823B43"/>
    <w:rsid w:val="00823D3F"/>
    <w:rsid w:val="008247AC"/>
    <w:rsid w:val="00824A27"/>
    <w:rsid w:val="00825058"/>
    <w:rsid w:val="00825798"/>
    <w:rsid w:val="008258FB"/>
    <w:rsid w:val="00826086"/>
    <w:rsid w:val="008263B1"/>
    <w:rsid w:val="0082646A"/>
    <w:rsid w:val="00826566"/>
    <w:rsid w:val="008265A6"/>
    <w:rsid w:val="0082661F"/>
    <w:rsid w:val="00826661"/>
    <w:rsid w:val="008269E0"/>
    <w:rsid w:val="00826B25"/>
    <w:rsid w:val="00827072"/>
    <w:rsid w:val="00827179"/>
    <w:rsid w:val="00827255"/>
    <w:rsid w:val="0082748F"/>
    <w:rsid w:val="008274F9"/>
    <w:rsid w:val="008277CD"/>
    <w:rsid w:val="0082794C"/>
    <w:rsid w:val="00827B17"/>
    <w:rsid w:val="00827BD9"/>
    <w:rsid w:val="00827C1B"/>
    <w:rsid w:val="00830283"/>
    <w:rsid w:val="0083076A"/>
    <w:rsid w:val="008309F6"/>
    <w:rsid w:val="00830B38"/>
    <w:rsid w:val="00830D38"/>
    <w:rsid w:val="00830D97"/>
    <w:rsid w:val="00831101"/>
    <w:rsid w:val="008312B1"/>
    <w:rsid w:val="008314C9"/>
    <w:rsid w:val="008316D8"/>
    <w:rsid w:val="0083186E"/>
    <w:rsid w:val="008319B7"/>
    <w:rsid w:val="008319EC"/>
    <w:rsid w:val="00831BB7"/>
    <w:rsid w:val="00832204"/>
    <w:rsid w:val="00832B67"/>
    <w:rsid w:val="008336DD"/>
    <w:rsid w:val="008337B3"/>
    <w:rsid w:val="00833B1A"/>
    <w:rsid w:val="00833CF0"/>
    <w:rsid w:val="00833FBB"/>
    <w:rsid w:val="00833FD5"/>
    <w:rsid w:val="008341B9"/>
    <w:rsid w:val="00834217"/>
    <w:rsid w:val="008344C6"/>
    <w:rsid w:val="00834852"/>
    <w:rsid w:val="0083492D"/>
    <w:rsid w:val="00834B0D"/>
    <w:rsid w:val="00834B65"/>
    <w:rsid w:val="00834C84"/>
    <w:rsid w:val="00834D89"/>
    <w:rsid w:val="008352A2"/>
    <w:rsid w:val="00835840"/>
    <w:rsid w:val="0083606D"/>
    <w:rsid w:val="008361E0"/>
    <w:rsid w:val="0083634F"/>
    <w:rsid w:val="00836BA6"/>
    <w:rsid w:val="00836C72"/>
    <w:rsid w:val="00836CFC"/>
    <w:rsid w:val="00836E72"/>
    <w:rsid w:val="008376B4"/>
    <w:rsid w:val="00837845"/>
    <w:rsid w:val="008402D2"/>
    <w:rsid w:val="00840A39"/>
    <w:rsid w:val="00840AC4"/>
    <w:rsid w:val="00840ACA"/>
    <w:rsid w:val="00840DC3"/>
    <w:rsid w:val="00840F38"/>
    <w:rsid w:val="00841202"/>
    <w:rsid w:val="008415AB"/>
    <w:rsid w:val="008416A5"/>
    <w:rsid w:val="008416F1"/>
    <w:rsid w:val="00841869"/>
    <w:rsid w:val="008419A5"/>
    <w:rsid w:val="00841C51"/>
    <w:rsid w:val="00841D07"/>
    <w:rsid w:val="00841DD2"/>
    <w:rsid w:val="00841ED7"/>
    <w:rsid w:val="008424F6"/>
    <w:rsid w:val="00842673"/>
    <w:rsid w:val="00842832"/>
    <w:rsid w:val="008428C3"/>
    <w:rsid w:val="00842A26"/>
    <w:rsid w:val="00842E4F"/>
    <w:rsid w:val="008436DF"/>
    <w:rsid w:val="00843B8A"/>
    <w:rsid w:val="00843CA7"/>
    <w:rsid w:val="00843CF6"/>
    <w:rsid w:val="00843D3D"/>
    <w:rsid w:val="00844030"/>
    <w:rsid w:val="0084424F"/>
    <w:rsid w:val="008443E6"/>
    <w:rsid w:val="0084454F"/>
    <w:rsid w:val="008449D2"/>
    <w:rsid w:val="00844B8E"/>
    <w:rsid w:val="00844BAE"/>
    <w:rsid w:val="00845129"/>
    <w:rsid w:val="008451A0"/>
    <w:rsid w:val="008453B8"/>
    <w:rsid w:val="00845510"/>
    <w:rsid w:val="00845895"/>
    <w:rsid w:val="008458BD"/>
    <w:rsid w:val="00845FF7"/>
    <w:rsid w:val="008463D9"/>
    <w:rsid w:val="00846420"/>
    <w:rsid w:val="008465D0"/>
    <w:rsid w:val="00846F55"/>
    <w:rsid w:val="00847064"/>
    <w:rsid w:val="008474B5"/>
    <w:rsid w:val="00847FDE"/>
    <w:rsid w:val="00850142"/>
    <w:rsid w:val="008501FE"/>
    <w:rsid w:val="0085029E"/>
    <w:rsid w:val="00850609"/>
    <w:rsid w:val="00850A70"/>
    <w:rsid w:val="00850BCF"/>
    <w:rsid w:val="00850E71"/>
    <w:rsid w:val="0085114B"/>
    <w:rsid w:val="008511FC"/>
    <w:rsid w:val="0085128C"/>
    <w:rsid w:val="00851571"/>
    <w:rsid w:val="008516AD"/>
    <w:rsid w:val="0085174E"/>
    <w:rsid w:val="00851A57"/>
    <w:rsid w:val="00851BEE"/>
    <w:rsid w:val="00851CE5"/>
    <w:rsid w:val="00851E3E"/>
    <w:rsid w:val="00851F85"/>
    <w:rsid w:val="00852256"/>
    <w:rsid w:val="008524DE"/>
    <w:rsid w:val="008529C7"/>
    <w:rsid w:val="00852AD7"/>
    <w:rsid w:val="00853026"/>
    <w:rsid w:val="008533A0"/>
    <w:rsid w:val="008537A4"/>
    <w:rsid w:val="00853904"/>
    <w:rsid w:val="00853CCD"/>
    <w:rsid w:val="00853E06"/>
    <w:rsid w:val="00853FDA"/>
    <w:rsid w:val="008545AE"/>
    <w:rsid w:val="0085465A"/>
    <w:rsid w:val="008547CD"/>
    <w:rsid w:val="00854AC5"/>
    <w:rsid w:val="00854AD6"/>
    <w:rsid w:val="00854D51"/>
    <w:rsid w:val="00854F99"/>
    <w:rsid w:val="0085513F"/>
    <w:rsid w:val="00855202"/>
    <w:rsid w:val="00855350"/>
    <w:rsid w:val="0085573B"/>
    <w:rsid w:val="008557D1"/>
    <w:rsid w:val="00855B98"/>
    <w:rsid w:val="00855D8F"/>
    <w:rsid w:val="00855FAA"/>
    <w:rsid w:val="00855FCE"/>
    <w:rsid w:val="0085628C"/>
    <w:rsid w:val="008564FD"/>
    <w:rsid w:val="00856573"/>
    <w:rsid w:val="00856649"/>
    <w:rsid w:val="00856AB6"/>
    <w:rsid w:val="00856CE2"/>
    <w:rsid w:val="00860421"/>
    <w:rsid w:val="00860601"/>
    <w:rsid w:val="00860765"/>
    <w:rsid w:val="00860B2D"/>
    <w:rsid w:val="008618F2"/>
    <w:rsid w:val="00861E93"/>
    <w:rsid w:val="00862004"/>
    <w:rsid w:val="00862047"/>
    <w:rsid w:val="008621BD"/>
    <w:rsid w:val="0086224B"/>
    <w:rsid w:val="00862335"/>
    <w:rsid w:val="00862B5B"/>
    <w:rsid w:val="00862C81"/>
    <w:rsid w:val="00862EE5"/>
    <w:rsid w:val="0086365E"/>
    <w:rsid w:val="00863675"/>
    <w:rsid w:val="008636EB"/>
    <w:rsid w:val="00863D38"/>
    <w:rsid w:val="00863EEC"/>
    <w:rsid w:val="00863F20"/>
    <w:rsid w:val="0086425C"/>
    <w:rsid w:val="00864338"/>
    <w:rsid w:val="0086440D"/>
    <w:rsid w:val="0086450D"/>
    <w:rsid w:val="008645D9"/>
    <w:rsid w:val="00864BE2"/>
    <w:rsid w:val="00864F43"/>
    <w:rsid w:val="00864F9A"/>
    <w:rsid w:val="00865216"/>
    <w:rsid w:val="008652A4"/>
    <w:rsid w:val="008653A0"/>
    <w:rsid w:val="0086541F"/>
    <w:rsid w:val="008658EE"/>
    <w:rsid w:val="00865942"/>
    <w:rsid w:val="008659F9"/>
    <w:rsid w:val="00865BB3"/>
    <w:rsid w:val="00865E4C"/>
    <w:rsid w:val="008660B0"/>
    <w:rsid w:val="00866405"/>
    <w:rsid w:val="008665A1"/>
    <w:rsid w:val="008665DE"/>
    <w:rsid w:val="008666DF"/>
    <w:rsid w:val="008671B7"/>
    <w:rsid w:val="0086741F"/>
    <w:rsid w:val="0086747C"/>
    <w:rsid w:val="0086751B"/>
    <w:rsid w:val="0086751C"/>
    <w:rsid w:val="008676F4"/>
    <w:rsid w:val="008676F9"/>
    <w:rsid w:val="00867C94"/>
    <w:rsid w:val="00867D62"/>
    <w:rsid w:val="00867F4D"/>
    <w:rsid w:val="008700C0"/>
    <w:rsid w:val="00870265"/>
    <w:rsid w:val="00870331"/>
    <w:rsid w:val="0087049B"/>
    <w:rsid w:val="00870799"/>
    <w:rsid w:val="0087088B"/>
    <w:rsid w:val="008712AB"/>
    <w:rsid w:val="00871874"/>
    <w:rsid w:val="00871948"/>
    <w:rsid w:val="00871A4D"/>
    <w:rsid w:val="00871D96"/>
    <w:rsid w:val="00871EF9"/>
    <w:rsid w:val="00872216"/>
    <w:rsid w:val="008722FD"/>
    <w:rsid w:val="0087247D"/>
    <w:rsid w:val="00872BED"/>
    <w:rsid w:val="00873ABA"/>
    <w:rsid w:val="00873B26"/>
    <w:rsid w:val="0087405B"/>
    <w:rsid w:val="00874196"/>
    <w:rsid w:val="008743B9"/>
    <w:rsid w:val="00874694"/>
    <w:rsid w:val="008748BC"/>
    <w:rsid w:val="00874AA8"/>
    <w:rsid w:val="00874B0C"/>
    <w:rsid w:val="00874C02"/>
    <w:rsid w:val="00874CB7"/>
    <w:rsid w:val="00874DFC"/>
    <w:rsid w:val="008751D0"/>
    <w:rsid w:val="00875763"/>
    <w:rsid w:val="00875950"/>
    <w:rsid w:val="00875A0B"/>
    <w:rsid w:val="00875C83"/>
    <w:rsid w:val="00875C9A"/>
    <w:rsid w:val="00875FDD"/>
    <w:rsid w:val="0087616B"/>
    <w:rsid w:val="00876215"/>
    <w:rsid w:val="008767C2"/>
    <w:rsid w:val="00876826"/>
    <w:rsid w:val="00876C14"/>
    <w:rsid w:val="00876C50"/>
    <w:rsid w:val="00876CCF"/>
    <w:rsid w:val="00876E56"/>
    <w:rsid w:val="00876F89"/>
    <w:rsid w:val="00876FFE"/>
    <w:rsid w:val="00877839"/>
    <w:rsid w:val="0087793B"/>
    <w:rsid w:val="00877A7C"/>
    <w:rsid w:val="00877EAC"/>
    <w:rsid w:val="00880519"/>
    <w:rsid w:val="0088067F"/>
    <w:rsid w:val="008809D0"/>
    <w:rsid w:val="00880D4A"/>
    <w:rsid w:val="00880EAF"/>
    <w:rsid w:val="0088101E"/>
    <w:rsid w:val="0088199A"/>
    <w:rsid w:val="00881C48"/>
    <w:rsid w:val="0088277C"/>
    <w:rsid w:val="00882AA1"/>
    <w:rsid w:val="00882D51"/>
    <w:rsid w:val="00882DEE"/>
    <w:rsid w:val="00883037"/>
    <w:rsid w:val="00883671"/>
    <w:rsid w:val="00883FF0"/>
    <w:rsid w:val="0088420B"/>
    <w:rsid w:val="0088437B"/>
    <w:rsid w:val="0088446E"/>
    <w:rsid w:val="00884BA1"/>
    <w:rsid w:val="00886566"/>
    <w:rsid w:val="008866F2"/>
    <w:rsid w:val="00886AD4"/>
    <w:rsid w:val="00886AF6"/>
    <w:rsid w:val="00886BA0"/>
    <w:rsid w:val="00886DC9"/>
    <w:rsid w:val="00886E23"/>
    <w:rsid w:val="00886F43"/>
    <w:rsid w:val="00887397"/>
    <w:rsid w:val="00887718"/>
    <w:rsid w:val="00887C16"/>
    <w:rsid w:val="00887DBF"/>
    <w:rsid w:val="008903A3"/>
    <w:rsid w:val="008903B9"/>
    <w:rsid w:val="0089050D"/>
    <w:rsid w:val="00890A8E"/>
    <w:rsid w:val="00890CE8"/>
    <w:rsid w:val="00891AA2"/>
    <w:rsid w:val="00891E7C"/>
    <w:rsid w:val="00892AE4"/>
    <w:rsid w:val="00892BC2"/>
    <w:rsid w:val="00892BC9"/>
    <w:rsid w:val="00892D6E"/>
    <w:rsid w:val="00892F04"/>
    <w:rsid w:val="00892F12"/>
    <w:rsid w:val="00892F52"/>
    <w:rsid w:val="00893480"/>
    <w:rsid w:val="00893564"/>
    <w:rsid w:val="00893967"/>
    <w:rsid w:val="00893B43"/>
    <w:rsid w:val="0089411F"/>
    <w:rsid w:val="008941E9"/>
    <w:rsid w:val="008946AD"/>
    <w:rsid w:val="008946B8"/>
    <w:rsid w:val="00894888"/>
    <w:rsid w:val="00894C65"/>
    <w:rsid w:val="00894D38"/>
    <w:rsid w:val="00894D68"/>
    <w:rsid w:val="00894F99"/>
    <w:rsid w:val="0089563C"/>
    <w:rsid w:val="00895893"/>
    <w:rsid w:val="00895D7A"/>
    <w:rsid w:val="00895FC7"/>
    <w:rsid w:val="00896079"/>
    <w:rsid w:val="0089616A"/>
    <w:rsid w:val="008961A6"/>
    <w:rsid w:val="008964E3"/>
    <w:rsid w:val="00896518"/>
    <w:rsid w:val="00896783"/>
    <w:rsid w:val="0089690F"/>
    <w:rsid w:val="00896E66"/>
    <w:rsid w:val="00897119"/>
    <w:rsid w:val="00897374"/>
    <w:rsid w:val="00897672"/>
    <w:rsid w:val="00897A36"/>
    <w:rsid w:val="00897B7E"/>
    <w:rsid w:val="008A03E3"/>
    <w:rsid w:val="008A08A5"/>
    <w:rsid w:val="008A10B8"/>
    <w:rsid w:val="008A10FB"/>
    <w:rsid w:val="008A1188"/>
    <w:rsid w:val="008A1C4A"/>
    <w:rsid w:val="008A1D82"/>
    <w:rsid w:val="008A1ED4"/>
    <w:rsid w:val="008A1FF4"/>
    <w:rsid w:val="008A2552"/>
    <w:rsid w:val="008A2773"/>
    <w:rsid w:val="008A3217"/>
    <w:rsid w:val="008A3673"/>
    <w:rsid w:val="008A3AD8"/>
    <w:rsid w:val="008A402D"/>
    <w:rsid w:val="008A4174"/>
    <w:rsid w:val="008A4297"/>
    <w:rsid w:val="008A43E1"/>
    <w:rsid w:val="008A4753"/>
    <w:rsid w:val="008A487E"/>
    <w:rsid w:val="008A4EEC"/>
    <w:rsid w:val="008A5256"/>
    <w:rsid w:val="008A53C2"/>
    <w:rsid w:val="008A543D"/>
    <w:rsid w:val="008A55EC"/>
    <w:rsid w:val="008A5862"/>
    <w:rsid w:val="008A591A"/>
    <w:rsid w:val="008A5D63"/>
    <w:rsid w:val="008A63C3"/>
    <w:rsid w:val="008A63E8"/>
    <w:rsid w:val="008A6460"/>
    <w:rsid w:val="008A6804"/>
    <w:rsid w:val="008A69AF"/>
    <w:rsid w:val="008A69DB"/>
    <w:rsid w:val="008A6AE1"/>
    <w:rsid w:val="008A6BF1"/>
    <w:rsid w:val="008A744F"/>
    <w:rsid w:val="008A7475"/>
    <w:rsid w:val="008A7512"/>
    <w:rsid w:val="008A765B"/>
    <w:rsid w:val="008A7859"/>
    <w:rsid w:val="008A7AC3"/>
    <w:rsid w:val="008A7C1C"/>
    <w:rsid w:val="008A7F4F"/>
    <w:rsid w:val="008B02BB"/>
    <w:rsid w:val="008B0763"/>
    <w:rsid w:val="008B09D1"/>
    <w:rsid w:val="008B0AE1"/>
    <w:rsid w:val="008B0B2D"/>
    <w:rsid w:val="008B0BAD"/>
    <w:rsid w:val="008B0C17"/>
    <w:rsid w:val="008B0F40"/>
    <w:rsid w:val="008B130B"/>
    <w:rsid w:val="008B1427"/>
    <w:rsid w:val="008B17EA"/>
    <w:rsid w:val="008B19E4"/>
    <w:rsid w:val="008B1B7D"/>
    <w:rsid w:val="008B1BE5"/>
    <w:rsid w:val="008B1D58"/>
    <w:rsid w:val="008B1D70"/>
    <w:rsid w:val="008B1DE5"/>
    <w:rsid w:val="008B20B9"/>
    <w:rsid w:val="008B22C0"/>
    <w:rsid w:val="008B2593"/>
    <w:rsid w:val="008B28C0"/>
    <w:rsid w:val="008B2960"/>
    <w:rsid w:val="008B3617"/>
    <w:rsid w:val="008B376E"/>
    <w:rsid w:val="008B39BB"/>
    <w:rsid w:val="008B3A25"/>
    <w:rsid w:val="008B3C8B"/>
    <w:rsid w:val="008B408B"/>
    <w:rsid w:val="008B4686"/>
    <w:rsid w:val="008B4810"/>
    <w:rsid w:val="008B4B54"/>
    <w:rsid w:val="008B4CE1"/>
    <w:rsid w:val="008B4DF6"/>
    <w:rsid w:val="008B4F2C"/>
    <w:rsid w:val="008B5187"/>
    <w:rsid w:val="008B535B"/>
    <w:rsid w:val="008B5CB0"/>
    <w:rsid w:val="008B6281"/>
    <w:rsid w:val="008B63BF"/>
    <w:rsid w:val="008B6563"/>
    <w:rsid w:val="008B6650"/>
    <w:rsid w:val="008B6CDB"/>
    <w:rsid w:val="008B6DBD"/>
    <w:rsid w:val="008B6DDA"/>
    <w:rsid w:val="008B70EE"/>
    <w:rsid w:val="008B72F9"/>
    <w:rsid w:val="008B74A2"/>
    <w:rsid w:val="008B74C0"/>
    <w:rsid w:val="008B777F"/>
    <w:rsid w:val="008B78B7"/>
    <w:rsid w:val="008B7A5D"/>
    <w:rsid w:val="008B7CF0"/>
    <w:rsid w:val="008C01BF"/>
    <w:rsid w:val="008C039A"/>
    <w:rsid w:val="008C088B"/>
    <w:rsid w:val="008C0920"/>
    <w:rsid w:val="008C0AC2"/>
    <w:rsid w:val="008C0B1A"/>
    <w:rsid w:val="008C0B4A"/>
    <w:rsid w:val="008C10CE"/>
    <w:rsid w:val="008C1551"/>
    <w:rsid w:val="008C1A40"/>
    <w:rsid w:val="008C1ABD"/>
    <w:rsid w:val="008C1AD0"/>
    <w:rsid w:val="008C1C9A"/>
    <w:rsid w:val="008C1D39"/>
    <w:rsid w:val="008C1F1E"/>
    <w:rsid w:val="008C2475"/>
    <w:rsid w:val="008C24AE"/>
    <w:rsid w:val="008C2704"/>
    <w:rsid w:val="008C276D"/>
    <w:rsid w:val="008C2842"/>
    <w:rsid w:val="008C2B5B"/>
    <w:rsid w:val="008C334A"/>
    <w:rsid w:val="008C376D"/>
    <w:rsid w:val="008C3A0C"/>
    <w:rsid w:val="008C47D9"/>
    <w:rsid w:val="008C4B8A"/>
    <w:rsid w:val="008C4C32"/>
    <w:rsid w:val="008C4C9A"/>
    <w:rsid w:val="008C4CA8"/>
    <w:rsid w:val="008C4CE8"/>
    <w:rsid w:val="008C4E67"/>
    <w:rsid w:val="008C4ED3"/>
    <w:rsid w:val="008C4F38"/>
    <w:rsid w:val="008C5AC5"/>
    <w:rsid w:val="008C5D09"/>
    <w:rsid w:val="008C5DA9"/>
    <w:rsid w:val="008C5F4C"/>
    <w:rsid w:val="008C61F0"/>
    <w:rsid w:val="008C6257"/>
    <w:rsid w:val="008C6332"/>
    <w:rsid w:val="008C63C7"/>
    <w:rsid w:val="008C63CB"/>
    <w:rsid w:val="008C6D92"/>
    <w:rsid w:val="008C703A"/>
    <w:rsid w:val="008C72B2"/>
    <w:rsid w:val="008C72E0"/>
    <w:rsid w:val="008C731A"/>
    <w:rsid w:val="008C736B"/>
    <w:rsid w:val="008C7A20"/>
    <w:rsid w:val="008C7B56"/>
    <w:rsid w:val="008C7D07"/>
    <w:rsid w:val="008C7D40"/>
    <w:rsid w:val="008C7E5A"/>
    <w:rsid w:val="008D0308"/>
    <w:rsid w:val="008D03C9"/>
    <w:rsid w:val="008D06F1"/>
    <w:rsid w:val="008D0778"/>
    <w:rsid w:val="008D0946"/>
    <w:rsid w:val="008D0F25"/>
    <w:rsid w:val="008D0FA0"/>
    <w:rsid w:val="008D1293"/>
    <w:rsid w:val="008D142D"/>
    <w:rsid w:val="008D14C6"/>
    <w:rsid w:val="008D1D7F"/>
    <w:rsid w:val="008D2279"/>
    <w:rsid w:val="008D26FF"/>
    <w:rsid w:val="008D2979"/>
    <w:rsid w:val="008D297B"/>
    <w:rsid w:val="008D2BDC"/>
    <w:rsid w:val="008D2D54"/>
    <w:rsid w:val="008D30E7"/>
    <w:rsid w:val="008D3BCC"/>
    <w:rsid w:val="008D3C94"/>
    <w:rsid w:val="008D417B"/>
    <w:rsid w:val="008D4239"/>
    <w:rsid w:val="008D4527"/>
    <w:rsid w:val="008D463B"/>
    <w:rsid w:val="008D4B11"/>
    <w:rsid w:val="008D4E35"/>
    <w:rsid w:val="008D523B"/>
    <w:rsid w:val="008D5400"/>
    <w:rsid w:val="008D5E6F"/>
    <w:rsid w:val="008D603B"/>
    <w:rsid w:val="008D64B3"/>
    <w:rsid w:val="008D654E"/>
    <w:rsid w:val="008D6607"/>
    <w:rsid w:val="008D6627"/>
    <w:rsid w:val="008D6829"/>
    <w:rsid w:val="008D68EF"/>
    <w:rsid w:val="008D7331"/>
    <w:rsid w:val="008D74E6"/>
    <w:rsid w:val="008D7620"/>
    <w:rsid w:val="008D786E"/>
    <w:rsid w:val="008D78F1"/>
    <w:rsid w:val="008D7BA8"/>
    <w:rsid w:val="008D7CFB"/>
    <w:rsid w:val="008E0087"/>
    <w:rsid w:val="008E00DF"/>
    <w:rsid w:val="008E04C2"/>
    <w:rsid w:val="008E0557"/>
    <w:rsid w:val="008E078A"/>
    <w:rsid w:val="008E09BD"/>
    <w:rsid w:val="008E0B2A"/>
    <w:rsid w:val="008E0D04"/>
    <w:rsid w:val="008E0DF5"/>
    <w:rsid w:val="008E12C7"/>
    <w:rsid w:val="008E1992"/>
    <w:rsid w:val="008E1A51"/>
    <w:rsid w:val="008E1BE5"/>
    <w:rsid w:val="008E1D07"/>
    <w:rsid w:val="008E1E58"/>
    <w:rsid w:val="008E2314"/>
    <w:rsid w:val="008E25D3"/>
    <w:rsid w:val="008E2B41"/>
    <w:rsid w:val="008E2C13"/>
    <w:rsid w:val="008E31A2"/>
    <w:rsid w:val="008E35A7"/>
    <w:rsid w:val="008E3671"/>
    <w:rsid w:val="008E375C"/>
    <w:rsid w:val="008E3905"/>
    <w:rsid w:val="008E3B0A"/>
    <w:rsid w:val="008E3DEB"/>
    <w:rsid w:val="008E3E22"/>
    <w:rsid w:val="008E3E37"/>
    <w:rsid w:val="008E4055"/>
    <w:rsid w:val="008E40CF"/>
    <w:rsid w:val="008E4460"/>
    <w:rsid w:val="008E456B"/>
    <w:rsid w:val="008E4956"/>
    <w:rsid w:val="008E4A12"/>
    <w:rsid w:val="008E59ED"/>
    <w:rsid w:val="008E5ACD"/>
    <w:rsid w:val="008E5D56"/>
    <w:rsid w:val="008E6279"/>
    <w:rsid w:val="008E6734"/>
    <w:rsid w:val="008E67DA"/>
    <w:rsid w:val="008E6AA3"/>
    <w:rsid w:val="008E6EDF"/>
    <w:rsid w:val="008E7103"/>
    <w:rsid w:val="008E71A9"/>
    <w:rsid w:val="008E72BF"/>
    <w:rsid w:val="008E7423"/>
    <w:rsid w:val="008E7A87"/>
    <w:rsid w:val="008E7AF7"/>
    <w:rsid w:val="008F0189"/>
    <w:rsid w:val="008F0239"/>
    <w:rsid w:val="008F0259"/>
    <w:rsid w:val="008F0550"/>
    <w:rsid w:val="008F0AB2"/>
    <w:rsid w:val="008F0D33"/>
    <w:rsid w:val="008F0EB9"/>
    <w:rsid w:val="008F101A"/>
    <w:rsid w:val="008F1121"/>
    <w:rsid w:val="008F1243"/>
    <w:rsid w:val="008F1B6A"/>
    <w:rsid w:val="008F1BA2"/>
    <w:rsid w:val="008F224A"/>
    <w:rsid w:val="008F24DD"/>
    <w:rsid w:val="008F24E7"/>
    <w:rsid w:val="008F2757"/>
    <w:rsid w:val="008F2DD9"/>
    <w:rsid w:val="008F2F36"/>
    <w:rsid w:val="008F304E"/>
    <w:rsid w:val="008F31CE"/>
    <w:rsid w:val="008F3388"/>
    <w:rsid w:val="008F3C6D"/>
    <w:rsid w:val="008F3F0F"/>
    <w:rsid w:val="008F4630"/>
    <w:rsid w:val="008F4C4F"/>
    <w:rsid w:val="008F4EA6"/>
    <w:rsid w:val="008F4F11"/>
    <w:rsid w:val="008F5083"/>
    <w:rsid w:val="008F51F9"/>
    <w:rsid w:val="008F555F"/>
    <w:rsid w:val="008F5BD1"/>
    <w:rsid w:val="008F5BD8"/>
    <w:rsid w:val="008F5C61"/>
    <w:rsid w:val="008F60E7"/>
    <w:rsid w:val="008F62BA"/>
    <w:rsid w:val="008F658A"/>
    <w:rsid w:val="008F7222"/>
    <w:rsid w:val="008F7560"/>
    <w:rsid w:val="008F77F8"/>
    <w:rsid w:val="008F7825"/>
    <w:rsid w:val="008F7F17"/>
    <w:rsid w:val="008F7F5B"/>
    <w:rsid w:val="009003CB"/>
    <w:rsid w:val="0090044C"/>
    <w:rsid w:val="00900480"/>
    <w:rsid w:val="00900569"/>
    <w:rsid w:val="009006FA"/>
    <w:rsid w:val="00900893"/>
    <w:rsid w:val="00900B59"/>
    <w:rsid w:val="00900BA9"/>
    <w:rsid w:val="00900F2E"/>
    <w:rsid w:val="009011BC"/>
    <w:rsid w:val="00901668"/>
    <w:rsid w:val="0090169A"/>
    <w:rsid w:val="00901A7A"/>
    <w:rsid w:val="00901F3F"/>
    <w:rsid w:val="00902B78"/>
    <w:rsid w:val="00903E20"/>
    <w:rsid w:val="00903FFB"/>
    <w:rsid w:val="00904686"/>
    <w:rsid w:val="009047DB"/>
    <w:rsid w:val="0090509D"/>
    <w:rsid w:val="009053DB"/>
    <w:rsid w:val="0090598D"/>
    <w:rsid w:val="00905B2F"/>
    <w:rsid w:val="00905D5E"/>
    <w:rsid w:val="00905F39"/>
    <w:rsid w:val="00906209"/>
    <w:rsid w:val="00906729"/>
    <w:rsid w:val="009068C3"/>
    <w:rsid w:val="00906902"/>
    <w:rsid w:val="00906C28"/>
    <w:rsid w:val="00906C61"/>
    <w:rsid w:val="00907031"/>
    <w:rsid w:val="00907217"/>
    <w:rsid w:val="00907614"/>
    <w:rsid w:val="009079FE"/>
    <w:rsid w:val="00907B36"/>
    <w:rsid w:val="00907BD2"/>
    <w:rsid w:val="0091084D"/>
    <w:rsid w:val="00910F52"/>
    <w:rsid w:val="00911078"/>
    <w:rsid w:val="009111E3"/>
    <w:rsid w:val="009111FD"/>
    <w:rsid w:val="0091148C"/>
    <w:rsid w:val="009116F7"/>
    <w:rsid w:val="00911877"/>
    <w:rsid w:val="00911AAC"/>
    <w:rsid w:val="00912819"/>
    <w:rsid w:val="00912882"/>
    <w:rsid w:val="00912981"/>
    <w:rsid w:val="00912984"/>
    <w:rsid w:val="009129BA"/>
    <w:rsid w:val="00912B94"/>
    <w:rsid w:val="0091312F"/>
    <w:rsid w:val="0091322D"/>
    <w:rsid w:val="009135B3"/>
    <w:rsid w:val="009136A0"/>
    <w:rsid w:val="009137AA"/>
    <w:rsid w:val="0091381F"/>
    <w:rsid w:val="009139D3"/>
    <w:rsid w:val="00913A06"/>
    <w:rsid w:val="00913B0E"/>
    <w:rsid w:val="00914002"/>
    <w:rsid w:val="00914077"/>
    <w:rsid w:val="00914104"/>
    <w:rsid w:val="00914193"/>
    <w:rsid w:val="00914996"/>
    <w:rsid w:val="00914AF7"/>
    <w:rsid w:val="00914C39"/>
    <w:rsid w:val="00914E76"/>
    <w:rsid w:val="00914EFD"/>
    <w:rsid w:val="00914FE4"/>
    <w:rsid w:val="00915239"/>
    <w:rsid w:val="009153FF"/>
    <w:rsid w:val="009154D3"/>
    <w:rsid w:val="00915930"/>
    <w:rsid w:val="00915A7E"/>
    <w:rsid w:val="00915CC3"/>
    <w:rsid w:val="009161C1"/>
    <w:rsid w:val="009164B4"/>
    <w:rsid w:val="0091653C"/>
    <w:rsid w:val="009166CE"/>
    <w:rsid w:val="0091691C"/>
    <w:rsid w:val="00916CAD"/>
    <w:rsid w:val="0091720E"/>
    <w:rsid w:val="00917222"/>
    <w:rsid w:val="00917263"/>
    <w:rsid w:val="00917364"/>
    <w:rsid w:val="00917814"/>
    <w:rsid w:val="00920004"/>
    <w:rsid w:val="00920410"/>
    <w:rsid w:val="00920500"/>
    <w:rsid w:val="00920870"/>
    <w:rsid w:val="00920B07"/>
    <w:rsid w:val="00920CE3"/>
    <w:rsid w:val="0092143F"/>
    <w:rsid w:val="0092193A"/>
    <w:rsid w:val="00921BE4"/>
    <w:rsid w:val="009222D3"/>
    <w:rsid w:val="00922504"/>
    <w:rsid w:val="00922A77"/>
    <w:rsid w:val="009230B3"/>
    <w:rsid w:val="0092333E"/>
    <w:rsid w:val="00923F24"/>
    <w:rsid w:val="009243BF"/>
    <w:rsid w:val="00924653"/>
    <w:rsid w:val="0092492A"/>
    <w:rsid w:val="00924E9D"/>
    <w:rsid w:val="009253BE"/>
    <w:rsid w:val="009255C9"/>
    <w:rsid w:val="00925806"/>
    <w:rsid w:val="009258EE"/>
    <w:rsid w:val="00925A47"/>
    <w:rsid w:val="00925E72"/>
    <w:rsid w:val="00925F97"/>
    <w:rsid w:val="00926092"/>
    <w:rsid w:val="009262F0"/>
    <w:rsid w:val="00926541"/>
    <w:rsid w:val="009265B4"/>
    <w:rsid w:val="0092691E"/>
    <w:rsid w:val="00926B88"/>
    <w:rsid w:val="00926B8E"/>
    <w:rsid w:val="00927589"/>
    <w:rsid w:val="009279B3"/>
    <w:rsid w:val="00927A69"/>
    <w:rsid w:val="00927B19"/>
    <w:rsid w:val="00927C47"/>
    <w:rsid w:val="00930007"/>
    <w:rsid w:val="0093053A"/>
    <w:rsid w:val="0093076F"/>
    <w:rsid w:val="00930A0B"/>
    <w:rsid w:val="00930C4F"/>
    <w:rsid w:val="00930C9F"/>
    <w:rsid w:val="00930E14"/>
    <w:rsid w:val="00930ECD"/>
    <w:rsid w:val="0093177F"/>
    <w:rsid w:val="00931944"/>
    <w:rsid w:val="00931F7F"/>
    <w:rsid w:val="00932015"/>
    <w:rsid w:val="00932096"/>
    <w:rsid w:val="00932257"/>
    <w:rsid w:val="009323C9"/>
    <w:rsid w:val="0093247D"/>
    <w:rsid w:val="00932EB9"/>
    <w:rsid w:val="0093351D"/>
    <w:rsid w:val="0093353A"/>
    <w:rsid w:val="00933953"/>
    <w:rsid w:val="00933B94"/>
    <w:rsid w:val="00933BD8"/>
    <w:rsid w:val="0093411E"/>
    <w:rsid w:val="009341F5"/>
    <w:rsid w:val="009344D9"/>
    <w:rsid w:val="00934644"/>
    <w:rsid w:val="00934842"/>
    <w:rsid w:val="00934E19"/>
    <w:rsid w:val="00934E1C"/>
    <w:rsid w:val="009356C6"/>
    <w:rsid w:val="009357F2"/>
    <w:rsid w:val="00935A7A"/>
    <w:rsid w:val="00935F0E"/>
    <w:rsid w:val="00936189"/>
    <w:rsid w:val="00936589"/>
    <w:rsid w:val="00936927"/>
    <w:rsid w:val="0093694A"/>
    <w:rsid w:val="00936A69"/>
    <w:rsid w:val="00936C31"/>
    <w:rsid w:val="00936E11"/>
    <w:rsid w:val="00936E55"/>
    <w:rsid w:val="00936F20"/>
    <w:rsid w:val="00937168"/>
    <w:rsid w:val="0093743A"/>
    <w:rsid w:val="00937475"/>
    <w:rsid w:val="009374C0"/>
    <w:rsid w:val="00937633"/>
    <w:rsid w:val="00937765"/>
    <w:rsid w:val="0093785F"/>
    <w:rsid w:val="00937A89"/>
    <w:rsid w:val="00937AF7"/>
    <w:rsid w:val="00937CF2"/>
    <w:rsid w:val="00937DE5"/>
    <w:rsid w:val="00940285"/>
    <w:rsid w:val="0094086E"/>
    <w:rsid w:val="009408D0"/>
    <w:rsid w:val="00940979"/>
    <w:rsid w:val="0094098D"/>
    <w:rsid w:val="00940AD9"/>
    <w:rsid w:val="00940B7B"/>
    <w:rsid w:val="00940C0A"/>
    <w:rsid w:val="00940D6D"/>
    <w:rsid w:val="009410A6"/>
    <w:rsid w:val="00941311"/>
    <w:rsid w:val="00941366"/>
    <w:rsid w:val="0094154B"/>
    <w:rsid w:val="00941719"/>
    <w:rsid w:val="009417DC"/>
    <w:rsid w:val="00941AA7"/>
    <w:rsid w:val="00941AEC"/>
    <w:rsid w:val="00941EF7"/>
    <w:rsid w:val="009427C9"/>
    <w:rsid w:val="009427EC"/>
    <w:rsid w:val="00942821"/>
    <w:rsid w:val="0094286B"/>
    <w:rsid w:val="009429D2"/>
    <w:rsid w:val="00942C50"/>
    <w:rsid w:val="00942D74"/>
    <w:rsid w:val="00943524"/>
    <w:rsid w:val="00943968"/>
    <w:rsid w:val="00943D75"/>
    <w:rsid w:val="00943F58"/>
    <w:rsid w:val="009440C8"/>
    <w:rsid w:val="00944118"/>
    <w:rsid w:val="009441BA"/>
    <w:rsid w:val="009442A3"/>
    <w:rsid w:val="009442D1"/>
    <w:rsid w:val="0094433C"/>
    <w:rsid w:val="0094439D"/>
    <w:rsid w:val="00944899"/>
    <w:rsid w:val="009449A8"/>
    <w:rsid w:val="00944BEF"/>
    <w:rsid w:val="00944F5A"/>
    <w:rsid w:val="00945197"/>
    <w:rsid w:val="00945559"/>
    <w:rsid w:val="00945653"/>
    <w:rsid w:val="009456E3"/>
    <w:rsid w:val="00945753"/>
    <w:rsid w:val="00945C29"/>
    <w:rsid w:val="00945C3B"/>
    <w:rsid w:val="00945CAA"/>
    <w:rsid w:val="00945D19"/>
    <w:rsid w:val="0094689D"/>
    <w:rsid w:val="00946E05"/>
    <w:rsid w:val="009472A6"/>
    <w:rsid w:val="009474F3"/>
    <w:rsid w:val="00947689"/>
    <w:rsid w:val="00947C63"/>
    <w:rsid w:val="00947E9F"/>
    <w:rsid w:val="009502B4"/>
    <w:rsid w:val="00950745"/>
    <w:rsid w:val="009507BE"/>
    <w:rsid w:val="00950A88"/>
    <w:rsid w:val="00950AB3"/>
    <w:rsid w:val="00950C01"/>
    <w:rsid w:val="00950DDD"/>
    <w:rsid w:val="00951086"/>
    <w:rsid w:val="00951460"/>
    <w:rsid w:val="0095166D"/>
    <w:rsid w:val="009518A8"/>
    <w:rsid w:val="00951AC1"/>
    <w:rsid w:val="00951AF8"/>
    <w:rsid w:val="00951B81"/>
    <w:rsid w:val="00951F30"/>
    <w:rsid w:val="00952094"/>
    <w:rsid w:val="00952353"/>
    <w:rsid w:val="00952387"/>
    <w:rsid w:val="009523A8"/>
    <w:rsid w:val="00952596"/>
    <w:rsid w:val="00952660"/>
    <w:rsid w:val="0095291A"/>
    <w:rsid w:val="00952940"/>
    <w:rsid w:val="009529C4"/>
    <w:rsid w:val="00952B44"/>
    <w:rsid w:val="00952E9E"/>
    <w:rsid w:val="0095363B"/>
    <w:rsid w:val="0095377D"/>
    <w:rsid w:val="00953816"/>
    <w:rsid w:val="00953852"/>
    <w:rsid w:val="009549B0"/>
    <w:rsid w:val="00954D02"/>
    <w:rsid w:val="00954FE5"/>
    <w:rsid w:val="00955022"/>
    <w:rsid w:val="009555C5"/>
    <w:rsid w:val="0095571A"/>
    <w:rsid w:val="00955A6B"/>
    <w:rsid w:val="00955AC2"/>
    <w:rsid w:val="00955BA1"/>
    <w:rsid w:val="00955CCD"/>
    <w:rsid w:val="00955F19"/>
    <w:rsid w:val="00955F1D"/>
    <w:rsid w:val="009560A0"/>
    <w:rsid w:val="009568BF"/>
    <w:rsid w:val="00956DB7"/>
    <w:rsid w:val="009576B1"/>
    <w:rsid w:val="009579A9"/>
    <w:rsid w:val="00957EA3"/>
    <w:rsid w:val="00960025"/>
    <w:rsid w:val="009600BE"/>
    <w:rsid w:val="0096031C"/>
    <w:rsid w:val="009609E3"/>
    <w:rsid w:val="009610C4"/>
    <w:rsid w:val="0096136D"/>
    <w:rsid w:val="00961910"/>
    <w:rsid w:val="00961C9D"/>
    <w:rsid w:val="00961CAC"/>
    <w:rsid w:val="009626BA"/>
    <w:rsid w:val="009631E6"/>
    <w:rsid w:val="00963273"/>
    <w:rsid w:val="00963274"/>
    <w:rsid w:val="0096328B"/>
    <w:rsid w:val="009632D0"/>
    <w:rsid w:val="009635C6"/>
    <w:rsid w:val="00963920"/>
    <w:rsid w:val="00963CD2"/>
    <w:rsid w:val="00963E47"/>
    <w:rsid w:val="00963EE6"/>
    <w:rsid w:val="0096427C"/>
    <w:rsid w:val="009644D1"/>
    <w:rsid w:val="009645C6"/>
    <w:rsid w:val="009645DB"/>
    <w:rsid w:val="009646C4"/>
    <w:rsid w:val="009648B9"/>
    <w:rsid w:val="0096496B"/>
    <w:rsid w:val="00964B75"/>
    <w:rsid w:val="00964EB9"/>
    <w:rsid w:val="00965001"/>
    <w:rsid w:val="009655E4"/>
    <w:rsid w:val="00965B1E"/>
    <w:rsid w:val="00966021"/>
    <w:rsid w:val="00966159"/>
    <w:rsid w:val="009661DC"/>
    <w:rsid w:val="009664C2"/>
    <w:rsid w:val="00966807"/>
    <w:rsid w:val="00967D7F"/>
    <w:rsid w:val="00967E77"/>
    <w:rsid w:val="00967F6C"/>
    <w:rsid w:val="00970519"/>
    <w:rsid w:val="00970536"/>
    <w:rsid w:val="00970702"/>
    <w:rsid w:val="0097090B"/>
    <w:rsid w:val="00970B1D"/>
    <w:rsid w:val="0097114F"/>
    <w:rsid w:val="009713D1"/>
    <w:rsid w:val="00971790"/>
    <w:rsid w:val="00971957"/>
    <w:rsid w:val="00971A05"/>
    <w:rsid w:val="00971CB0"/>
    <w:rsid w:val="00971DF4"/>
    <w:rsid w:val="00971E0A"/>
    <w:rsid w:val="00971F91"/>
    <w:rsid w:val="009720A3"/>
    <w:rsid w:val="00972223"/>
    <w:rsid w:val="0097237B"/>
    <w:rsid w:val="00972901"/>
    <w:rsid w:val="00972A10"/>
    <w:rsid w:val="00972ACE"/>
    <w:rsid w:val="00972E4E"/>
    <w:rsid w:val="00973346"/>
    <w:rsid w:val="009736CF"/>
    <w:rsid w:val="00973AAF"/>
    <w:rsid w:val="00973E34"/>
    <w:rsid w:val="00974253"/>
    <w:rsid w:val="0097439C"/>
    <w:rsid w:val="009745F5"/>
    <w:rsid w:val="009748EF"/>
    <w:rsid w:val="00974CF1"/>
    <w:rsid w:val="00974E16"/>
    <w:rsid w:val="00975403"/>
    <w:rsid w:val="00975508"/>
    <w:rsid w:val="0097557F"/>
    <w:rsid w:val="00975782"/>
    <w:rsid w:val="00975C81"/>
    <w:rsid w:val="00976060"/>
    <w:rsid w:val="009760DC"/>
    <w:rsid w:val="009762E9"/>
    <w:rsid w:val="009767E0"/>
    <w:rsid w:val="00976F36"/>
    <w:rsid w:val="0097731D"/>
    <w:rsid w:val="00977336"/>
    <w:rsid w:val="009774EC"/>
    <w:rsid w:val="00977A14"/>
    <w:rsid w:val="00977EA7"/>
    <w:rsid w:val="009804E9"/>
    <w:rsid w:val="00980597"/>
    <w:rsid w:val="00980955"/>
    <w:rsid w:val="00980D09"/>
    <w:rsid w:val="00980F6F"/>
    <w:rsid w:val="009811AF"/>
    <w:rsid w:val="00981407"/>
    <w:rsid w:val="00981655"/>
    <w:rsid w:val="0098181B"/>
    <w:rsid w:val="00981A1D"/>
    <w:rsid w:val="00981A29"/>
    <w:rsid w:val="00981E1D"/>
    <w:rsid w:val="00981F53"/>
    <w:rsid w:val="0098210F"/>
    <w:rsid w:val="009822DB"/>
    <w:rsid w:val="00982578"/>
    <w:rsid w:val="0098276B"/>
    <w:rsid w:val="00982D78"/>
    <w:rsid w:val="0098302A"/>
    <w:rsid w:val="00983196"/>
    <w:rsid w:val="00983248"/>
    <w:rsid w:val="009832BC"/>
    <w:rsid w:val="009835AA"/>
    <w:rsid w:val="00983831"/>
    <w:rsid w:val="00983F43"/>
    <w:rsid w:val="009842D7"/>
    <w:rsid w:val="00984352"/>
    <w:rsid w:val="009847B9"/>
    <w:rsid w:val="00984E5D"/>
    <w:rsid w:val="00984FB4"/>
    <w:rsid w:val="0098539C"/>
    <w:rsid w:val="00985403"/>
    <w:rsid w:val="00985701"/>
    <w:rsid w:val="00985825"/>
    <w:rsid w:val="00985C46"/>
    <w:rsid w:val="00985DB9"/>
    <w:rsid w:val="009863F4"/>
    <w:rsid w:val="009865C9"/>
    <w:rsid w:val="0098668E"/>
    <w:rsid w:val="00986773"/>
    <w:rsid w:val="0098685C"/>
    <w:rsid w:val="00986860"/>
    <w:rsid w:val="009868F0"/>
    <w:rsid w:val="00986B3B"/>
    <w:rsid w:val="00986BC6"/>
    <w:rsid w:val="00987098"/>
    <w:rsid w:val="009874B4"/>
    <w:rsid w:val="00987662"/>
    <w:rsid w:val="0098771F"/>
    <w:rsid w:val="00987824"/>
    <w:rsid w:val="00990215"/>
    <w:rsid w:val="00990664"/>
    <w:rsid w:val="00990786"/>
    <w:rsid w:val="00990892"/>
    <w:rsid w:val="00990AD0"/>
    <w:rsid w:val="00990AD1"/>
    <w:rsid w:val="00990B77"/>
    <w:rsid w:val="00990D70"/>
    <w:rsid w:val="00990FDA"/>
    <w:rsid w:val="009910FC"/>
    <w:rsid w:val="0099147C"/>
    <w:rsid w:val="00991521"/>
    <w:rsid w:val="00991A97"/>
    <w:rsid w:val="00991F98"/>
    <w:rsid w:val="0099289A"/>
    <w:rsid w:val="00992A16"/>
    <w:rsid w:val="00992A5C"/>
    <w:rsid w:val="00992B16"/>
    <w:rsid w:val="00992DA7"/>
    <w:rsid w:val="00992F17"/>
    <w:rsid w:val="0099343F"/>
    <w:rsid w:val="009934F8"/>
    <w:rsid w:val="00993A99"/>
    <w:rsid w:val="009945A4"/>
    <w:rsid w:val="00994860"/>
    <w:rsid w:val="009948D5"/>
    <w:rsid w:val="00994920"/>
    <w:rsid w:val="00994BFB"/>
    <w:rsid w:val="00994C16"/>
    <w:rsid w:val="00994CA7"/>
    <w:rsid w:val="00995602"/>
    <w:rsid w:val="00995774"/>
    <w:rsid w:val="00995C6A"/>
    <w:rsid w:val="00995C96"/>
    <w:rsid w:val="009960BF"/>
    <w:rsid w:val="009962BC"/>
    <w:rsid w:val="009963BD"/>
    <w:rsid w:val="00996577"/>
    <w:rsid w:val="00996769"/>
    <w:rsid w:val="00996886"/>
    <w:rsid w:val="009969E9"/>
    <w:rsid w:val="00996D1E"/>
    <w:rsid w:val="009971CD"/>
    <w:rsid w:val="009979B3"/>
    <w:rsid w:val="009979C1"/>
    <w:rsid w:val="009A0AA8"/>
    <w:rsid w:val="009A0D47"/>
    <w:rsid w:val="009A0DA1"/>
    <w:rsid w:val="009A0E23"/>
    <w:rsid w:val="009A1000"/>
    <w:rsid w:val="009A10D4"/>
    <w:rsid w:val="009A12A0"/>
    <w:rsid w:val="009A13BF"/>
    <w:rsid w:val="009A13CA"/>
    <w:rsid w:val="009A15DD"/>
    <w:rsid w:val="009A1788"/>
    <w:rsid w:val="009A199F"/>
    <w:rsid w:val="009A19F5"/>
    <w:rsid w:val="009A1E27"/>
    <w:rsid w:val="009A2172"/>
    <w:rsid w:val="009A22D8"/>
    <w:rsid w:val="009A27FB"/>
    <w:rsid w:val="009A2CEB"/>
    <w:rsid w:val="009A2DB2"/>
    <w:rsid w:val="009A3082"/>
    <w:rsid w:val="009A31E2"/>
    <w:rsid w:val="009A359E"/>
    <w:rsid w:val="009A37B5"/>
    <w:rsid w:val="009A3967"/>
    <w:rsid w:val="009A3B65"/>
    <w:rsid w:val="009A3CE9"/>
    <w:rsid w:val="009A3D13"/>
    <w:rsid w:val="009A453C"/>
    <w:rsid w:val="009A46ED"/>
    <w:rsid w:val="009A4824"/>
    <w:rsid w:val="009A48A8"/>
    <w:rsid w:val="009A49E6"/>
    <w:rsid w:val="009A49FE"/>
    <w:rsid w:val="009A4EA4"/>
    <w:rsid w:val="009A4F40"/>
    <w:rsid w:val="009A5233"/>
    <w:rsid w:val="009A52C5"/>
    <w:rsid w:val="009A5820"/>
    <w:rsid w:val="009A58BC"/>
    <w:rsid w:val="009A5C51"/>
    <w:rsid w:val="009A60E6"/>
    <w:rsid w:val="009A616F"/>
    <w:rsid w:val="009A6303"/>
    <w:rsid w:val="009A6318"/>
    <w:rsid w:val="009A65FA"/>
    <w:rsid w:val="009A6D10"/>
    <w:rsid w:val="009A72F5"/>
    <w:rsid w:val="009B022C"/>
    <w:rsid w:val="009B02C6"/>
    <w:rsid w:val="009B043A"/>
    <w:rsid w:val="009B0870"/>
    <w:rsid w:val="009B08B5"/>
    <w:rsid w:val="009B11C4"/>
    <w:rsid w:val="009B17DB"/>
    <w:rsid w:val="009B17EC"/>
    <w:rsid w:val="009B1CDD"/>
    <w:rsid w:val="009B1F2F"/>
    <w:rsid w:val="009B208D"/>
    <w:rsid w:val="009B213B"/>
    <w:rsid w:val="009B2325"/>
    <w:rsid w:val="009B2571"/>
    <w:rsid w:val="009B2954"/>
    <w:rsid w:val="009B32C4"/>
    <w:rsid w:val="009B397D"/>
    <w:rsid w:val="009B3D90"/>
    <w:rsid w:val="009B3E47"/>
    <w:rsid w:val="009B43F3"/>
    <w:rsid w:val="009B48F3"/>
    <w:rsid w:val="009B4960"/>
    <w:rsid w:val="009B50EF"/>
    <w:rsid w:val="009B55D2"/>
    <w:rsid w:val="009B58D7"/>
    <w:rsid w:val="009B5B4A"/>
    <w:rsid w:val="009B5DC6"/>
    <w:rsid w:val="009B6402"/>
    <w:rsid w:val="009B670C"/>
    <w:rsid w:val="009B6D94"/>
    <w:rsid w:val="009B6F7F"/>
    <w:rsid w:val="009B709F"/>
    <w:rsid w:val="009B7168"/>
    <w:rsid w:val="009B721D"/>
    <w:rsid w:val="009B75FA"/>
    <w:rsid w:val="009B7AB8"/>
    <w:rsid w:val="009B7C44"/>
    <w:rsid w:val="009B7E25"/>
    <w:rsid w:val="009C054E"/>
    <w:rsid w:val="009C061B"/>
    <w:rsid w:val="009C0824"/>
    <w:rsid w:val="009C091A"/>
    <w:rsid w:val="009C0B81"/>
    <w:rsid w:val="009C0DF2"/>
    <w:rsid w:val="009C1308"/>
    <w:rsid w:val="009C1355"/>
    <w:rsid w:val="009C14A2"/>
    <w:rsid w:val="009C14D6"/>
    <w:rsid w:val="009C1524"/>
    <w:rsid w:val="009C178A"/>
    <w:rsid w:val="009C1A19"/>
    <w:rsid w:val="009C1AF5"/>
    <w:rsid w:val="009C2012"/>
    <w:rsid w:val="009C202E"/>
    <w:rsid w:val="009C2618"/>
    <w:rsid w:val="009C267C"/>
    <w:rsid w:val="009C283F"/>
    <w:rsid w:val="009C2A09"/>
    <w:rsid w:val="009C2E9E"/>
    <w:rsid w:val="009C3151"/>
    <w:rsid w:val="009C329B"/>
    <w:rsid w:val="009C33C0"/>
    <w:rsid w:val="009C3549"/>
    <w:rsid w:val="009C3915"/>
    <w:rsid w:val="009C3C0D"/>
    <w:rsid w:val="009C3D8B"/>
    <w:rsid w:val="009C4182"/>
    <w:rsid w:val="009C4323"/>
    <w:rsid w:val="009C4743"/>
    <w:rsid w:val="009C4B46"/>
    <w:rsid w:val="009C4DC8"/>
    <w:rsid w:val="009C4FC0"/>
    <w:rsid w:val="009C527C"/>
    <w:rsid w:val="009C53C0"/>
    <w:rsid w:val="009C54BF"/>
    <w:rsid w:val="009C55E2"/>
    <w:rsid w:val="009C56CB"/>
    <w:rsid w:val="009C58A2"/>
    <w:rsid w:val="009C5C42"/>
    <w:rsid w:val="009C629D"/>
    <w:rsid w:val="009C62C1"/>
    <w:rsid w:val="009C652B"/>
    <w:rsid w:val="009C667B"/>
    <w:rsid w:val="009C6921"/>
    <w:rsid w:val="009C6B9F"/>
    <w:rsid w:val="009C6D19"/>
    <w:rsid w:val="009C6D9D"/>
    <w:rsid w:val="009C7372"/>
    <w:rsid w:val="009C7EA0"/>
    <w:rsid w:val="009D01F5"/>
    <w:rsid w:val="009D0303"/>
    <w:rsid w:val="009D0702"/>
    <w:rsid w:val="009D07E6"/>
    <w:rsid w:val="009D0D66"/>
    <w:rsid w:val="009D0E18"/>
    <w:rsid w:val="009D16F8"/>
    <w:rsid w:val="009D1809"/>
    <w:rsid w:val="009D1B04"/>
    <w:rsid w:val="009D1B40"/>
    <w:rsid w:val="009D1D75"/>
    <w:rsid w:val="009D2277"/>
    <w:rsid w:val="009D2557"/>
    <w:rsid w:val="009D283C"/>
    <w:rsid w:val="009D2BC0"/>
    <w:rsid w:val="009D2CC3"/>
    <w:rsid w:val="009D3074"/>
    <w:rsid w:val="009D32DB"/>
    <w:rsid w:val="009D33BC"/>
    <w:rsid w:val="009D3511"/>
    <w:rsid w:val="009D39CA"/>
    <w:rsid w:val="009D3A48"/>
    <w:rsid w:val="009D44B2"/>
    <w:rsid w:val="009D4541"/>
    <w:rsid w:val="009D4941"/>
    <w:rsid w:val="009D4E04"/>
    <w:rsid w:val="009D4E8B"/>
    <w:rsid w:val="009D5FDB"/>
    <w:rsid w:val="009D665B"/>
    <w:rsid w:val="009D6764"/>
    <w:rsid w:val="009D6798"/>
    <w:rsid w:val="009D68F5"/>
    <w:rsid w:val="009D6970"/>
    <w:rsid w:val="009D6CA1"/>
    <w:rsid w:val="009D6EF3"/>
    <w:rsid w:val="009D6F47"/>
    <w:rsid w:val="009D7279"/>
    <w:rsid w:val="009D72F0"/>
    <w:rsid w:val="009D7620"/>
    <w:rsid w:val="009D7704"/>
    <w:rsid w:val="009D7CAA"/>
    <w:rsid w:val="009E0154"/>
    <w:rsid w:val="009E01A9"/>
    <w:rsid w:val="009E025E"/>
    <w:rsid w:val="009E032D"/>
    <w:rsid w:val="009E03FB"/>
    <w:rsid w:val="009E0647"/>
    <w:rsid w:val="009E0723"/>
    <w:rsid w:val="009E084D"/>
    <w:rsid w:val="009E0A0D"/>
    <w:rsid w:val="009E0B28"/>
    <w:rsid w:val="009E0C21"/>
    <w:rsid w:val="009E12D2"/>
    <w:rsid w:val="009E1816"/>
    <w:rsid w:val="009E1951"/>
    <w:rsid w:val="009E1F11"/>
    <w:rsid w:val="009E21B5"/>
    <w:rsid w:val="009E2632"/>
    <w:rsid w:val="009E26E4"/>
    <w:rsid w:val="009E2A18"/>
    <w:rsid w:val="009E2C7B"/>
    <w:rsid w:val="009E305E"/>
    <w:rsid w:val="009E30BF"/>
    <w:rsid w:val="009E31B3"/>
    <w:rsid w:val="009E3373"/>
    <w:rsid w:val="009E34A0"/>
    <w:rsid w:val="009E3765"/>
    <w:rsid w:val="009E3798"/>
    <w:rsid w:val="009E3A09"/>
    <w:rsid w:val="009E3A66"/>
    <w:rsid w:val="009E415F"/>
    <w:rsid w:val="009E43F2"/>
    <w:rsid w:val="009E444D"/>
    <w:rsid w:val="009E4A38"/>
    <w:rsid w:val="009E4D6E"/>
    <w:rsid w:val="009E5111"/>
    <w:rsid w:val="009E5CD8"/>
    <w:rsid w:val="009E6545"/>
    <w:rsid w:val="009E67C8"/>
    <w:rsid w:val="009E67E5"/>
    <w:rsid w:val="009E68B7"/>
    <w:rsid w:val="009E6CB6"/>
    <w:rsid w:val="009E6D75"/>
    <w:rsid w:val="009E7376"/>
    <w:rsid w:val="009E73FD"/>
    <w:rsid w:val="009E74C5"/>
    <w:rsid w:val="009E7A1E"/>
    <w:rsid w:val="009E7ABE"/>
    <w:rsid w:val="009F003F"/>
    <w:rsid w:val="009F07D1"/>
    <w:rsid w:val="009F0CE7"/>
    <w:rsid w:val="009F101D"/>
    <w:rsid w:val="009F12C1"/>
    <w:rsid w:val="009F157A"/>
    <w:rsid w:val="009F167B"/>
    <w:rsid w:val="009F190A"/>
    <w:rsid w:val="009F1CBB"/>
    <w:rsid w:val="009F1CD2"/>
    <w:rsid w:val="009F1DD4"/>
    <w:rsid w:val="009F1F33"/>
    <w:rsid w:val="009F2087"/>
    <w:rsid w:val="009F2317"/>
    <w:rsid w:val="009F2F2F"/>
    <w:rsid w:val="009F3361"/>
    <w:rsid w:val="009F34F5"/>
    <w:rsid w:val="009F3688"/>
    <w:rsid w:val="009F38C7"/>
    <w:rsid w:val="009F3EAE"/>
    <w:rsid w:val="009F4026"/>
    <w:rsid w:val="009F407B"/>
    <w:rsid w:val="009F41AE"/>
    <w:rsid w:val="009F44C3"/>
    <w:rsid w:val="009F4503"/>
    <w:rsid w:val="009F46AE"/>
    <w:rsid w:val="009F4736"/>
    <w:rsid w:val="009F4837"/>
    <w:rsid w:val="009F48B6"/>
    <w:rsid w:val="009F4909"/>
    <w:rsid w:val="009F4EE8"/>
    <w:rsid w:val="009F5068"/>
    <w:rsid w:val="009F50C3"/>
    <w:rsid w:val="009F5957"/>
    <w:rsid w:val="009F5B8C"/>
    <w:rsid w:val="009F64B4"/>
    <w:rsid w:val="009F655C"/>
    <w:rsid w:val="009F66F1"/>
    <w:rsid w:val="009F6AB3"/>
    <w:rsid w:val="009F7013"/>
    <w:rsid w:val="009F76BB"/>
    <w:rsid w:val="009F79D1"/>
    <w:rsid w:val="009F7AD0"/>
    <w:rsid w:val="009F7B5B"/>
    <w:rsid w:val="009F7FB5"/>
    <w:rsid w:val="00A0079C"/>
    <w:rsid w:val="00A009CF"/>
    <w:rsid w:val="00A00A05"/>
    <w:rsid w:val="00A00B25"/>
    <w:rsid w:val="00A00C63"/>
    <w:rsid w:val="00A00DED"/>
    <w:rsid w:val="00A010B7"/>
    <w:rsid w:val="00A011E2"/>
    <w:rsid w:val="00A01782"/>
    <w:rsid w:val="00A017A8"/>
    <w:rsid w:val="00A01D02"/>
    <w:rsid w:val="00A01EAB"/>
    <w:rsid w:val="00A021EF"/>
    <w:rsid w:val="00A0236A"/>
    <w:rsid w:val="00A025A3"/>
    <w:rsid w:val="00A026D7"/>
    <w:rsid w:val="00A028EB"/>
    <w:rsid w:val="00A0301D"/>
    <w:rsid w:val="00A03337"/>
    <w:rsid w:val="00A03603"/>
    <w:rsid w:val="00A0362F"/>
    <w:rsid w:val="00A039B5"/>
    <w:rsid w:val="00A03B69"/>
    <w:rsid w:val="00A03D9E"/>
    <w:rsid w:val="00A03F44"/>
    <w:rsid w:val="00A041EF"/>
    <w:rsid w:val="00A04868"/>
    <w:rsid w:val="00A048EB"/>
    <w:rsid w:val="00A04B50"/>
    <w:rsid w:val="00A050D6"/>
    <w:rsid w:val="00A05199"/>
    <w:rsid w:val="00A056A3"/>
    <w:rsid w:val="00A05922"/>
    <w:rsid w:val="00A05A8A"/>
    <w:rsid w:val="00A05B55"/>
    <w:rsid w:val="00A05E3B"/>
    <w:rsid w:val="00A05EF2"/>
    <w:rsid w:val="00A06380"/>
    <w:rsid w:val="00A06476"/>
    <w:rsid w:val="00A06BDD"/>
    <w:rsid w:val="00A06D03"/>
    <w:rsid w:val="00A06F65"/>
    <w:rsid w:val="00A06F8B"/>
    <w:rsid w:val="00A07245"/>
    <w:rsid w:val="00A0728A"/>
    <w:rsid w:val="00A0783A"/>
    <w:rsid w:val="00A07887"/>
    <w:rsid w:val="00A07A6C"/>
    <w:rsid w:val="00A07B48"/>
    <w:rsid w:val="00A07B6C"/>
    <w:rsid w:val="00A07C21"/>
    <w:rsid w:val="00A07F33"/>
    <w:rsid w:val="00A10079"/>
    <w:rsid w:val="00A101C7"/>
    <w:rsid w:val="00A10217"/>
    <w:rsid w:val="00A10305"/>
    <w:rsid w:val="00A103E4"/>
    <w:rsid w:val="00A1057D"/>
    <w:rsid w:val="00A105FD"/>
    <w:rsid w:val="00A106C8"/>
    <w:rsid w:val="00A10A74"/>
    <w:rsid w:val="00A10BCB"/>
    <w:rsid w:val="00A10C6A"/>
    <w:rsid w:val="00A10D5D"/>
    <w:rsid w:val="00A10DB4"/>
    <w:rsid w:val="00A10F0E"/>
    <w:rsid w:val="00A1104C"/>
    <w:rsid w:val="00A112A1"/>
    <w:rsid w:val="00A11CCB"/>
    <w:rsid w:val="00A11D4E"/>
    <w:rsid w:val="00A12089"/>
    <w:rsid w:val="00A12525"/>
    <w:rsid w:val="00A12B52"/>
    <w:rsid w:val="00A130EF"/>
    <w:rsid w:val="00A1357E"/>
    <w:rsid w:val="00A13C45"/>
    <w:rsid w:val="00A142AB"/>
    <w:rsid w:val="00A142BC"/>
    <w:rsid w:val="00A144D3"/>
    <w:rsid w:val="00A14659"/>
    <w:rsid w:val="00A1472F"/>
    <w:rsid w:val="00A147B2"/>
    <w:rsid w:val="00A14A78"/>
    <w:rsid w:val="00A14EA1"/>
    <w:rsid w:val="00A153C6"/>
    <w:rsid w:val="00A15493"/>
    <w:rsid w:val="00A156E6"/>
    <w:rsid w:val="00A161F8"/>
    <w:rsid w:val="00A162A3"/>
    <w:rsid w:val="00A163EC"/>
    <w:rsid w:val="00A1642C"/>
    <w:rsid w:val="00A166FF"/>
    <w:rsid w:val="00A16AE4"/>
    <w:rsid w:val="00A16E98"/>
    <w:rsid w:val="00A16EC3"/>
    <w:rsid w:val="00A17326"/>
    <w:rsid w:val="00A1736E"/>
    <w:rsid w:val="00A17418"/>
    <w:rsid w:val="00A1764E"/>
    <w:rsid w:val="00A17781"/>
    <w:rsid w:val="00A17E31"/>
    <w:rsid w:val="00A17F6A"/>
    <w:rsid w:val="00A201F6"/>
    <w:rsid w:val="00A20A25"/>
    <w:rsid w:val="00A2138C"/>
    <w:rsid w:val="00A21624"/>
    <w:rsid w:val="00A21A15"/>
    <w:rsid w:val="00A21BDB"/>
    <w:rsid w:val="00A21E0F"/>
    <w:rsid w:val="00A2206A"/>
    <w:rsid w:val="00A22467"/>
    <w:rsid w:val="00A224F3"/>
    <w:rsid w:val="00A22600"/>
    <w:rsid w:val="00A239AF"/>
    <w:rsid w:val="00A23A94"/>
    <w:rsid w:val="00A23AF9"/>
    <w:rsid w:val="00A23DDE"/>
    <w:rsid w:val="00A240C0"/>
    <w:rsid w:val="00A241B6"/>
    <w:rsid w:val="00A241CD"/>
    <w:rsid w:val="00A245B0"/>
    <w:rsid w:val="00A246F3"/>
    <w:rsid w:val="00A2496F"/>
    <w:rsid w:val="00A24A06"/>
    <w:rsid w:val="00A24A57"/>
    <w:rsid w:val="00A24E01"/>
    <w:rsid w:val="00A2532B"/>
    <w:rsid w:val="00A25351"/>
    <w:rsid w:val="00A2539C"/>
    <w:rsid w:val="00A25574"/>
    <w:rsid w:val="00A25AD3"/>
    <w:rsid w:val="00A25B53"/>
    <w:rsid w:val="00A261A5"/>
    <w:rsid w:val="00A2693A"/>
    <w:rsid w:val="00A26A49"/>
    <w:rsid w:val="00A26AC1"/>
    <w:rsid w:val="00A26D0C"/>
    <w:rsid w:val="00A26D54"/>
    <w:rsid w:val="00A26D6B"/>
    <w:rsid w:val="00A27190"/>
    <w:rsid w:val="00A273E5"/>
    <w:rsid w:val="00A27546"/>
    <w:rsid w:val="00A27716"/>
    <w:rsid w:val="00A27C6B"/>
    <w:rsid w:val="00A27D8D"/>
    <w:rsid w:val="00A27EB7"/>
    <w:rsid w:val="00A27F07"/>
    <w:rsid w:val="00A3077E"/>
    <w:rsid w:val="00A30789"/>
    <w:rsid w:val="00A3078A"/>
    <w:rsid w:val="00A309F9"/>
    <w:rsid w:val="00A30B17"/>
    <w:rsid w:val="00A30BB4"/>
    <w:rsid w:val="00A30D6E"/>
    <w:rsid w:val="00A31FEF"/>
    <w:rsid w:val="00A320F1"/>
    <w:rsid w:val="00A322E1"/>
    <w:rsid w:val="00A324A9"/>
    <w:rsid w:val="00A32BD2"/>
    <w:rsid w:val="00A32C6A"/>
    <w:rsid w:val="00A32F0D"/>
    <w:rsid w:val="00A32F2B"/>
    <w:rsid w:val="00A32F72"/>
    <w:rsid w:val="00A33460"/>
    <w:rsid w:val="00A33C71"/>
    <w:rsid w:val="00A33D54"/>
    <w:rsid w:val="00A343B9"/>
    <w:rsid w:val="00A34425"/>
    <w:rsid w:val="00A34560"/>
    <w:rsid w:val="00A34768"/>
    <w:rsid w:val="00A347AD"/>
    <w:rsid w:val="00A34907"/>
    <w:rsid w:val="00A35110"/>
    <w:rsid w:val="00A351D3"/>
    <w:rsid w:val="00A352F0"/>
    <w:rsid w:val="00A35816"/>
    <w:rsid w:val="00A35EC3"/>
    <w:rsid w:val="00A35EFA"/>
    <w:rsid w:val="00A361F5"/>
    <w:rsid w:val="00A3653F"/>
    <w:rsid w:val="00A368DA"/>
    <w:rsid w:val="00A36D1E"/>
    <w:rsid w:val="00A36D24"/>
    <w:rsid w:val="00A37565"/>
    <w:rsid w:val="00A37BD2"/>
    <w:rsid w:val="00A37E15"/>
    <w:rsid w:val="00A40216"/>
    <w:rsid w:val="00A40353"/>
    <w:rsid w:val="00A4058B"/>
    <w:rsid w:val="00A40656"/>
    <w:rsid w:val="00A4065A"/>
    <w:rsid w:val="00A407B9"/>
    <w:rsid w:val="00A40A49"/>
    <w:rsid w:val="00A40DAA"/>
    <w:rsid w:val="00A40E45"/>
    <w:rsid w:val="00A41013"/>
    <w:rsid w:val="00A4151A"/>
    <w:rsid w:val="00A41D60"/>
    <w:rsid w:val="00A42350"/>
    <w:rsid w:val="00A424CD"/>
    <w:rsid w:val="00A429E2"/>
    <w:rsid w:val="00A42A5B"/>
    <w:rsid w:val="00A42CD5"/>
    <w:rsid w:val="00A42DCC"/>
    <w:rsid w:val="00A42E7F"/>
    <w:rsid w:val="00A43455"/>
    <w:rsid w:val="00A4368A"/>
    <w:rsid w:val="00A43716"/>
    <w:rsid w:val="00A43964"/>
    <w:rsid w:val="00A43AB3"/>
    <w:rsid w:val="00A43AC7"/>
    <w:rsid w:val="00A43D35"/>
    <w:rsid w:val="00A43F27"/>
    <w:rsid w:val="00A44213"/>
    <w:rsid w:val="00A446B0"/>
    <w:rsid w:val="00A44904"/>
    <w:rsid w:val="00A44E43"/>
    <w:rsid w:val="00A44EC6"/>
    <w:rsid w:val="00A451AB"/>
    <w:rsid w:val="00A45F45"/>
    <w:rsid w:val="00A46134"/>
    <w:rsid w:val="00A4641A"/>
    <w:rsid w:val="00A4651B"/>
    <w:rsid w:val="00A46812"/>
    <w:rsid w:val="00A46962"/>
    <w:rsid w:val="00A46ADC"/>
    <w:rsid w:val="00A46F54"/>
    <w:rsid w:val="00A4717B"/>
    <w:rsid w:val="00A4742D"/>
    <w:rsid w:val="00A4774F"/>
    <w:rsid w:val="00A4799C"/>
    <w:rsid w:val="00A5012F"/>
    <w:rsid w:val="00A503BA"/>
    <w:rsid w:val="00A507BB"/>
    <w:rsid w:val="00A51042"/>
    <w:rsid w:val="00A517BD"/>
    <w:rsid w:val="00A51A95"/>
    <w:rsid w:val="00A51F5F"/>
    <w:rsid w:val="00A52188"/>
    <w:rsid w:val="00A52297"/>
    <w:rsid w:val="00A5252F"/>
    <w:rsid w:val="00A527A4"/>
    <w:rsid w:val="00A528F1"/>
    <w:rsid w:val="00A52BE0"/>
    <w:rsid w:val="00A5328D"/>
    <w:rsid w:val="00A532B3"/>
    <w:rsid w:val="00A533EE"/>
    <w:rsid w:val="00A535C5"/>
    <w:rsid w:val="00A535DF"/>
    <w:rsid w:val="00A5396B"/>
    <w:rsid w:val="00A539B4"/>
    <w:rsid w:val="00A539CF"/>
    <w:rsid w:val="00A53A33"/>
    <w:rsid w:val="00A53B5E"/>
    <w:rsid w:val="00A53B67"/>
    <w:rsid w:val="00A54082"/>
    <w:rsid w:val="00A540D5"/>
    <w:rsid w:val="00A54476"/>
    <w:rsid w:val="00A54647"/>
    <w:rsid w:val="00A546FF"/>
    <w:rsid w:val="00A5477B"/>
    <w:rsid w:val="00A54B5A"/>
    <w:rsid w:val="00A54D29"/>
    <w:rsid w:val="00A54EA4"/>
    <w:rsid w:val="00A5589C"/>
    <w:rsid w:val="00A55C80"/>
    <w:rsid w:val="00A55C81"/>
    <w:rsid w:val="00A56411"/>
    <w:rsid w:val="00A56A15"/>
    <w:rsid w:val="00A56A23"/>
    <w:rsid w:val="00A56BBD"/>
    <w:rsid w:val="00A56DE1"/>
    <w:rsid w:val="00A56DF0"/>
    <w:rsid w:val="00A56E34"/>
    <w:rsid w:val="00A575AB"/>
    <w:rsid w:val="00A57618"/>
    <w:rsid w:val="00A57686"/>
    <w:rsid w:val="00A57C8D"/>
    <w:rsid w:val="00A602CD"/>
    <w:rsid w:val="00A6030F"/>
    <w:rsid w:val="00A6036A"/>
    <w:rsid w:val="00A60E29"/>
    <w:rsid w:val="00A60FC5"/>
    <w:rsid w:val="00A61317"/>
    <w:rsid w:val="00A6131C"/>
    <w:rsid w:val="00A615BF"/>
    <w:rsid w:val="00A6180C"/>
    <w:rsid w:val="00A618FF"/>
    <w:rsid w:val="00A6193B"/>
    <w:rsid w:val="00A619FD"/>
    <w:rsid w:val="00A61B4A"/>
    <w:rsid w:val="00A61BA2"/>
    <w:rsid w:val="00A61DB1"/>
    <w:rsid w:val="00A621E9"/>
    <w:rsid w:val="00A62542"/>
    <w:rsid w:val="00A629FE"/>
    <w:rsid w:val="00A62C04"/>
    <w:rsid w:val="00A62FCA"/>
    <w:rsid w:val="00A63112"/>
    <w:rsid w:val="00A634B6"/>
    <w:rsid w:val="00A63855"/>
    <w:rsid w:val="00A638F0"/>
    <w:rsid w:val="00A63A41"/>
    <w:rsid w:val="00A63B64"/>
    <w:rsid w:val="00A63CA9"/>
    <w:rsid w:val="00A63D11"/>
    <w:rsid w:val="00A6478B"/>
    <w:rsid w:val="00A649A1"/>
    <w:rsid w:val="00A64C03"/>
    <w:rsid w:val="00A650C7"/>
    <w:rsid w:val="00A650FE"/>
    <w:rsid w:val="00A6530A"/>
    <w:rsid w:val="00A654DB"/>
    <w:rsid w:val="00A664D5"/>
    <w:rsid w:val="00A66740"/>
    <w:rsid w:val="00A66CB4"/>
    <w:rsid w:val="00A66EA4"/>
    <w:rsid w:val="00A67156"/>
    <w:rsid w:val="00A6757D"/>
    <w:rsid w:val="00A6762B"/>
    <w:rsid w:val="00A678D6"/>
    <w:rsid w:val="00A6797F"/>
    <w:rsid w:val="00A679F9"/>
    <w:rsid w:val="00A67B60"/>
    <w:rsid w:val="00A67BD5"/>
    <w:rsid w:val="00A67C04"/>
    <w:rsid w:val="00A67DC1"/>
    <w:rsid w:val="00A67F98"/>
    <w:rsid w:val="00A70176"/>
    <w:rsid w:val="00A705CA"/>
    <w:rsid w:val="00A70820"/>
    <w:rsid w:val="00A70BC8"/>
    <w:rsid w:val="00A70D35"/>
    <w:rsid w:val="00A7110B"/>
    <w:rsid w:val="00A7127A"/>
    <w:rsid w:val="00A71514"/>
    <w:rsid w:val="00A71AF9"/>
    <w:rsid w:val="00A71E28"/>
    <w:rsid w:val="00A72482"/>
    <w:rsid w:val="00A72491"/>
    <w:rsid w:val="00A72501"/>
    <w:rsid w:val="00A72907"/>
    <w:rsid w:val="00A72C2D"/>
    <w:rsid w:val="00A73091"/>
    <w:rsid w:val="00A73637"/>
    <w:rsid w:val="00A7385B"/>
    <w:rsid w:val="00A7389C"/>
    <w:rsid w:val="00A73D0E"/>
    <w:rsid w:val="00A74086"/>
    <w:rsid w:val="00A74207"/>
    <w:rsid w:val="00A74CAA"/>
    <w:rsid w:val="00A75155"/>
    <w:rsid w:val="00A7516B"/>
    <w:rsid w:val="00A751CC"/>
    <w:rsid w:val="00A75D12"/>
    <w:rsid w:val="00A75D7B"/>
    <w:rsid w:val="00A75E9F"/>
    <w:rsid w:val="00A75FB2"/>
    <w:rsid w:val="00A7614F"/>
    <w:rsid w:val="00A762F6"/>
    <w:rsid w:val="00A764B8"/>
    <w:rsid w:val="00A76618"/>
    <w:rsid w:val="00A76AAA"/>
    <w:rsid w:val="00A76D58"/>
    <w:rsid w:val="00A76E95"/>
    <w:rsid w:val="00A77161"/>
    <w:rsid w:val="00A771AA"/>
    <w:rsid w:val="00A77216"/>
    <w:rsid w:val="00A77743"/>
    <w:rsid w:val="00A777DC"/>
    <w:rsid w:val="00A779B5"/>
    <w:rsid w:val="00A779E2"/>
    <w:rsid w:val="00A779FB"/>
    <w:rsid w:val="00A77B3C"/>
    <w:rsid w:val="00A80111"/>
    <w:rsid w:val="00A8051D"/>
    <w:rsid w:val="00A80595"/>
    <w:rsid w:val="00A8070A"/>
    <w:rsid w:val="00A807A1"/>
    <w:rsid w:val="00A80D36"/>
    <w:rsid w:val="00A80EC1"/>
    <w:rsid w:val="00A8107A"/>
    <w:rsid w:val="00A8120E"/>
    <w:rsid w:val="00A814E8"/>
    <w:rsid w:val="00A817AB"/>
    <w:rsid w:val="00A818BF"/>
    <w:rsid w:val="00A81ED2"/>
    <w:rsid w:val="00A82B07"/>
    <w:rsid w:val="00A82CBF"/>
    <w:rsid w:val="00A82F0C"/>
    <w:rsid w:val="00A83351"/>
    <w:rsid w:val="00A83485"/>
    <w:rsid w:val="00A838DB"/>
    <w:rsid w:val="00A838EE"/>
    <w:rsid w:val="00A8396D"/>
    <w:rsid w:val="00A83C9E"/>
    <w:rsid w:val="00A840AF"/>
    <w:rsid w:val="00A845A3"/>
    <w:rsid w:val="00A84783"/>
    <w:rsid w:val="00A849E1"/>
    <w:rsid w:val="00A84D83"/>
    <w:rsid w:val="00A84E27"/>
    <w:rsid w:val="00A85150"/>
    <w:rsid w:val="00A85317"/>
    <w:rsid w:val="00A8545A"/>
    <w:rsid w:val="00A855BA"/>
    <w:rsid w:val="00A857C1"/>
    <w:rsid w:val="00A85E04"/>
    <w:rsid w:val="00A86446"/>
    <w:rsid w:val="00A86CAC"/>
    <w:rsid w:val="00A86EB7"/>
    <w:rsid w:val="00A87079"/>
    <w:rsid w:val="00A87180"/>
    <w:rsid w:val="00A87529"/>
    <w:rsid w:val="00A87615"/>
    <w:rsid w:val="00A87BEB"/>
    <w:rsid w:val="00A87E3A"/>
    <w:rsid w:val="00A9001C"/>
    <w:rsid w:val="00A90640"/>
    <w:rsid w:val="00A90CE1"/>
    <w:rsid w:val="00A90E6E"/>
    <w:rsid w:val="00A91310"/>
    <w:rsid w:val="00A915E9"/>
    <w:rsid w:val="00A91ADA"/>
    <w:rsid w:val="00A91D43"/>
    <w:rsid w:val="00A91FF2"/>
    <w:rsid w:val="00A9209A"/>
    <w:rsid w:val="00A92933"/>
    <w:rsid w:val="00A92AB4"/>
    <w:rsid w:val="00A92B78"/>
    <w:rsid w:val="00A931D0"/>
    <w:rsid w:val="00A93B58"/>
    <w:rsid w:val="00A93DD2"/>
    <w:rsid w:val="00A94401"/>
    <w:rsid w:val="00A945CE"/>
    <w:rsid w:val="00A94D0E"/>
    <w:rsid w:val="00A956FC"/>
    <w:rsid w:val="00A957D0"/>
    <w:rsid w:val="00A95882"/>
    <w:rsid w:val="00A95A20"/>
    <w:rsid w:val="00A95B05"/>
    <w:rsid w:val="00A95B79"/>
    <w:rsid w:val="00A95BC6"/>
    <w:rsid w:val="00A95BDB"/>
    <w:rsid w:val="00A95D28"/>
    <w:rsid w:val="00A95D2A"/>
    <w:rsid w:val="00A95FE1"/>
    <w:rsid w:val="00A96525"/>
    <w:rsid w:val="00A9682E"/>
    <w:rsid w:val="00A96D62"/>
    <w:rsid w:val="00A97193"/>
    <w:rsid w:val="00A9741F"/>
    <w:rsid w:val="00A97464"/>
    <w:rsid w:val="00A97784"/>
    <w:rsid w:val="00A979B9"/>
    <w:rsid w:val="00A979C3"/>
    <w:rsid w:val="00A97B85"/>
    <w:rsid w:val="00AA0173"/>
    <w:rsid w:val="00AA02C5"/>
    <w:rsid w:val="00AA0758"/>
    <w:rsid w:val="00AA09B7"/>
    <w:rsid w:val="00AA0A42"/>
    <w:rsid w:val="00AA0CAD"/>
    <w:rsid w:val="00AA0FC4"/>
    <w:rsid w:val="00AA1310"/>
    <w:rsid w:val="00AA1D16"/>
    <w:rsid w:val="00AA1FDF"/>
    <w:rsid w:val="00AA2193"/>
    <w:rsid w:val="00AA2398"/>
    <w:rsid w:val="00AA252E"/>
    <w:rsid w:val="00AA2792"/>
    <w:rsid w:val="00AA3300"/>
    <w:rsid w:val="00AA3523"/>
    <w:rsid w:val="00AA360C"/>
    <w:rsid w:val="00AA37CD"/>
    <w:rsid w:val="00AA3CA5"/>
    <w:rsid w:val="00AA41FA"/>
    <w:rsid w:val="00AA4295"/>
    <w:rsid w:val="00AA452D"/>
    <w:rsid w:val="00AA4F11"/>
    <w:rsid w:val="00AA4F89"/>
    <w:rsid w:val="00AA5109"/>
    <w:rsid w:val="00AA5228"/>
    <w:rsid w:val="00AA53BC"/>
    <w:rsid w:val="00AA5C48"/>
    <w:rsid w:val="00AA5F6A"/>
    <w:rsid w:val="00AA6974"/>
    <w:rsid w:val="00AA6CCF"/>
    <w:rsid w:val="00AA6F1F"/>
    <w:rsid w:val="00AA74DA"/>
    <w:rsid w:val="00AA750E"/>
    <w:rsid w:val="00AA786A"/>
    <w:rsid w:val="00AA7C84"/>
    <w:rsid w:val="00AA7CF2"/>
    <w:rsid w:val="00AB017B"/>
    <w:rsid w:val="00AB065B"/>
    <w:rsid w:val="00AB0C20"/>
    <w:rsid w:val="00AB0C23"/>
    <w:rsid w:val="00AB0DB5"/>
    <w:rsid w:val="00AB1013"/>
    <w:rsid w:val="00AB1159"/>
    <w:rsid w:val="00AB11F9"/>
    <w:rsid w:val="00AB133C"/>
    <w:rsid w:val="00AB188D"/>
    <w:rsid w:val="00AB195B"/>
    <w:rsid w:val="00AB1C1D"/>
    <w:rsid w:val="00AB2023"/>
    <w:rsid w:val="00AB2096"/>
    <w:rsid w:val="00AB26AF"/>
    <w:rsid w:val="00AB26EE"/>
    <w:rsid w:val="00AB28D1"/>
    <w:rsid w:val="00AB2A76"/>
    <w:rsid w:val="00AB2BFC"/>
    <w:rsid w:val="00AB315D"/>
    <w:rsid w:val="00AB3223"/>
    <w:rsid w:val="00AB3992"/>
    <w:rsid w:val="00AB3AD5"/>
    <w:rsid w:val="00AB3FD8"/>
    <w:rsid w:val="00AB3FEB"/>
    <w:rsid w:val="00AB40D7"/>
    <w:rsid w:val="00AB410C"/>
    <w:rsid w:val="00AB4132"/>
    <w:rsid w:val="00AB4284"/>
    <w:rsid w:val="00AB4938"/>
    <w:rsid w:val="00AB4BF3"/>
    <w:rsid w:val="00AB51B7"/>
    <w:rsid w:val="00AB51FF"/>
    <w:rsid w:val="00AB54E8"/>
    <w:rsid w:val="00AB5560"/>
    <w:rsid w:val="00AB561B"/>
    <w:rsid w:val="00AB573E"/>
    <w:rsid w:val="00AB5B33"/>
    <w:rsid w:val="00AB5D66"/>
    <w:rsid w:val="00AB5FCE"/>
    <w:rsid w:val="00AB67CB"/>
    <w:rsid w:val="00AB6B7B"/>
    <w:rsid w:val="00AB6C1F"/>
    <w:rsid w:val="00AB705D"/>
    <w:rsid w:val="00AB70B2"/>
    <w:rsid w:val="00AB7115"/>
    <w:rsid w:val="00AB7B7F"/>
    <w:rsid w:val="00AB7F78"/>
    <w:rsid w:val="00AC0785"/>
    <w:rsid w:val="00AC07BF"/>
    <w:rsid w:val="00AC14A1"/>
    <w:rsid w:val="00AC15A7"/>
    <w:rsid w:val="00AC163C"/>
    <w:rsid w:val="00AC1705"/>
    <w:rsid w:val="00AC18B5"/>
    <w:rsid w:val="00AC18EB"/>
    <w:rsid w:val="00AC1C32"/>
    <w:rsid w:val="00AC1D67"/>
    <w:rsid w:val="00AC1D72"/>
    <w:rsid w:val="00AC1EC8"/>
    <w:rsid w:val="00AC1F1B"/>
    <w:rsid w:val="00AC1F83"/>
    <w:rsid w:val="00AC25E8"/>
    <w:rsid w:val="00AC33B0"/>
    <w:rsid w:val="00AC35DC"/>
    <w:rsid w:val="00AC3758"/>
    <w:rsid w:val="00AC3ECF"/>
    <w:rsid w:val="00AC42BC"/>
    <w:rsid w:val="00AC4488"/>
    <w:rsid w:val="00AC4F61"/>
    <w:rsid w:val="00AC51DE"/>
    <w:rsid w:val="00AC5422"/>
    <w:rsid w:val="00AC576E"/>
    <w:rsid w:val="00AC5ECC"/>
    <w:rsid w:val="00AC61C7"/>
    <w:rsid w:val="00AC6B4B"/>
    <w:rsid w:val="00AC6EDD"/>
    <w:rsid w:val="00AC6FCF"/>
    <w:rsid w:val="00AC7024"/>
    <w:rsid w:val="00AC70EF"/>
    <w:rsid w:val="00AC745F"/>
    <w:rsid w:val="00AC75A5"/>
    <w:rsid w:val="00AC781F"/>
    <w:rsid w:val="00AC7936"/>
    <w:rsid w:val="00AC7CC5"/>
    <w:rsid w:val="00AC7D36"/>
    <w:rsid w:val="00AC7F48"/>
    <w:rsid w:val="00AD040C"/>
    <w:rsid w:val="00AD0902"/>
    <w:rsid w:val="00AD0A01"/>
    <w:rsid w:val="00AD0A8D"/>
    <w:rsid w:val="00AD10C6"/>
    <w:rsid w:val="00AD13FC"/>
    <w:rsid w:val="00AD15D2"/>
    <w:rsid w:val="00AD1C02"/>
    <w:rsid w:val="00AD1F68"/>
    <w:rsid w:val="00AD2146"/>
    <w:rsid w:val="00AD21D9"/>
    <w:rsid w:val="00AD22C8"/>
    <w:rsid w:val="00AD267E"/>
    <w:rsid w:val="00AD279B"/>
    <w:rsid w:val="00AD2802"/>
    <w:rsid w:val="00AD2CC8"/>
    <w:rsid w:val="00AD2D2F"/>
    <w:rsid w:val="00AD2EEC"/>
    <w:rsid w:val="00AD2F05"/>
    <w:rsid w:val="00AD31C7"/>
    <w:rsid w:val="00AD3260"/>
    <w:rsid w:val="00AD3BDA"/>
    <w:rsid w:val="00AD40E6"/>
    <w:rsid w:val="00AD40E8"/>
    <w:rsid w:val="00AD46ED"/>
    <w:rsid w:val="00AD5198"/>
    <w:rsid w:val="00AD531B"/>
    <w:rsid w:val="00AD53B1"/>
    <w:rsid w:val="00AD53C9"/>
    <w:rsid w:val="00AD57B5"/>
    <w:rsid w:val="00AD5DD6"/>
    <w:rsid w:val="00AD6189"/>
    <w:rsid w:val="00AD643C"/>
    <w:rsid w:val="00AD6506"/>
    <w:rsid w:val="00AD68B3"/>
    <w:rsid w:val="00AD72AB"/>
    <w:rsid w:val="00AD7E1B"/>
    <w:rsid w:val="00AD7E91"/>
    <w:rsid w:val="00AE044A"/>
    <w:rsid w:val="00AE06A8"/>
    <w:rsid w:val="00AE097A"/>
    <w:rsid w:val="00AE0BCE"/>
    <w:rsid w:val="00AE0D38"/>
    <w:rsid w:val="00AE1203"/>
    <w:rsid w:val="00AE1278"/>
    <w:rsid w:val="00AE1D0D"/>
    <w:rsid w:val="00AE1FD8"/>
    <w:rsid w:val="00AE2094"/>
    <w:rsid w:val="00AE2212"/>
    <w:rsid w:val="00AE23C8"/>
    <w:rsid w:val="00AE247B"/>
    <w:rsid w:val="00AE2669"/>
    <w:rsid w:val="00AE2991"/>
    <w:rsid w:val="00AE2C86"/>
    <w:rsid w:val="00AE2ED1"/>
    <w:rsid w:val="00AE3457"/>
    <w:rsid w:val="00AE35A6"/>
    <w:rsid w:val="00AE4138"/>
    <w:rsid w:val="00AE41A7"/>
    <w:rsid w:val="00AE437E"/>
    <w:rsid w:val="00AE45C0"/>
    <w:rsid w:val="00AE465F"/>
    <w:rsid w:val="00AE497E"/>
    <w:rsid w:val="00AE4BAA"/>
    <w:rsid w:val="00AE51BD"/>
    <w:rsid w:val="00AE5466"/>
    <w:rsid w:val="00AE5974"/>
    <w:rsid w:val="00AE5CE8"/>
    <w:rsid w:val="00AE5FF6"/>
    <w:rsid w:val="00AE6003"/>
    <w:rsid w:val="00AE60A2"/>
    <w:rsid w:val="00AE678A"/>
    <w:rsid w:val="00AE69BB"/>
    <w:rsid w:val="00AE7068"/>
    <w:rsid w:val="00AE72BF"/>
    <w:rsid w:val="00AE7740"/>
    <w:rsid w:val="00AE7842"/>
    <w:rsid w:val="00AE7982"/>
    <w:rsid w:val="00AE7B11"/>
    <w:rsid w:val="00AE7C18"/>
    <w:rsid w:val="00AE7E22"/>
    <w:rsid w:val="00AF01CC"/>
    <w:rsid w:val="00AF0D5B"/>
    <w:rsid w:val="00AF0F1B"/>
    <w:rsid w:val="00AF147D"/>
    <w:rsid w:val="00AF1548"/>
    <w:rsid w:val="00AF16B0"/>
    <w:rsid w:val="00AF1775"/>
    <w:rsid w:val="00AF1A3F"/>
    <w:rsid w:val="00AF1A7D"/>
    <w:rsid w:val="00AF1BC3"/>
    <w:rsid w:val="00AF1E86"/>
    <w:rsid w:val="00AF1F85"/>
    <w:rsid w:val="00AF2096"/>
    <w:rsid w:val="00AF20DC"/>
    <w:rsid w:val="00AF2819"/>
    <w:rsid w:val="00AF2AD8"/>
    <w:rsid w:val="00AF2BAB"/>
    <w:rsid w:val="00AF318C"/>
    <w:rsid w:val="00AF38A6"/>
    <w:rsid w:val="00AF3A8B"/>
    <w:rsid w:val="00AF3C28"/>
    <w:rsid w:val="00AF3D59"/>
    <w:rsid w:val="00AF3D86"/>
    <w:rsid w:val="00AF3DFC"/>
    <w:rsid w:val="00AF3E82"/>
    <w:rsid w:val="00AF4390"/>
    <w:rsid w:val="00AF43D5"/>
    <w:rsid w:val="00AF4465"/>
    <w:rsid w:val="00AF4722"/>
    <w:rsid w:val="00AF496F"/>
    <w:rsid w:val="00AF4C46"/>
    <w:rsid w:val="00AF53EC"/>
    <w:rsid w:val="00AF5735"/>
    <w:rsid w:val="00AF5BEC"/>
    <w:rsid w:val="00AF6133"/>
    <w:rsid w:val="00AF6E04"/>
    <w:rsid w:val="00AF6FFB"/>
    <w:rsid w:val="00AF705A"/>
    <w:rsid w:val="00AF7709"/>
    <w:rsid w:val="00AF7A30"/>
    <w:rsid w:val="00AF7A61"/>
    <w:rsid w:val="00B005DE"/>
    <w:rsid w:val="00B00636"/>
    <w:rsid w:val="00B00E24"/>
    <w:rsid w:val="00B01049"/>
    <w:rsid w:val="00B01113"/>
    <w:rsid w:val="00B013B2"/>
    <w:rsid w:val="00B01413"/>
    <w:rsid w:val="00B014C3"/>
    <w:rsid w:val="00B014F7"/>
    <w:rsid w:val="00B01573"/>
    <w:rsid w:val="00B01650"/>
    <w:rsid w:val="00B01DFA"/>
    <w:rsid w:val="00B02157"/>
    <w:rsid w:val="00B02317"/>
    <w:rsid w:val="00B0236C"/>
    <w:rsid w:val="00B029BB"/>
    <w:rsid w:val="00B02A3F"/>
    <w:rsid w:val="00B02B31"/>
    <w:rsid w:val="00B02E4B"/>
    <w:rsid w:val="00B030A0"/>
    <w:rsid w:val="00B0339E"/>
    <w:rsid w:val="00B03468"/>
    <w:rsid w:val="00B03524"/>
    <w:rsid w:val="00B03A54"/>
    <w:rsid w:val="00B03CBD"/>
    <w:rsid w:val="00B03E60"/>
    <w:rsid w:val="00B04038"/>
    <w:rsid w:val="00B04235"/>
    <w:rsid w:val="00B04239"/>
    <w:rsid w:val="00B04ACC"/>
    <w:rsid w:val="00B04DE3"/>
    <w:rsid w:val="00B04E0D"/>
    <w:rsid w:val="00B04F73"/>
    <w:rsid w:val="00B04F9D"/>
    <w:rsid w:val="00B05342"/>
    <w:rsid w:val="00B0557D"/>
    <w:rsid w:val="00B05AC4"/>
    <w:rsid w:val="00B05BC5"/>
    <w:rsid w:val="00B05D97"/>
    <w:rsid w:val="00B06176"/>
    <w:rsid w:val="00B06450"/>
    <w:rsid w:val="00B06636"/>
    <w:rsid w:val="00B0684D"/>
    <w:rsid w:val="00B06D97"/>
    <w:rsid w:val="00B06FDB"/>
    <w:rsid w:val="00B070D1"/>
    <w:rsid w:val="00B0750B"/>
    <w:rsid w:val="00B07539"/>
    <w:rsid w:val="00B076D7"/>
    <w:rsid w:val="00B07CD1"/>
    <w:rsid w:val="00B10035"/>
    <w:rsid w:val="00B101D1"/>
    <w:rsid w:val="00B107C5"/>
    <w:rsid w:val="00B10BF8"/>
    <w:rsid w:val="00B10E92"/>
    <w:rsid w:val="00B10F6F"/>
    <w:rsid w:val="00B110AA"/>
    <w:rsid w:val="00B11131"/>
    <w:rsid w:val="00B11465"/>
    <w:rsid w:val="00B114B5"/>
    <w:rsid w:val="00B11AEC"/>
    <w:rsid w:val="00B11BEC"/>
    <w:rsid w:val="00B11D4B"/>
    <w:rsid w:val="00B12D4D"/>
    <w:rsid w:val="00B13182"/>
    <w:rsid w:val="00B1321D"/>
    <w:rsid w:val="00B13336"/>
    <w:rsid w:val="00B13715"/>
    <w:rsid w:val="00B13956"/>
    <w:rsid w:val="00B13B46"/>
    <w:rsid w:val="00B13B6B"/>
    <w:rsid w:val="00B13EEF"/>
    <w:rsid w:val="00B140F2"/>
    <w:rsid w:val="00B14213"/>
    <w:rsid w:val="00B14244"/>
    <w:rsid w:val="00B14D0F"/>
    <w:rsid w:val="00B15852"/>
    <w:rsid w:val="00B15C4C"/>
    <w:rsid w:val="00B15E9E"/>
    <w:rsid w:val="00B16965"/>
    <w:rsid w:val="00B16AA8"/>
    <w:rsid w:val="00B16AEF"/>
    <w:rsid w:val="00B1721E"/>
    <w:rsid w:val="00B173CC"/>
    <w:rsid w:val="00B1740D"/>
    <w:rsid w:val="00B176A6"/>
    <w:rsid w:val="00B177C7"/>
    <w:rsid w:val="00B17A51"/>
    <w:rsid w:val="00B17C8C"/>
    <w:rsid w:val="00B17EA7"/>
    <w:rsid w:val="00B2000C"/>
    <w:rsid w:val="00B20171"/>
    <w:rsid w:val="00B208DC"/>
    <w:rsid w:val="00B20B8F"/>
    <w:rsid w:val="00B20C19"/>
    <w:rsid w:val="00B20C62"/>
    <w:rsid w:val="00B21065"/>
    <w:rsid w:val="00B210F5"/>
    <w:rsid w:val="00B21545"/>
    <w:rsid w:val="00B217FE"/>
    <w:rsid w:val="00B2183F"/>
    <w:rsid w:val="00B21CFA"/>
    <w:rsid w:val="00B21DA3"/>
    <w:rsid w:val="00B21DB6"/>
    <w:rsid w:val="00B21F97"/>
    <w:rsid w:val="00B220ED"/>
    <w:rsid w:val="00B22286"/>
    <w:rsid w:val="00B222CB"/>
    <w:rsid w:val="00B22A6B"/>
    <w:rsid w:val="00B22CD8"/>
    <w:rsid w:val="00B22D1E"/>
    <w:rsid w:val="00B23626"/>
    <w:rsid w:val="00B2397E"/>
    <w:rsid w:val="00B23992"/>
    <w:rsid w:val="00B23A92"/>
    <w:rsid w:val="00B23E30"/>
    <w:rsid w:val="00B23F8F"/>
    <w:rsid w:val="00B23FE8"/>
    <w:rsid w:val="00B241C9"/>
    <w:rsid w:val="00B24239"/>
    <w:rsid w:val="00B24299"/>
    <w:rsid w:val="00B247FD"/>
    <w:rsid w:val="00B24838"/>
    <w:rsid w:val="00B2490E"/>
    <w:rsid w:val="00B24988"/>
    <w:rsid w:val="00B24A27"/>
    <w:rsid w:val="00B24C30"/>
    <w:rsid w:val="00B25131"/>
    <w:rsid w:val="00B251A7"/>
    <w:rsid w:val="00B255E6"/>
    <w:rsid w:val="00B25B40"/>
    <w:rsid w:val="00B25BCB"/>
    <w:rsid w:val="00B25F43"/>
    <w:rsid w:val="00B2644F"/>
    <w:rsid w:val="00B26A75"/>
    <w:rsid w:val="00B26B20"/>
    <w:rsid w:val="00B26C44"/>
    <w:rsid w:val="00B26DA7"/>
    <w:rsid w:val="00B27787"/>
    <w:rsid w:val="00B27A0E"/>
    <w:rsid w:val="00B27BAA"/>
    <w:rsid w:val="00B27DD9"/>
    <w:rsid w:val="00B27F44"/>
    <w:rsid w:val="00B30147"/>
    <w:rsid w:val="00B3091F"/>
    <w:rsid w:val="00B30BA5"/>
    <w:rsid w:val="00B31062"/>
    <w:rsid w:val="00B31A8E"/>
    <w:rsid w:val="00B31B0B"/>
    <w:rsid w:val="00B31DA7"/>
    <w:rsid w:val="00B3215C"/>
    <w:rsid w:val="00B3223C"/>
    <w:rsid w:val="00B3253C"/>
    <w:rsid w:val="00B32638"/>
    <w:rsid w:val="00B32689"/>
    <w:rsid w:val="00B32CFF"/>
    <w:rsid w:val="00B33E10"/>
    <w:rsid w:val="00B3400C"/>
    <w:rsid w:val="00B34153"/>
    <w:rsid w:val="00B343B0"/>
    <w:rsid w:val="00B345BB"/>
    <w:rsid w:val="00B34744"/>
    <w:rsid w:val="00B34CF1"/>
    <w:rsid w:val="00B351DC"/>
    <w:rsid w:val="00B352B9"/>
    <w:rsid w:val="00B35413"/>
    <w:rsid w:val="00B35560"/>
    <w:rsid w:val="00B359F6"/>
    <w:rsid w:val="00B35B36"/>
    <w:rsid w:val="00B35D9E"/>
    <w:rsid w:val="00B35EE2"/>
    <w:rsid w:val="00B3638E"/>
    <w:rsid w:val="00B36776"/>
    <w:rsid w:val="00B36848"/>
    <w:rsid w:val="00B36896"/>
    <w:rsid w:val="00B36977"/>
    <w:rsid w:val="00B36CFF"/>
    <w:rsid w:val="00B36F8C"/>
    <w:rsid w:val="00B377BA"/>
    <w:rsid w:val="00B37CAF"/>
    <w:rsid w:val="00B37D4B"/>
    <w:rsid w:val="00B37F4F"/>
    <w:rsid w:val="00B37F7C"/>
    <w:rsid w:val="00B400AD"/>
    <w:rsid w:val="00B4019F"/>
    <w:rsid w:val="00B404F3"/>
    <w:rsid w:val="00B40638"/>
    <w:rsid w:val="00B40816"/>
    <w:rsid w:val="00B408A7"/>
    <w:rsid w:val="00B408DC"/>
    <w:rsid w:val="00B40EA3"/>
    <w:rsid w:val="00B410BD"/>
    <w:rsid w:val="00B4117E"/>
    <w:rsid w:val="00B411BE"/>
    <w:rsid w:val="00B4135A"/>
    <w:rsid w:val="00B415F5"/>
    <w:rsid w:val="00B41902"/>
    <w:rsid w:val="00B41CA1"/>
    <w:rsid w:val="00B426AE"/>
    <w:rsid w:val="00B428C2"/>
    <w:rsid w:val="00B42BDE"/>
    <w:rsid w:val="00B430BD"/>
    <w:rsid w:val="00B436D0"/>
    <w:rsid w:val="00B43B60"/>
    <w:rsid w:val="00B43C7D"/>
    <w:rsid w:val="00B43CF9"/>
    <w:rsid w:val="00B43D8A"/>
    <w:rsid w:val="00B44054"/>
    <w:rsid w:val="00B4412C"/>
    <w:rsid w:val="00B448D5"/>
    <w:rsid w:val="00B448E8"/>
    <w:rsid w:val="00B448ED"/>
    <w:rsid w:val="00B44B49"/>
    <w:rsid w:val="00B44B67"/>
    <w:rsid w:val="00B45150"/>
    <w:rsid w:val="00B453B0"/>
    <w:rsid w:val="00B456D9"/>
    <w:rsid w:val="00B4580F"/>
    <w:rsid w:val="00B45AA7"/>
    <w:rsid w:val="00B45F41"/>
    <w:rsid w:val="00B4614A"/>
    <w:rsid w:val="00B4642F"/>
    <w:rsid w:val="00B4658B"/>
    <w:rsid w:val="00B467A8"/>
    <w:rsid w:val="00B46A0A"/>
    <w:rsid w:val="00B46A84"/>
    <w:rsid w:val="00B46E97"/>
    <w:rsid w:val="00B4763D"/>
    <w:rsid w:val="00B477A9"/>
    <w:rsid w:val="00B47C1C"/>
    <w:rsid w:val="00B47F9D"/>
    <w:rsid w:val="00B5023B"/>
    <w:rsid w:val="00B50A81"/>
    <w:rsid w:val="00B50C57"/>
    <w:rsid w:val="00B50C7E"/>
    <w:rsid w:val="00B50D20"/>
    <w:rsid w:val="00B50D82"/>
    <w:rsid w:val="00B50E49"/>
    <w:rsid w:val="00B50E60"/>
    <w:rsid w:val="00B5108E"/>
    <w:rsid w:val="00B510F3"/>
    <w:rsid w:val="00B513E9"/>
    <w:rsid w:val="00B5147E"/>
    <w:rsid w:val="00B51564"/>
    <w:rsid w:val="00B517D0"/>
    <w:rsid w:val="00B51880"/>
    <w:rsid w:val="00B5262B"/>
    <w:rsid w:val="00B527A8"/>
    <w:rsid w:val="00B52A87"/>
    <w:rsid w:val="00B531B0"/>
    <w:rsid w:val="00B53294"/>
    <w:rsid w:val="00B5337E"/>
    <w:rsid w:val="00B533B4"/>
    <w:rsid w:val="00B53467"/>
    <w:rsid w:val="00B53A2D"/>
    <w:rsid w:val="00B542B9"/>
    <w:rsid w:val="00B549F6"/>
    <w:rsid w:val="00B54BF2"/>
    <w:rsid w:val="00B54D85"/>
    <w:rsid w:val="00B550E4"/>
    <w:rsid w:val="00B5528E"/>
    <w:rsid w:val="00B552C5"/>
    <w:rsid w:val="00B55347"/>
    <w:rsid w:val="00B55422"/>
    <w:rsid w:val="00B55D41"/>
    <w:rsid w:val="00B55D8C"/>
    <w:rsid w:val="00B5657E"/>
    <w:rsid w:val="00B56E17"/>
    <w:rsid w:val="00B5716D"/>
    <w:rsid w:val="00B57223"/>
    <w:rsid w:val="00B5731F"/>
    <w:rsid w:val="00B573B6"/>
    <w:rsid w:val="00B57C3F"/>
    <w:rsid w:val="00B57E36"/>
    <w:rsid w:val="00B6035F"/>
    <w:rsid w:val="00B6072D"/>
    <w:rsid w:val="00B60D3C"/>
    <w:rsid w:val="00B60D63"/>
    <w:rsid w:val="00B6119F"/>
    <w:rsid w:val="00B61335"/>
    <w:rsid w:val="00B613AE"/>
    <w:rsid w:val="00B6153B"/>
    <w:rsid w:val="00B6193B"/>
    <w:rsid w:val="00B61E80"/>
    <w:rsid w:val="00B6206B"/>
    <w:rsid w:val="00B62E76"/>
    <w:rsid w:val="00B6313C"/>
    <w:rsid w:val="00B6385A"/>
    <w:rsid w:val="00B63C16"/>
    <w:rsid w:val="00B63CB5"/>
    <w:rsid w:val="00B63DFE"/>
    <w:rsid w:val="00B63E2F"/>
    <w:rsid w:val="00B64303"/>
    <w:rsid w:val="00B6431E"/>
    <w:rsid w:val="00B648C1"/>
    <w:rsid w:val="00B649C9"/>
    <w:rsid w:val="00B64BCA"/>
    <w:rsid w:val="00B64D1B"/>
    <w:rsid w:val="00B6525D"/>
    <w:rsid w:val="00B660E9"/>
    <w:rsid w:val="00B66135"/>
    <w:rsid w:val="00B661A5"/>
    <w:rsid w:val="00B6637C"/>
    <w:rsid w:val="00B663F7"/>
    <w:rsid w:val="00B667D5"/>
    <w:rsid w:val="00B66A95"/>
    <w:rsid w:val="00B66D46"/>
    <w:rsid w:val="00B66F13"/>
    <w:rsid w:val="00B673F9"/>
    <w:rsid w:val="00B67685"/>
    <w:rsid w:val="00B6769B"/>
    <w:rsid w:val="00B67869"/>
    <w:rsid w:val="00B70070"/>
    <w:rsid w:val="00B7015B"/>
    <w:rsid w:val="00B70917"/>
    <w:rsid w:val="00B70C53"/>
    <w:rsid w:val="00B70D88"/>
    <w:rsid w:val="00B70F5E"/>
    <w:rsid w:val="00B714C7"/>
    <w:rsid w:val="00B7160D"/>
    <w:rsid w:val="00B71A0C"/>
    <w:rsid w:val="00B71E23"/>
    <w:rsid w:val="00B71F1E"/>
    <w:rsid w:val="00B71F5D"/>
    <w:rsid w:val="00B7208A"/>
    <w:rsid w:val="00B7214A"/>
    <w:rsid w:val="00B72D75"/>
    <w:rsid w:val="00B73A00"/>
    <w:rsid w:val="00B742B4"/>
    <w:rsid w:val="00B743C9"/>
    <w:rsid w:val="00B7497A"/>
    <w:rsid w:val="00B74BC5"/>
    <w:rsid w:val="00B74CB1"/>
    <w:rsid w:val="00B74E44"/>
    <w:rsid w:val="00B74EE1"/>
    <w:rsid w:val="00B751B8"/>
    <w:rsid w:val="00B751CC"/>
    <w:rsid w:val="00B75608"/>
    <w:rsid w:val="00B7581D"/>
    <w:rsid w:val="00B75C78"/>
    <w:rsid w:val="00B75E8D"/>
    <w:rsid w:val="00B76568"/>
    <w:rsid w:val="00B769C6"/>
    <w:rsid w:val="00B76F2D"/>
    <w:rsid w:val="00B77209"/>
    <w:rsid w:val="00B7773E"/>
    <w:rsid w:val="00B77AB2"/>
    <w:rsid w:val="00B77E13"/>
    <w:rsid w:val="00B77E5E"/>
    <w:rsid w:val="00B77EF6"/>
    <w:rsid w:val="00B80003"/>
    <w:rsid w:val="00B80008"/>
    <w:rsid w:val="00B805AE"/>
    <w:rsid w:val="00B80723"/>
    <w:rsid w:val="00B807B8"/>
    <w:rsid w:val="00B807E5"/>
    <w:rsid w:val="00B80F68"/>
    <w:rsid w:val="00B810D6"/>
    <w:rsid w:val="00B8119F"/>
    <w:rsid w:val="00B81241"/>
    <w:rsid w:val="00B81771"/>
    <w:rsid w:val="00B81930"/>
    <w:rsid w:val="00B819B1"/>
    <w:rsid w:val="00B81CD5"/>
    <w:rsid w:val="00B81F67"/>
    <w:rsid w:val="00B820B8"/>
    <w:rsid w:val="00B820EB"/>
    <w:rsid w:val="00B8233F"/>
    <w:rsid w:val="00B82398"/>
    <w:rsid w:val="00B8261F"/>
    <w:rsid w:val="00B82B94"/>
    <w:rsid w:val="00B82F88"/>
    <w:rsid w:val="00B8302B"/>
    <w:rsid w:val="00B833C9"/>
    <w:rsid w:val="00B8362A"/>
    <w:rsid w:val="00B83D46"/>
    <w:rsid w:val="00B8414C"/>
    <w:rsid w:val="00B845E2"/>
    <w:rsid w:val="00B8488B"/>
    <w:rsid w:val="00B84980"/>
    <w:rsid w:val="00B84BDB"/>
    <w:rsid w:val="00B84BDD"/>
    <w:rsid w:val="00B84C05"/>
    <w:rsid w:val="00B84FE6"/>
    <w:rsid w:val="00B856CD"/>
    <w:rsid w:val="00B85EA4"/>
    <w:rsid w:val="00B863A7"/>
    <w:rsid w:val="00B8662D"/>
    <w:rsid w:val="00B8695D"/>
    <w:rsid w:val="00B86AAE"/>
    <w:rsid w:val="00B86D4B"/>
    <w:rsid w:val="00B86E25"/>
    <w:rsid w:val="00B87374"/>
    <w:rsid w:val="00B87487"/>
    <w:rsid w:val="00B879BA"/>
    <w:rsid w:val="00B87BDE"/>
    <w:rsid w:val="00B87CF7"/>
    <w:rsid w:val="00B90087"/>
    <w:rsid w:val="00B90332"/>
    <w:rsid w:val="00B907DA"/>
    <w:rsid w:val="00B909D0"/>
    <w:rsid w:val="00B909F4"/>
    <w:rsid w:val="00B90B05"/>
    <w:rsid w:val="00B90B71"/>
    <w:rsid w:val="00B90CE1"/>
    <w:rsid w:val="00B90CEC"/>
    <w:rsid w:val="00B90E9E"/>
    <w:rsid w:val="00B9130E"/>
    <w:rsid w:val="00B9137F"/>
    <w:rsid w:val="00B913EA"/>
    <w:rsid w:val="00B9144C"/>
    <w:rsid w:val="00B91E13"/>
    <w:rsid w:val="00B91F1B"/>
    <w:rsid w:val="00B9207F"/>
    <w:rsid w:val="00B92182"/>
    <w:rsid w:val="00B922CD"/>
    <w:rsid w:val="00B92641"/>
    <w:rsid w:val="00B928AE"/>
    <w:rsid w:val="00B9295B"/>
    <w:rsid w:val="00B92EB0"/>
    <w:rsid w:val="00B93764"/>
    <w:rsid w:val="00B93A1D"/>
    <w:rsid w:val="00B93A8A"/>
    <w:rsid w:val="00B93AC4"/>
    <w:rsid w:val="00B93DE5"/>
    <w:rsid w:val="00B9406A"/>
    <w:rsid w:val="00B9407A"/>
    <w:rsid w:val="00B94778"/>
    <w:rsid w:val="00B948ED"/>
    <w:rsid w:val="00B94AD2"/>
    <w:rsid w:val="00B94D42"/>
    <w:rsid w:val="00B96072"/>
    <w:rsid w:val="00B963CA"/>
    <w:rsid w:val="00B96420"/>
    <w:rsid w:val="00B965F8"/>
    <w:rsid w:val="00B966B4"/>
    <w:rsid w:val="00B96EC0"/>
    <w:rsid w:val="00B96FAF"/>
    <w:rsid w:val="00B97453"/>
    <w:rsid w:val="00B9764C"/>
    <w:rsid w:val="00B9770A"/>
    <w:rsid w:val="00B9786D"/>
    <w:rsid w:val="00B97A2B"/>
    <w:rsid w:val="00BA004C"/>
    <w:rsid w:val="00BA02CE"/>
    <w:rsid w:val="00BA030D"/>
    <w:rsid w:val="00BA0374"/>
    <w:rsid w:val="00BA0478"/>
    <w:rsid w:val="00BA049D"/>
    <w:rsid w:val="00BA0578"/>
    <w:rsid w:val="00BA05C0"/>
    <w:rsid w:val="00BA0959"/>
    <w:rsid w:val="00BA0B2C"/>
    <w:rsid w:val="00BA119F"/>
    <w:rsid w:val="00BA1233"/>
    <w:rsid w:val="00BA1EC5"/>
    <w:rsid w:val="00BA1FAF"/>
    <w:rsid w:val="00BA236F"/>
    <w:rsid w:val="00BA23E1"/>
    <w:rsid w:val="00BA24A1"/>
    <w:rsid w:val="00BA270F"/>
    <w:rsid w:val="00BA3229"/>
    <w:rsid w:val="00BA32C0"/>
    <w:rsid w:val="00BA350F"/>
    <w:rsid w:val="00BA3CAD"/>
    <w:rsid w:val="00BA3E59"/>
    <w:rsid w:val="00BA40FE"/>
    <w:rsid w:val="00BA42F5"/>
    <w:rsid w:val="00BA4685"/>
    <w:rsid w:val="00BA4689"/>
    <w:rsid w:val="00BA47FE"/>
    <w:rsid w:val="00BA4ACD"/>
    <w:rsid w:val="00BA4B16"/>
    <w:rsid w:val="00BA4C3D"/>
    <w:rsid w:val="00BA50F2"/>
    <w:rsid w:val="00BA576E"/>
    <w:rsid w:val="00BA57F8"/>
    <w:rsid w:val="00BA5D48"/>
    <w:rsid w:val="00BA61CE"/>
    <w:rsid w:val="00BA6495"/>
    <w:rsid w:val="00BA678A"/>
    <w:rsid w:val="00BA6E8B"/>
    <w:rsid w:val="00BA7ADD"/>
    <w:rsid w:val="00BA7B9D"/>
    <w:rsid w:val="00BA7BBD"/>
    <w:rsid w:val="00BA7D1D"/>
    <w:rsid w:val="00BB027F"/>
    <w:rsid w:val="00BB0287"/>
    <w:rsid w:val="00BB02D0"/>
    <w:rsid w:val="00BB0601"/>
    <w:rsid w:val="00BB0980"/>
    <w:rsid w:val="00BB0D72"/>
    <w:rsid w:val="00BB10F5"/>
    <w:rsid w:val="00BB119E"/>
    <w:rsid w:val="00BB1202"/>
    <w:rsid w:val="00BB14A9"/>
    <w:rsid w:val="00BB16C5"/>
    <w:rsid w:val="00BB19D6"/>
    <w:rsid w:val="00BB1A98"/>
    <w:rsid w:val="00BB1CE7"/>
    <w:rsid w:val="00BB231A"/>
    <w:rsid w:val="00BB26F3"/>
    <w:rsid w:val="00BB292F"/>
    <w:rsid w:val="00BB2C0E"/>
    <w:rsid w:val="00BB2D27"/>
    <w:rsid w:val="00BB2F52"/>
    <w:rsid w:val="00BB3475"/>
    <w:rsid w:val="00BB38F6"/>
    <w:rsid w:val="00BB3B00"/>
    <w:rsid w:val="00BB3B10"/>
    <w:rsid w:val="00BB3C58"/>
    <w:rsid w:val="00BB3CF5"/>
    <w:rsid w:val="00BB3D4A"/>
    <w:rsid w:val="00BB3F64"/>
    <w:rsid w:val="00BB4361"/>
    <w:rsid w:val="00BB448E"/>
    <w:rsid w:val="00BB455F"/>
    <w:rsid w:val="00BB457C"/>
    <w:rsid w:val="00BB45EA"/>
    <w:rsid w:val="00BB46B7"/>
    <w:rsid w:val="00BB46F7"/>
    <w:rsid w:val="00BB4BFA"/>
    <w:rsid w:val="00BB4DE7"/>
    <w:rsid w:val="00BB4F1F"/>
    <w:rsid w:val="00BB509D"/>
    <w:rsid w:val="00BB53DD"/>
    <w:rsid w:val="00BB5698"/>
    <w:rsid w:val="00BB5939"/>
    <w:rsid w:val="00BB6A3C"/>
    <w:rsid w:val="00BB6D76"/>
    <w:rsid w:val="00BB745C"/>
    <w:rsid w:val="00BB79CF"/>
    <w:rsid w:val="00BC0096"/>
    <w:rsid w:val="00BC0CC6"/>
    <w:rsid w:val="00BC0F2A"/>
    <w:rsid w:val="00BC13D7"/>
    <w:rsid w:val="00BC18AF"/>
    <w:rsid w:val="00BC18EB"/>
    <w:rsid w:val="00BC1930"/>
    <w:rsid w:val="00BC1ECB"/>
    <w:rsid w:val="00BC20C6"/>
    <w:rsid w:val="00BC21FE"/>
    <w:rsid w:val="00BC2349"/>
    <w:rsid w:val="00BC265C"/>
    <w:rsid w:val="00BC2999"/>
    <w:rsid w:val="00BC29F4"/>
    <w:rsid w:val="00BC3194"/>
    <w:rsid w:val="00BC346E"/>
    <w:rsid w:val="00BC35BB"/>
    <w:rsid w:val="00BC4628"/>
    <w:rsid w:val="00BC4C74"/>
    <w:rsid w:val="00BC4E19"/>
    <w:rsid w:val="00BC4EA1"/>
    <w:rsid w:val="00BC50AA"/>
    <w:rsid w:val="00BC54FA"/>
    <w:rsid w:val="00BC56B6"/>
    <w:rsid w:val="00BC5864"/>
    <w:rsid w:val="00BC6099"/>
    <w:rsid w:val="00BC61E1"/>
    <w:rsid w:val="00BC68EF"/>
    <w:rsid w:val="00BC691C"/>
    <w:rsid w:val="00BC6B16"/>
    <w:rsid w:val="00BC6B37"/>
    <w:rsid w:val="00BC6CC4"/>
    <w:rsid w:val="00BC6FC3"/>
    <w:rsid w:val="00BC72FB"/>
    <w:rsid w:val="00BC7928"/>
    <w:rsid w:val="00BC7CF9"/>
    <w:rsid w:val="00BC7FCB"/>
    <w:rsid w:val="00BD0388"/>
    <w:rsid w:val="00BD0883"/>
    <w:rsid w:val="00BD0A53"/>
    <w:rsid w:val="00BD1519"/>
    <w:rsid w:val="00BD1D43"/>
    <w:rsid w:val="00BD1F29"/>
    <w:rsid w:val="00BD20E7"/>
    <w:rsid w:val="00BD24D7"/>
    <w:rsid w:val="00BD2973"/>
    <w:rsid w:val="00BD29EF"/>
    <w:rsid w:val="00BD2A49"/>
    <w:rsid w:val="00BD2F8E"/>
    <w:rsid w:val="00BD30D2"/>
    <w:rsid w:val="00BD364E"/>
    <w:rsid w:val="00BD3B89"/>
    <w:rsid w:val="00BD3C9E"/>
    <w:rsid w:val="00BD3E96"/>
    <w:rsid w:val="00BD3F75"/>
    <w:rsid w:val="00BD41A1"/>
    <w:rsid w:val="00BD4585"/>
    <w:rsid w:val="00BD4714"/>
    <w:rsid w:val="00BD4735"/>
    <w:rsid w:val="00BD4A9D"/>
    <w:rsid w:val="00BD4D88"/>
    <w:rsid w:val="00BD4FF1"/>
    <w:rsid w:val="00BD507F"/>
    <w:rsid w:val="00BD5335"/>
    <w:rsid w:val="00BD5408"/>
    <w:rsid w:val="00BD5563"/>
    <w:rsid w:val="00BD56D5"/>
    <w:rsid w:val="00BD5B6B"/>
    <w:rsid w:val="00BD5D98"/>
    <w:rsid w:val="00BD6043"/>
    <w:rsid w:val="00BD62C8"/>
    <w:rsid w:val="00BD62DC"/>
    <w:rsid w:val="00BD6357"/>
    <w:rsid w:val="00BD6646"/>
    <w:rsid w:val="00BD66EC"/>
    <w:rsid w:val="00BD6A91"/>
    <w:rsid w:val="00BD6FC1"/>
    <w:rsid w:val="00BD6FF5"/>
    <w:rsid w:val="00BD710E"/>
    <w:rsid w:val="00BD79E0"/>
    <w:rsid w:val="00BD7CE8"/>
    <w:rsid w:val="00BD7D55"/>
    <w:rsid w:val="00BE0070"/>
    <w:rsid w:val="00BE038A"/>
    <w:rsid w:val="00BE04CF"/>
    <w:rsid w:val="00BE0768"/>
    <w:rsid w:val="00BE1400"/>
    <w:rsid w:val="00BE1F5A"/>
    <w:rsid w:val="00BE25AA"/>
    <w:rsid w:val="00BE2672"/>
    <w:rsid w:val="00BE2B1E"/>
    <w:rsid w:val="00BE2B90"/>
    <w:rsid w:val="00BE2FCF"/>
    <w:rsid w:val="00BE3114"/>
    <w:rsid w:val="00BE315D"/>
    <w:rsid w:val="00BE32B3"/>
    <w:rsid w:val="00BE3524"/>
    <w:rsid w:val="00BE37DE"/>
    <w:rsid w:val="00BE3FBF"/>
    <w:rsid w:val="00BE410A"/>
    <w:rsid w:val="00BE4178"/>
    <w:rsid w:val="00BE418F"/>
    <w:rsid w:val="00BE4393"/>
    <w:rsid w:val="00BE4401"/>
    <w:rsid w:val="00BE4458"/>
    <w:rsid w:val="00BE44F4"/>
    <w:rsid w:val="00BE460B"/>
    <w:rsid w:val="00BE46B1"/>
    <w:rsid w:val="00BE472E"/>
    <w:rsid w:val="00BE4C23"/>
    <w:rsid w:val="00BE4FF4"/>
    <w:rsid w:val="00BE50A0"/>
    <w:rsid w:val="00BE5132"/>
    <w:rsid w:val="00BE5886"/>
    <w:rsid w:val="00BE58FB"/>
    <w:rsid w:val="00BE5A16"/>
    <w:rsid w:val="00BE5DCA"/>
    <w:rsid w:val="00BE6736"/>
    <w:rsid w:val="00BE67E2"/>
    <w:rsid w:val="00BE6C48"/>
    <w:rsid w:val="00BE76FA"/>
    <w:rsid w:val="00BE7988"/>
    <w:rsid w:val="00BE7A70"/>
    <w:rsid w:val="00BE7AAE"/>
    <w:rsid w:val="00BE7B6A"/>
    <w:rsid w:val="00BE7E5D"/>
    <w:rsid w:val="00BE7E71"/>
    <w:rsid w:val="00BE7F53"/>
    <w:rsid w:val="00BF06B1"/>
    <w:rsid w:val="00BF0C1A"/>
    <w:rsid w:val="00BF102B"/>
    <w:rsid w:val="00BF1463"/>
    <w:rsid w:val="00BF1502"/>
    <w:rsid w:val="00BF160F"/>
    <w:rsid w:val="00BF16AA"/>
    <w:rsid w:val="00BF179D"/>
    <w:rsid w:val="00BF1892"/>
    <w:rsid w:val="00BF1987"/>
    <w:rsid w:val="00BF20FB"/>
    <w:rsid w:val="00BF2104"/>
    <w:rsid w:val="00BF218F"/>
    <w:rsid w:val="00BF2529"/>
    <w:rsid w:val="00BF29B2"/>
    <w:rsid w:val="00BF2B23"/>
    <w:rsid w:val="00BF2E13"/>
    <w:rsid w:val="00BF30B8"/>
    <w:rsid w:val="00BF30BB"/>
    <w:rsid w:val="00BF30BF"/>
    <w:rsid w:val="00BF367D"/>
    <w:rsid w:val="00BF36A3"/>
    <w:rsid w:val="00BF3DBD"/>
    <w:rsid w:val="00BF3DF3"/>
    <w:rsid w:val="00BF46BE"/>
    <w:rsid w:val="00BF4869"/>
    <w:rsid w:val="00BF4B17"/>
    <w:rsid w:val="00BF5098"/>
    <w:rsid w:val="00BF5121"/>
    <w:rsid w:val="00BF56F9"/>
    <w:rsid w:val="00BF58A0"/>
    <w:rsid w:val="00BF5CEC"/>
    <w:rsid w:val="00BF6367"/>
    <w:rsid w:val="00BF6412"/>
    <w:rsid w:val="00BF6470"/>
    <w:rsid w:val="00BF69C6"/>
    <w:rsid w:val="00BF6A60"/>
    <w:rsid w:val="00BF7820"/>
    <w:rsid w:val="00BF798E"/>
    <w:rsid w:val="00BF7C7E"/>
    <w:rsid w:val="00BF7CD8"/>
    <w:rsid w:val="00BF7E17"/>
    <w:rsid w:val="00BF7E44"/>
    <w:rsid w:val="00BF7F10"/>
    <w:rsid w:val="00C0003A"/>
    <w:rsid w:val="00C00349"/>
    <w:rsid w:val="00C00449"/>
    <w:rsid w:val="00C005CA"/>
    <w:rsid w:val="00C00B4E"/>
    <w:rsid w:val="00C00FD8"/>
    <w:rsid w:val="00C0113B"/>
    <w:rsid w:val="00C01250"/>
    <w:rsid w:val="00C01542"/>
    <w:rsid w:val="00C01609"/>
    <w:rsid w:val="00C0293F"/>
    <w:rsid w:val="00C02BAC"/>
    <w:rsid w:val="00C02CAE"/>
    <w:rsid w:val="00C02D43"/>
    <w:rsid w:val="00C031B1"/>
    <w:rsid w:val="00C031BE"/>
    <w:rsid w:val="00C032C9"/>
    <w:rsid w:val="00C033B0"/>
    <w:rsid w:val="00C034F6"/>
    <w:rsid w:val="00C03B19"/>
    <w:rsid w:val="00C03D1A"/>
    <w:rsid w:val="00C0401D"/>
    <w:rsid w:val="00C04332"/>
    <w:rsid w:val="00C045B1"/>
    <w:rsid w:val="00C0480E"/>
    <w:rsid w:val="00C0492C"/>
    <w:rsid w:val="00C04DAF"/>
    <w:rsid w:val="00C04F91"/>
    <w:rsid w:val="00C0506E"/>
    <w:rsid w:val="00C0543F"/>
    <w:rsid w:val="00C05486"/>
    <w:rsid w:val="00C058A4"/>
    <w:rsid w:val="00C05918"/>
    <w:rsid w:val="00C05C86"/>
    <w:rsid w:val="00C05D42"/>
    <w:rsid w:val="00C05E2B"/>
    <w:rsid w:val="00C0606D"/>
    <w:rsid w:val="00C06464"/>
    <w:rsid w:val="00C071FA"/>
    <w:rsid w:val="00C07AF0"/>
    <w:rsid w:val="00C07BBD"/>
    <w:rsid w:val="00C07C37"/>
    <w:rsid w:val="00C07C82"/>
    <w:rsid w:val="00C07CD4"/>
    <w:rsid w:val="00C1011F"/>
    <w:rsid w:val="00C10A94"/>
    <w:rsid w:val="00C10F2F"/>
    <w:rsid w:val="00C1168A"/>
    <w:rsid w:val="00C118B2"/>
    <w:rsid w:val="00C11FE0"/>
    <w:rsid w:val="00C12660"/>
    <w:rsid w:val="00C12745"/>
    <w:rsid w:val="00C127D8"/>
    <w:rsid w:val="00C12C83"/>
    <w:rsid w:val="00C12F1E"/>
    <w:rsid w:val="00C13270"/>
    <w:rsid w:val="00C1338D"/>
    <w:rsid w:val="00C13563"/>
    <w:rsid w:val="00C137E2"/>
    <w:rsid w:val="00C13B1F"/>
    <w:rsid w:val="00C13D24"/>
    <w:rsid w:val="00C13D84"/>
    <w:rsid w:val="00C13FDE"/>
    <w:rsid w:val="00C14167"/>
    <w:rsid w:val="00C14882"/>
    <w:rsid w:val="00C14A6B"/>
    <w:rsid w:val="00C14E18"/>
    <w:rsid w:val="00C154CB"/>
    <w:rsid w:val="00C154F6"/>
    <w:rsid w:val="00C15571"/>
    <w:rsid w:val="00C1579E"/>
    <w:rsid w:val="00C15D20"/>
    <w:rsid w:val="00C15E55"/>
    <w:rsid w:val="00C15F78"/>
    <w:rsid w:val="00C1605B"/>
    <w:rsid w:val="00C160FA"/>
    <w:rsid w:val="00C164B9"/>
    <w:rsid w:val="00C1665F"/>
    <w:rsid w:val="00C166D6"/>
    <w:rsid w:val="00C16B24"/>
    <w:rsid w:val="00C16D7F"/>
    <w:rsid w:val="00C16E00"/>
    <w:rsid w:val="00C16E9C"/>
    <w:rsid w:val="00C1706C"/>
    <w:rsid w:val="00C173CA"/>
    <w:rsid w:val="00C1748D"/>
    <w:rsid w:val="00C179C4"/>
    <w:rsid w:val="00C17BB0"/>
    <w:rsid w:val="00C17D87"/>
    <w:rsid w:val="00C2008D"/>
    <w:rsid w:val="00C201D5"/>
    <w:rsid w:val="00C20441"/>
    <w:rsid w:val="00C205AE"/>
    <w:rsid w:val="00C2068E"/>
    <w:rsid w:val="00C2073C"/>
    <w:rsid w:val="00C207C8"/>
    <w:rsid w:val="00C20AED"/>
    <w:rsid w:val="00C20B1A"/>
    <w:rsid w:val="00C20B20"/>
    <w:rsid w:val="00C20C9B"/>
    <w:rsid w:val="00C20EF2"/>
    <w:rsid w:val="00C2100F"/>
    <w:rsid w:val="00C210A0"/>
    <w:rsid w:val="00C212DC"/>
    <w:rsid w:val="00C2137D"/>
    <w:rsid w:val="00C219A5"/>
    <w:rsid w:val="00C21E5C"/>
    <w:rsid w:val="00C220F0"/>
    <w:rsid w:val="00C221A1"/>
    <w:rsid w:val="00C22602"/>
    <w:rsid w:val="00C22B66"/>
    <w:rsid w:val="00C22CF4"/>
    <w:rsid w:val="00C22CF9"/>
    <w:rsid w:val="00C231DD"/>
    <w:rsid w:val="00C235E9"/>
    <w:rsid w:val="00C2366A"/>
    <w:rsid w:val="00C2369E"/>
    <w:rsid w:val="00C23868"/>
    <w:rsid w:val="00C23A69"/>
    <w:rsid w:val="00C23BF0"/>
    <w:rsid w:val="00C23E13"/>
    <w:rsid w:val="00C2453C"/>
    <w:rsid w:val="00C2485F"/>
    <w:rsid w:val="00C24A54"/>
    <w:rsid w:val="00C24C41"/>
    <w:rsid w:val="00C251B0"/>
    <w:rsid w:val="00C2525C"/>
    <w:rsid w:val="00C255E7"/>
    <w:rsid w:val="00C2595F"/>
    <w:rsid w:val="00C261A3"/>
    <w:rsid w:val="00C26300"/>
    <w:rsid w:val="00C26509"/>
    <w:rsid w:val="00C265D8"/>
    <w:rsid w:val="00C26863"/>
    <w:rsid w:val="00C26A49"/>
    <w:rsid w:val="00C26DF7"/>
    <w:rsid w:val="00C26E5B"/>
    <w:rsid w:val="00C27266"/>
    <w:rsid w:val="00C27674"/>
    <w:rsid w:val="00C27DFD"/>
    <w:rsid w:val="00C30436"/>
    <w:rsid w:val="00C30875"/>
    <w:rsid w:val="00C30934"/>
    <w:rsid w:val="00C30ADF"/>
    <w:rsid w:val="00C313D7"/>
    <w:rsid w:val="00C314DF"/>
    <w:rsid w:val="00C31581"/>
    <w:rsid w:val="00C317F0"/>
    <w:rsid w:val="00C31EBE"/>
    <w:rsid w:val="00C32076"/>
    <w:rsid w:val="00C321D9"/>
    <w:rsid w:val="00C323BD"/>
    <w:rsid w:val="00C323F7"/>
    <w:rsid w:val="00C32A0F"/>
    <w:rsid w:val="00C32B5F"/>
    <w:rsid w:val="00C32D16"/>
    <w:rsid w:val="00C32F81"/>
    <w:rsid w:val="00C33058"/>
    <w:rsid w:val="00C33083"/>
    <w:rsid w:val="00C33683"/>
    <w:rsid w:val="00C33719"/>
    <w:rsid w:val="00C33845"/>
    <w:rsid w:val="00C33979"/>
    <w:rsid w:val="00C33A07"/>
    <w:rsid w:val="00C33E87"/>
    <w:rsid w:val="00C342DA"/>
    <w:rsid w:val="00C3468D"/>
    <w:rsid w:val="00C34795"/>
    <w:rsid w:val="00C34BD8"/>
    <w:rsid w:val="00C34E24"/>
    <w:rsid w:val="00C34EB8"/>
    <w:rsid w:val="00C35295"/>
    <w:rsid w:val="00C35358"/>
    <w:rsid w:val="00C35369"/>
    <w:rsid w:val="00C3556F"/>
    <w:rsid w:val="00C356DC"/>
    <w:rsid w:val="00C359C7"/>
    <w:rsid w:val="00C35B14"/>
    <w:rsid w:val="00C35BD7"/>
    <w:rsid w:val="00C35C9F"/>
    <w:rsid w:val="00C35ED6"/>
    <w:rsid w:val="00C36037"/>
    <w:rsid w:val="00C36517"/>
    <w:rsid w:val="00C36596"/>
    <w:rsid w:val="00C365C0"/>
    <w:rsid w:val="00C36C2B"/>
    <w:rsid w:val="00C36C89"/>
    <w:rsid w:val="00C37084"/>
    <w:rsid w:val="00C370AC"/>
    <w:rsid w:val="00C3755D"/>
    <w:rsid w:val="00C376B8"/>
    <w:rsid w:val="00C377F7"/>
    <w:rsid w:val="00C37957"/>
    <w:rsid w:val="00C379B8"/>
    <w:rsid w:val="00C4048E"/>
    <w:rsid w:val="00C4053F"/>
    <w:rsid w:val="00C40646"/>
    <w:rsid w:val="00C4078F"/>
    <w:rsid w:val="00C40DF8"/>
    <w:rsid w:val="00C410E8"/>
    <w:rsid w:val="00C4132F"/>
    <w:rsid w:val="00C4156F"/>
    <w:rsid w:val="00C417F3"/>
    <w:rsid w:val="00C41A0C"/>
    <w:rsid w:val="00C41E27"/>
    <w:rsid w:val="00C421C0"/>
    <w:rsid w:val="00C42374"/>
    <w:rsid w:val="00C4238F"/>
    <w:rsid w:val="00C423A6"/>
    <w:rsid w:val="00C42560"/>
    <w:rsid w:val="00C4280B"/>
    <w:rsid w:val="00C42E3C"/>
    <w:rsid w:val="00C43088"/>
    <w:rsid w:val="00C4399C"/>
    <w:rsid w:val="00C43A57"/>
    <w:rsid w:val="00C43A94"/>
    <w:rsid w:val="00C443D6"/>
    <w:rsid w:val="00C44409"/>
    <w:rsid w:val="00C445E4"/>
    <w:rsid w:val="00C44649"/>
    <w:rsid w:val="00C44742"/>
    <w:rsid w:val="00C4474E"/>
    <w:rsid w:val="00C44B20"/>
    <w:rsid w:val="00C44CE4"/>
    <w:rsid w:val="00C45080"/>
    <w:rsid w:val="00C451AE"/>
    <w:rsid w:val="00C454D0"/>
    <w:rsid w:val="00C45B17"/>
    <w:rsid w:val="00C45C86"/>
    <w:rsid w:val="00C461B8"/>
    <w:rsid w:val="00C464E7"/>
    <w:rsid w:val="00C47350"/>
    <w:rsid w:val="00C47541"/>
    <w:rsid w:val="00C47615"/>
    <w:rsid w:val="00C47883"/>
    <w:rsid w:val="00C479FF"/>
    <w:rsid w:val="00C5009B"/>
    <w:rsid w:val="00C50233"/>
    <w:rsid w:val="00C50313"/>
    <w:rsid w:val="00C50418"/>
    <w:rsid w:val="00C5090D"/>
    <w:rsid w:val="00C50ACF"/>
    <w:rsid w:val="00C50FA4"/>
    <w:rsid w:val="00C51162"/>
    <w:rsid w:val="00C51484"/>
    <w:rsid w:val="00C519F0"/>
    <w:rsid w:val="00C51C08"/>
    <w:rsid w:val="00C51C78"/>
    <w:rsid w:val="00C522A5"/>
    <w:rsid w:val="00C522CC"/>
    <w:rsid w:val="00C5254D"/>
    <w:rsid w:val="00C527A3"/>
    <w:rsid w:val="00C528EE"/>
    <w:rsid w:val="00C52A25"/>
    <w:rsid w:val="00C52B02"/>
    <w:rsid w:val="00C52B8A"/>
    <w:rsid w:val="00C52D6B"/>
    <w:rsid w:val="00C52DFC"/>
    <w:rsid w:val="00C52E33"/>
    <w:rsid w:val="00C52F85"/>
    <w:rsid w:val="00C532F4"/>
    <w:rsid w:val="00C53937"/>
    <w:rsid w:val="00C53988"/>
    <w:rsid w:val="00C53BDA"/>
    <w:rsid w:val="00C53D4E"/>
    <w:rsid w:val="00C53F1F"/>
    <w:rsid w:val="00C53F4A"/>
    <w:rsid w:val="00C540D0"/>
    <w:rsid w:val="00C54610"/>
    <w:rsid w:val="00C54A0F"/>
    <w:rsid w:val="00C54D5D"/>
    <w:rsid w:val="00C54DD3"/>
    <w:rsid w:val="00C54F05"/>
    <w:rsid w:val="00C55327"/>
    <w:rsid w:val="00C55559"/>
    <w:rsid w:val="00C55764"/>
    <w:rsid w:val="00C557C9"/>
    <w:rsid w:val="00C5581A"/>
    <w:rsid w:val="00C55832"/>
    <w:rsid w:val="00C558CD"/>
    <w:rsid w:val="00C55A51"/>
    <w:rsid w:val="00C5600F"/>
    <w:rsid w:val="00C56347"/>
    <w:rsid w:val="00C56906"/>
    <w:rsid w:val="00C570AB"/>
    <w:rsid w:val="00C571A0"/>
    <w:rsid w:val="00C577E8"/>
    <w:rsid w:val="00C578CC"/>
    <w:rsid w:val="00C57AF7"/>
    <w:rsid w:val="00C57D32"/>
    <w:rsid w:val="00C60272"/>
    <w:rsid w:val="00C602A1"/>
    <w:rsid w:val="00C6061F"/>
    <w:rsid w:val="00C60731"/>
    <w:rsid w:val="00C6078E"/>
    <w:rsid w:val="00C60E8B"/>
    <w:rsid w:val="00C6125B"/>
    <w:rsid w:val="00C61350"/>
    <w:rsid w:val="00C61699"/>
    <w:rsid w:val="00C618B3"/>
    <w:rsid w:val="00C61ED1"/>
    <w:rsid w:val="00C6227B"/>
    <w:rsid w:val="00C624F8"/>
    <w:rsid w:val="00C6251F"/>
    <w:rsid w:val="00C62A16"/>
    <w:rsid w:val="00C62F8F"/>
    <w:rsid w:val="00C6309D"/>
    <w:rsid w:val="00C6335B"/>
    <w:rsid w:val="00C633A8"/>
    <w:rsid w:val="00C633E8"/>
    <w:rsid w:val="00C637BC"/>
    <w:rsid w:val="00C63B8F"/>
    <w:rsid w:val="00C63DB4"/>
    <w:rsid w:val="00C63E21"/>
    <w:rsid w:val="00C63ED1"/>
    <w:rsid w:val="00C63FF5"/>
    <w:rsid w:val="00C6402B"/>
    <w:rsid w:val="00C6427F"/>
    <w:rsid w:val="00C649C1"/>
    <w:rsid w:val="00C64A53"/>
    <w:rsid w:val="00C64BAA"/>
    <w:rsid w:val="00C65095"/>
    <w:rsid w:val="00C651C6"/>
    <w:rsid w:val="00C6543F"/>
    <w:rsid w:val="00C6588E"/>
    <w:rsid w:val="00C65908"/>
    <w:rsid w:val="00C659F2"/>
    <w:rsid w:val="00C65F04"/>
    <w:rsid w:val="00C65FB9"/>
    <w:rsid w:val="00C66059"/>
    <w:rsid w:val="00C660D4"/>
    <w:rsid w:val="00C66122"/>
    <w:rsid w:val="00C6625A"/>
    <w:rsid w:val="00C6631A"/>
    <w:rsid w:val="00C66622"/>
    <w:rsid w:val="00C66A56"/>
    <w:rsid w:val="00C66BCD"/>
    <w:rsid w:val="00C66C87"/>
    <w:rsid w:val="00C66D62"/>
    <w:rsid w:val="00C66EF6"/>
    <w:rsid w:val="00C671C9"/>
    <w:rsid w:val="00C67328"/>
    <w:rsid w:val="00C67A4D"/>
    <w:rsid w:val="00C67BB5"/>
    <w:rsid w:val="00C67C2F"/>
    <w:rsid w:val="00C67CD9"/>
    <w:rsid w:val="00C67FBD"/>
    <w:rsid w:val="00C70264"/>
    <w:rsid w:val="00C7053F"/>
    <w:rsid w:val="00C70E7F"/>
    <w:rsid w:val="00C710C5"/>
    <w:rsid w:val="00C7133F"/>
    <w:rsid w:val="00C7148E"/>
    <w:rsid w:val="00C714EB"/>
    <w:rsid w:val="00C7150D"/>
    <w:rsid w:val="00C7176E"/>
    <w:rsid w:val="00C71C33"/>
    <w:rsid w:val="00C71DD6"/>
    <w:rsid w:val="00C72216"/>
    <w:rsid w:val="00C7243A"/>
    <w:rsid w:val="00C72576"/>
    <w:rsid w:val="00C726F8"/>
    <w:rsid w:val="00C72A73"/>
    <w:rsid w:val="00C72A7A"/>
    <w:rsid w:val="00C72B1C"/>
    <w:rsid w:val="00C734BD"/>
    <w:rsid w:val="00C739A1"/>
    <w:rsid w:val="00C741E7"/>
    <w:rsid w:val="00C74438"/>
    <w:rsid w:val="00C744E6"/>
    <w:rsid w:val="00C74575"/>
    <w:rsid w:val="00C749FE"/>
    <w:rsid w:val="00C74A31"/>
    <w:rsid w:val="00C7537A"/>
    <w:rsid w:val="00C756DC"/>
    <w:rsid w:val="00C75A05"/>
    <w:rsid w:val="00C76094"/>
    <w:rsid w:val="00C76917"/>
    <w:rsid w:val="00C76F70"/>
    <w:rsid w:val="00C7716D"/>
    <w:rsid w:val="00C772F7"/>
    <w:rsid w:val="00C7734A"/>
    <w:rsid w:val="00C7734C"/>
    <w:rsid w:val="00C77C01"/>
    <w:rsid w:val="00C803C9"/>
    <w:rsid w:val="00C806C5"/>
    <w:rsid w:val="00C80D33"/>
    <w:rsid w:val="00C81011"/>
    <w:rsid w:val="00C81717"/>
    <w:rsid w:val="00C817CC"/>
    <w:rsid w:val="00C8195E"/>
    <w:rsid w:val="00C81B02"/>
    <w:rsid w:val="00C825BD"/>
    <w:rsid w:val="00C825C2"/>
    <w:rsid w:val="00C82775"/>
    <w:rsid w:val="00C82EA7"/>
    <w:rsid w:val="00C83197"/>
    <w:rsid w:val="00C834E7"/>
    <w:rsid w:val="00C8357B"/>
    <w:rsid w:val="00C8380C"/>
    <w:rsid w:val="00C83814"/>
    <w:rsid w:val="00C8384F"/>
    <w:rsid w:val="00C838E4"/>
    <w:rsid w:val="00C83A17"/>
    <w:rsid w:val="00C83B36"/>
    <w:rsid w:val="00C83C25"/>
    <w:rsid w:val="00C83E10"/>
    <w:rsid w:val="00C83E30"/>
    <w:rsid w:val="00C845CB"/>
    <w:rsid w:val="00C8462F"/>
    <w:rsid w:val="00C84A61"/>
    <w:rsid w:val="00C84C21"/>
    <w:rsid w:val="00C84F07"/>
    <w:rsid w:val="00C852DD"/>
    <w:rsid w:val="00C85DEA"/>
    <w:rsid w:val="00C85EFE"/>
    <w:rsid w:val="00C85F76"/>
    <w:rsid w:val="00C861AB"/>
    <w:rsid w:val="00C86292"/>
    <w:rsid w:val="00C8629C"/>
    <w:rsid w:val="00C8672A"/>
    <w:rsid w:val="00C8681B"/>
    <w:rsid w:val="00C86843"/>
    <w:rsid w:val="00C868DF"/>
    <w:rsid w:val="00C86AD8"/>
    <w:rsid w:val="00C86EDE"/>
    <w:rsid w:val="00C8721F"/>
    <w:rsid w:val="00C90019"/>
    <w:rsid w:val="00C90039"/>
    <w:rsid w:val="00C90048"/>
    <w:rsid w:val="00C90137"/>
    <w:rsid w:val="00C901D6"/>
    <w:rsid w:val="00C9048A"/>
    <w:rsid w:val="00C907CF"/>
    <w:rsid w:val="00C90883"/>
    <w:rsid w:val="00C90B3D"/>
    <w:rsid w:val="00C90B80"/>
    <w:rsid w:val="00C90B8A"/>
    <w:rsid w:val="00C90F71"/>
    <w:rsid w:val="00C90FE8"/>
    <w:rsid w:val="00C911FE"/>
    <w:rsid w:val="00C914E7"/>
    <w:rsid w:val="00C914FC"/>
    <w:rsid w:val="00C91545"/>
    <w:rsid w:val="00C91A40"/>
    <w:rsid w:val="00C91D15"/>
    <w:rsid w:val="00C9205E"/>
    <w:rsid w:val="00C92235"/>
    <w:rsid w:val="00C9259D"/>
    <w:rsid w:val="00C929E4"/>
    <w:rsid w:val="00C92AC9"/>
    <w:rsid w:val="00C92C12"/>
    <w:rsid w:val="00C93271"/>
    <w:rsid w:val="00C93367"/>
    <w:rsid w:val="00C93494"/>
    <w:rsid w:val="00C934D2"/>
    <w:rsid w:val="00C93546"/>
    <w:rsid w:val="00C9367B"/>
    <w:rsid w:val="00C93D8E"/>
    <w:rsid w:val="00C9440C"/>
    <w:rsid w:val="00C94419"/>
    <w:rsid w:val="00C94462"/>
    <w:rsid w:val="00C94982"/>
    <w:rsid w:val="00C94C37"/>
    <w:rsid w:val="00C94D42"/>
    <w:rsid w:val="00C9501E"/>
    <w:rsid w:val="00C9508E"/>
    <w:rsid w:val="00C952FD"/>
    <w:rsid w:val="00C9536A"/>
    <w:rsid w:val="00C9576A"/>
    <w:rsid w:val="00C9629E"/>
    <w:rsid w:val="00C96735"/>
    <w:rsid w:val="00C96811"/>
    <w:rsid w:val="00C96A5D"/>
    <w:rsid w:val="00C96B9B"/>
    <w:rsid w:val="00C96FD4"/>
    <w:rsid w:val="00C973B4"/>
    <w:rsid w:val="00C97A52"/>
    <w:rsid w:val="00C97FDF"/>
    <w:rsid w:val="00CA04C3"/>
    <w:rsid w:val="00CA04CC"/>
    <w:rsid w:val="00CA09E4"/>
    <w:rsid w:val="00CA0D30"/>
    <w:rsid w:val="00CA1484"/>
    <w:rsid w:val="00CA1630"/>
    <w:rsid w:val="00CA1D37"/>
    <w:rsid w:val="00CA1ED0"/>
    <w:rsid w:val="00CA25AD"/>
    <w:rsid w:val="00CA28A8"/>
    <w:rsid w:val="00CA2B08"/>
    <w:rsid w:val="00CA2CAD"/>
    <w:rsid w:val="00CA341A"/>
    <w:rsid w:val="00CA3432"/>
    <w:rsid w:val="00CA3529"/>
    <w:rsid w:val="00CA36F4"/>
    <w:rsid w:val="00CA3AD0"/>
    <w:rsid w:val="00CA3B4A"/>
    <w:rsid w:val="00CA3D1D"/>
    <w:rsid w:val="00CA3D3B"/>
    <w:rsid w:val="00CA40A5"/>
    <w:rsid w:val="00CA4611"/>
    <w:rsid w:val="00CA4958"/>
    <w:rsid w:val="00CA4A9D"/>
    <w:rsid w:val="00CA4CBD"/>
    <w:rsid w:val="00CA4D6A"/>
    <w:rsid w:val="00CA5056"/>
    <w:rsid w:val="00CA509C"/>
    <w:rsid w:val="00CA520F"/>
    <w:rsid w:val="00CA5667"/>
    <w:rsid w:val="00CA5813"/>
    <w:rsid w:val="00CA58BD"/>
    <w:rsid w:val="00CA5EE6"/>
    <w:rsid w:val="00CA6038"/>
    <w:rsid w:val="00CA60B4"/>
    <w:rsid w:val="00CA61EF"/>
    <w:rsid w:val="00CA6452"/>
    <w:rsid w:val="00CA6688"/>
    <w:rsid w:val="00CA6961"/>
    <w:rsid w:val="00CA6A61"/>
    <w:rsid w:val="00CA6C31"/>
    <w:rsid w:val="00CA7627"/>
    <w:rsid w:val="00CA7729"/>
    <w:rsid w:val="00CA7749"/>
    <w:rsid w:val="00CA7B21"/>
    <w:rsid w:val="00CA7DD9"/>
    <w:rsid w:val="00CA7FFA"/>
    <w:rsid w:val="00CB0491"/>
    <w:rsid w:val="00CB0820"/>
    <w:rsid w:val="00CB0A03"/>
    <w:rsid w:val="00CB0A91"/>
    <w:rsid w:val="00CB0D52"/>
    <w:rsid w:val="00CB0F9E"/>
    <w:rsid w:val="00CB1023"/>
    <w:rsid w:val="00CB19C1"/>
    <w:rsid w:val="00CB1A73"/>
    <w:rsid w:val="00CB1A76"/>
    <w:rsid w:val="00CB1ECD"/>
    <w:rsid w:val="00CB2474"/>
    <w:rsid w:val="00CB25D6"/>
    <w:rsid w:val="00CB29E7"/>
    <w:rsid w:val="00CB2B9F"/>
    <w:rsid w:val="00CB2BEC"/>
    <w:rsid w:val="00CB2BF1"/>
    <w:rsid w:val="00CB2D67"/>
    <w:rsid w:val="00CB2FB4"/>
    <w:rsid w:val="00CB2FD5"/>
    <w:rsid w:val="00CB329F"/>
    <w:rsid w:val="00CB33BF"/>
    <w:rsid w:val="00CB3736"/>
    <w:rsid w:val="00CB3E19"/>
    <w:rsid w:val="00CB4139"/>
    <w:rsid w:val="00CB457C"/>
    <w:rsid w:val="00CB4CCF"/>
    <w:rsid w:val="00CB5226"/>
    <w:rsid w:val="00CB5651"/>
    <w:rsid w:val="00CB584D"/>
    <w:rsid w:val="00CB5A0C"/>
    <w:rsid w:val="00CB5D76"/>
    <w:rsid w:val="00CB5E79"/>
    <w:rsid w:val="00CB5F4E"/>
    <w:rsid w:val="00CB6071"/>
    <w:rsid w:val="00CB60CE"/>
    <w:rsid w:val="00CB6466"/>
    <w:rsid w:val="00CB660C"/>
    <w:rsid w:val="00CB6750"/>
    <w:rsid w:val="00CB69E5"/>
    <w:rsid w:val="00CB6C70"/>
    <w:rsid w:val="00CB6EAB"/>
    <w:rsid w:val="00CB71FE"/>
    <w:rsid w:val="00CB722C"/>
    <w:rsid w:val="00CB7499"/>
    <w:rsid w:val="00CB7C77"/>
    <w:rsid w:val="00CB7D33"/>
    <w:rsid w:val="00CB7D57"/>
    <w:rsid w:val="00CC00B7"/>
    <w:rsid w:val="00CC026A"/>
    <w:rsid w:val="00CC055E"/>
    <w:rsid w:val="00CC0778"/>
    <w:rsid w:val="00CC0BDE"/>
    <w:rsid w:val="00CC0E30"/>
    <w:rsid w:val="00CC0E94"/>
    <w:rsid w:val="00CC11BB"/>
    <w:rsid w:val="00CC1BC1"/>
    <w:rsid w:val="00CC24AF"/>
    <w:rsid w:val="00CC26D0"/>
    <w:rsid w:val="00CC331A"/>
    <w:rsid w:val="00CC35A5"/>
    <w:rsid w:val="00CC39B7"/>
    <w:rsid w:val="00CC3A6F"/>
    <w:rsid w:val="00CC4003"/>
    <w:rsid w:val="00CC407E"/>
    <w:rsid w:val="00CC4258"/>
    <w:rsid w:val="00CC442D"/>
    <w:rsid w:val="00CC4505"/>
    <w:rsid w:val="00CC492B"/>
    <w:rsid w:val="00CC4D96"/>
    <w:rsid w:val="00CC4FA0"/>
    <w:rsid w:val="00CC51AF"/>
    <w:rsid w:val="00CC5A61"/>
    <w:rsid w:val="00CC5B1D"/>
    <w:rsid w:val="00CC5CE6"/>
    <w:rsid w:val="00CC608E"/>
    <w:rsid w:val="00CC6663"/>
    <w:rsid w:val="00CC6826"/>
    <w:rsid w:val="00CC68DE"/>
    <w:rsid w:val="00CC6B8E"/>
    <w:rsid w:val="00CC6E51"/>
    <w:rsid w:val="00CC6EA0"/>
    <w:rsid w:val="00CC7733"/>
    <w:rsid w:val="00CC7736"/>
    <w:rsid w:val="00CC77F8"/>
    <w:rsid w:val="00CC7FD0"/>
    <w:rsid w:val="00CD0213"/>
    <w:rsid w:val="00CD023B"/>
    <w:rsid w:val="00CD0A87"/>
    <w:rsid w:val="00CD0BB9"/>
    <w:rsid w:val="00CD0FD9"/>
    <w:rsid w:val="00CD18A4"/>
    <w:rsid w:val="00CD1EDE"/>
    <w:rsid w:val="00CD1F05"/>
    <w:rsid w:val="00CD2407"/>
    <w:rsid w:val="00CD2540"/>
    <w:rsid w:val="00CD27BC"/>
    <w:rsid w:val="00CD2AB7"/>
    <w:rsid w:val="00CD2D79"/>
    <w:rsid w:val="00CD2E3B"/>
    <w:rsid w:val="00CD33DF"/>
    <w:rsid w:val="00CD353E"/>
    <w:rsid w:val="00CD378F"/>
    <w:rsid w:val="00CD392C"/>
    <w:rsid w:val="00CD3ABF"/>
    <w:rsid w:val="00CD4193"/>
    <w:rsid w:val="00CD41F9"/>
    <w:rsid w:val="00CD44A3"/>
    <w:rsid w:val="00CD4BFC"/>
    <w:rsid w:val="00CD5006"/>
    <w:rsid w:val="00CD5250"/>
    <w:rsid w:val="00CD54A5"/>
    <w:rsid w:val="00CD55C1"/>
    <w:rsid w:val="00CD5AA7"/>
    <w:rsid w:val="00CD5E02"/>
    <w:rsid w:val="00CD63A7"/>
    <w:rsid w:val="00CD6495"/>
    <w:rsid w:val="00CD657E"/>
    <w:rsid w:val="00CD65CE"/>
    <w:rsid w:val="00CD667B"/>
    <w:rsid w:val="00CD67A4"/>
    <w:rsid w:val="00CD6CBD"/>
    <w:rsid w:val="00CD6CE6"/>
    <w:rsid w:val="00CD6D5F"/>
    <w:rsid w:val="00CD7321"/>
    <w:rsid w:val="00CD732B"/>
    <w:rsid w:val="00CD73D1"/>
    <w:rsid w:val="00CD75A8"/>
    <w:rsid w:val="00CD7B64"/>
    <w:rsid w:val="00CD7BF5"/>
    <w:rsid w:val="00CD7E3A"/>
    <w:rsid w:val="00CD7FED"/>
    <w:rsid w:val="00CE01E2"/>
    <w:rsid w:val="00CE0295"/>
    <w:rsid w:val="00CE0402"/>
    <w:rsid w:val="00CE0590"/>
    <w:rsid w:val="00CE0735"/>
    <w:rsid w:val="00CE0891"/>
    <w:rsid w:val="00CE0C68"/>
    <w:rsid w:val="00CE0D6D"/>
    <w:rsid w:val="00CE0D8A"/>
    <w:rsid w:val="00CE1932"/>
    <w:rsid w:val="00CE1B18"/>
    <w:rsid w:val="00CE2B51"/>
    <w:rsid w:val="00CE2C3D"/>
    <w:rsid w:val="00CE2E22"/>
    <w:rsid w:val="00CE30DA"/>
    <w:rsid w:val="00CE31DB"/>
    <w:rsid w:val="00CE329B"/>
    <w:rsid w:val="00CE3351"/>
    <w:rsid w:val="00CE40EE"/>
    <w:rsid w:val="00CE476F"/>
    <w:rsid w:val="00CE4C9B"/>
    <w:rsid w:val="00CE4DC9"/>
    <w:rsid w:val="00CE5227"/>
    <w:rsid w:val="00CE543D"/>
    <w:rsid w:val="00CE573F"/>
    <w:rsid w:val="00CE59C8"/>
    <w:rsid w:val="00CE5BC9"/>
    <w:rsid w:val="00CE5D34"/>
    <w:rsid w:val="00CE5D39"/>
    <w:rsid w:val="00CE61DA"/>
    <w:rsid w:val="00CE683B"/>
    <w:rsid w:val="00CE6B22"/>
    <w:rsid w:val="00CE6B65"/>
    <w:rsid w:val="00CE6D2A"/>
    <w:rsid w:val="00CE71B5"/>
    <w:rsid w:val="00CE7527"/>
    <w:rsid w:val="00CE77E1"/>
    <w:rsid w:val="00CE7F03"/>
    <w:rsid w:val="00CF0113"/>
    <w:rsid w:val="00CF090D"/>
    <w:rsid w:val="00CF0B27"/>
    <w:rsid w:val="00CF0EAC"/>
    <w:rsid w:val="00CF0F90"/>
    <w:rsid w:val="00CF1224"/>
    <w:rsid w:val="00CF122D"/>
    <w:rsid w:val="00CF16CC"/>
    <w:rsid w:val="00CF176B"/>
    <w:rsid w:val="00CF19D3"/>
    <w:rsid w:val="00CF22F2"/>
    <w:rsid w:val="00CF23AF"/>
    <w:rsid w:val="00CF23E3"/>
    <w:rsid w:val="00CF2B1B"/>
    <w:rsid w:val="00CF344A"/>
    <w:rsid w:val="00CF3523"/>
    <w:rsid w:val="00CF35E0"/>
    <w:rsid w:val="00CF3852"/>
    <w:rsid w:val="00CF4948"/>
    <w:rsid w:val="00CF4C43"/>
    <w:rsid w:val="00CF4CF6"/>
    <w:rsid w:val="00CF4D97"/>
    <w:rsid w:val="00CF4DEE"/>
    <w:rsid w:val="00CF4E14"/>
    <w:rsid w:val="00CF4FA5"/>
    <w:rsid w:val="00CF511C"/>
    <w:rsid w:val="00CF52DC"/>
    <w:rsid w:val="00CF53D9"/>
    <w:rsid w:val="00CF55D5"/>
    <w:rsid w:val="00CF5C1D"/>
    <w:rsid w:val="00CF5CE6"/>
    <w:rsid w:val="00CF607E"/>
    <w:rsid w:val="00CF6768"/>
    <w:rsid w:val="00CF6797"/>
    <w:rsid w:val="00CF69D0"/>
    <w:rsid w:val="00CF6A5F"/>
    <w:rsid w:val="00CF6A7E"/>
    <w:rsid w:val="00CF6E24"/>
    <w:rsid w:val="00CF6E8D"/>
    <w:rsid w:val="00CF7672"/>
    <w:rsid w:val="00CF78C3"/>
    <w:rsid w:val="00CF78EB"/>
    <w:rsid w:val="00CF7D1A"/>
    <w:rsid w:val="00CF7E3A"/>
    <w:rsid w:val="00CF7F43"/>
    <w:rsid w:val="00CF7FD0"/>
    <w:rsid w:val="00D003B6"/>
    <w:rsid w:val="00D007A1"/>
    <w:rsid w:val="00D009EE"/>
    <w:rsid w:val="00D00D0A"/>
    <w:rsid w:val="00D014A9"/>
    <w:rsid w:val="00D016EE"/>
    <w:rsid w:val="00D01726"/>
    <w:rsid w:val="00D01810"/>
    <w:rsid w:val="00D0196C"/>
    <w:rsid w:val="00D01971"/>
    <w:rsid w:val="00D01AA0"/>
    <w:rsid w:val="00D01BE4"/>
    <w:rsid w:val="00D01FA9"/>
    <w:rsid w:val="00D026D0"/>
    <w:rsid w:val="00D02FF6"/>
    <w:rsid w:val="00D03479"/>
    <w:rsid w:val="00D03762"/>
    <w:rsid w:val="00D04DAC"/>
    <w:rsid w:val="00D0538E"/>
    <w:rsid w:val="00D059BD"/>
    <w:rsid w:val="00D05F8A"/>
    <w:rsid w:val="00D06A00"/>
    <w:rsid w:val="00D06C60"/>
    <w:rsid w:val="00D06D01"/>
    <w:rsid w:val="00D07818"/>
    <w:rsid w:val="00D0785B"/>
    <w:rsid w:val="00D07EE8"/>
    <w:rsid w:val="00D10344"/>
    <w:rsid w:val="00D103FE"/>
    <w:rsid w:val="00D104DA"/>
    <w:rsid w:val="00D10572"/>
    <w:rsid w:val="00D105DF"/>
    <w:rsid w:val="00D106DB"/>
    <w:rsid w:val="00D1076C"/>
    <w:rsid w:val="00D108FE"/>
    <w:rsid w:val="00D10994"/>
    <w:rsid w:val="00D10ACF"/>
    <w:rsid w:val="00D10AF5"/>
    <w:rsid w:val="00D10F55"/>
    <w:rsid w:val="00D113A8"/>
    <w:rsid w:val="00D11C08"/>
    <w:rsid w:val="00D11D53"/>
    <w:rsid w:val="00D11D87"/>
    <w:rsid w:val="00D1230A"/>
    <w:rsid w:val="00D1275B"/>
    <w:rsid w:val="00D12AF2"/>
    <w:rsid w:val="00D12CB5"/>
    <w:rsid w:val="00D1311F"/>
    <w:rsid w:val="00D13251"/>
    <w:rsid w:val="00D137DB"/>
    <w:rsid w:val="00D13818"/>
    <w:rsid w:val="00D13B93"/>
    <w:rsid w:val="00D13ED7"/>
    <w:rsid w:val="00D13F0C"/>
    <w:rsid w:val="00D1466F"/>
    <w:rsid w:val="00D146FA"/>
    <w:rsid w:val="00D148F4"/>
    <w:rsid w:val="00D14919"/>
    <w:rsid w:val="00D14926"/>
    <w:rsid w:val="00D14AF4"/>
    <w:rsid w:val="00D14CAF"/>
    <w:rsid w:val="00D14EE2"/>
    <w:rsid w:val="00D150EB"/>
    <w:rsid w:val="00D150FB"/>
    <w:rsid w:val="00D15170"/>
    <w:rsid w:val="00D1530B"/>
    <w:rsid w:val="00D154F3"/>
    <w:rsid w:val="00D157A6"/>
    <w:rsid w:val="00D15DC8"/>
    <w:rsid w:val="00D1612A"/>
    <w:rsid w:val="00D1696C"/>
    <w:rsid w:val="00D169BE"/>
    <w:rsid w:val="00D16CB5"/>
    <w:rsid w:val="00D16EF8"/>
    <w:rsid w:val="00D174FE"/>
    <w:rsid w:val="00D17C34"/>
    <w:rsid w:val="00D200D3"/>
    <w:rsid w:val="00D2014E"/>
    <w:rsid w:val="00D203D8"/>
    <w:rsid w:val="00D2044B"/>
    <w:rsid w:val="00D20A85"/>
    <w:rsid w:val="00D20D87"/>
    <w:rsid w:val="00D20F47"/>
    <w:rsid w:val="00D21AD4"/>
    <w:rsid w:val="00D21B14"/>
    <w:rsid w:val="00D21C80"/>
    <w:rsid w:val="00D21F50"/>
    <w:rsid w:val="00D221FD"/>
    <w:rsid w:val="00D22795"/>
    <w:rsid w:val="00D229FC"/>
    <w:rsid w:val="00D22B3F"/>
    <w:rsid w:val="00D22E3F"/>
    <w:rsid w:val="00D2330D"/>
    <w:rsid w:val="00D23378"/>
    <w:rsid w:val="00D239B3"/>
    <w:rsid w:val="00D23AC3"/>
    <w:rsid w:val="00D2460A"/>
    <w:rsid w:val="00D24754"/>
    <w:rsid w:val="00D24993"/>
    <w:rsid w:val="00D249AC"/>
    <w:rsid w:val="00D24F77"/>
    <w:rsid w:val="00D24F9E"/>
    <w:rsid w:val="00D25016"/>
    <w:rsid w:val="00D25289"/>
    <w:rsid w:val="00D25498"/>
    <w:rsid w:val="00D2593B"/>
    <w:rsid w:val="00D25A5F"/>
    <w:rsid w:val="00D25F57"/>
    <w:rsid w:val="00D261CD"/>
    <w:rsid w:val="00D2630D"/>
    <w:rsid w:val="00D268B8"/>
    <w:rsid w:val="00D26B12"/>
    <w:rsid w:val="00D26B72"/>
    <w:rsid w:val="00D270DD"/>
    <w:rsid w:val="00D2774B"/>
    <w:rsid w:val="00D27D79"/>
    <w:rsid w:val="00D27DF1"/>
    <w:rsid w:val="00D30223"/>
    <w:rsid w:val="00D305F4"/>
    <w:rsid w:val="00D30739"/>
    <w:rsid w:val="00D30B05"/>
    <w:rsid w:val="00D30C92"/>
    <w:rsid w:val="00D30E35"/>
    <w:rsid w:val="00D3108A"/>
    <w:rsid w:val="00D316B5"/>
    <w:rsid w:val="00D32052"/>
    <w:rsid w:val="00D3211B"/>
    <w:rsid w:val="00D3270E"/>
    <w:rsid w:val="00D329E7"/>
    <w:rsid w:val="00D33152"/>
    <w:rsid w:val="00D33162"/>
    <w:rsid w:val="00D33328"/>
    <w:rsid w:val="00D33832"/>
    <w:rsid w:val="00D3394C"/>
    <w:rsid w:val="00D33966"/>
    <w:rsid w:val="00D33A32"/>
    <w:rsid w:val="00D3406C"/>
    <w:rsid w:val="00D3429A"/>
    <w:rsid w:val="00D34AB2"/>
    <w:rsid w:val="00D34C86"/>
    <w:rsid w:val="00D34CE0"/>
    <w:rsid w:val="00D34EEC"/>
    <w:rsid w:val="00D35732"/>
    <w:rsid w:val="00D35CD6"/>
    <w:rsid w:val="00D35DC3"/>
    <w:rsid w:val="00D363F0"/>
    <w:rsid w:val="00D364DB"/>
    <w:rsid w:val="00D36779"/>
    <w:rsid w:val="00D36908"/>
    <w:rsid w:val="00D36936"/>
    <w:rsid w:val="00D36A49"/>
    <w:rsid w:val="00D3726E"/>
    <w:rsid w:val="00D37508"/>
    <w:rsid w:val="00D4012F"/>
    <w:rsid w:val="00D40714"/>
    <w:rsid w:val="00D409DA"/>
    <w:rsid w:val="00D40C49"/>
    <w:rsid w:val="00D40CB6"/>
    <w:rsid w:val="00D4137C"/>
    <w:rsid w:val="00D419E3"/>
    <w:rsid w:val="00D41BB2"/>
    <w:rsid w:val="00D41C58"/>
    <w:rsid w:val="00D41EEC"/>
    <w:rsid w:val="00D42010"/>
    <w:rsid w:val="00D422A2"/>
    <w:rsid w:val="00D42ABA"/>
    <w:rsid w:val="00D42B1A"/>
    <w:rsid w:val="00D43178"/>
    <w:rsid w:val="00D43198"/>
    <w:rsid w:val="00D432B1"/>
    <w:rsid w:val="00D434EA"/>
    <w:rsid w:val="00D435BE"/>
    <w:rsid w:val="00D435E5"/>
    <w:rsid w:val="00D43D83"/>
    <w:rsid w:val="00D44119"/>
    <w:rsid w:val="00D44251"/>
    <w:rsid w:val="00D44528"/>
    <w:rsid w:val="00D44A63"/>
    <w:rsid w:val="00D44CC2"/>
    <w:rsid w:val="00D44DB5"/>
    <w:rsid w:val="00D452E5"/>
    <w:rsid w:val="00D45A87"/>
    <w:rsid w:val="00D45BF1"/>
    <w:rsid w:val="00D45E47"/>
    <w:rsid w:val="00D464E7"/>
    <w:rsid w:val="00D46F90"/>
    <w:rsid w:val="00D47A8D"/>
    <w:rsid w:val="00D47B5A"/>
    <w:rsid w:val="00D47B93"/>
    <w:rsid w:val="00D502A6"/>
    <w:rsid w:val="00D50446"/>
    <w:rsid w:val="00D506A5"/>
    <w:rsid w:val="00D50A0D"/>
    <w:rsid w:val="00D50B27"/>
    <w:rsid w:val="00D50B66"/>
    <w:rsid w:val="00D50EC6"/>
    <w:rsid w:val="00D510D4"/>
    <w:rsid w:val="00D510DC"/>
    <w:rsid w:val="00D511E9"/>
    <w:rsid w:val="00D518B0"/>
    <w:rsid w:val="00D51EBB"/>
    <w:rsid w:val="00D52376"/>
    <w:rsid w:val="00D523BF"/>
    <w:rsid w:val="00D52851"/>
    <w:rsid w:val="00D52B16"/>
    <w:rsid w:val="00D52BBD"/>
    <w:rsid w:val="00D52F12"/>
    <w:rsid w:val="00D52FDD"/>
    <w:rsid w:val="00D5348C"/>
    <w:rsid w:val="00D534BD"/>
    <w:rsid w:val="00D534C5"/>
    <w:rsid w:val="00D536D6"/>
    <w:rsid w:val="00D5399A"/>
    <w:rsid w:val="00D53BB4"/>
    <w:rsid w:val="00D53BB6"/>
    <w:rsid w:val="00D54332"/>
    <w:rsid w:val="00D5496F"/>
    <w:rsid w:val="00D54983"/>
    <w:rsid w:val="00D54ADE"/>
    <w:rsid w:val="00D54D83"/>
    <w:rsid w:val="00D54FE8"/>
    <w:rsid w:val="00D55424"/>
    <w:rsid w:val="00D55ACE"/>
    <w:rsid w:val="00D55DC0"/>
    <w:rsid w:val="00D55E6C"/>
    <w:rsid w:val="00D56165"/>
    <w:rsid w:val="00D562C6"/>
    <w:rsid w:val="00D563C9"/>
    <w:rsid w:val="00D566AD"/>
    <w:rsid w:val="00D56780"/>
    <w:rsid w:val="00D56CA6"/>
    <w:rsid w:val="00D56E4E"/>
    <w:rsid w:val="00D56F1B"/>
    <w:rsid w:val="00D56F86"/>
    <w:rsid w:val="00D57003"/>
    <w:rsid w:val="00D57179"/>
    <w:rsid w:val="00D5725A"/>
    <w:rsid w:val="00D57935"/>
    <w:rsid w:val="00D57DB2"/>
    <w:rsid w:val="00D57E32"/>
    <w:rsid w:val="00D600F2"/>
    <w:rsid w:val="00D60108"/>
    <w:rsid w:val="00D609F8"/>
    <w:rsid w:val="00D60A48"/>
    <w:rsid w:val="00D60D28"/>
    <w:rsid w:val="00D60DAE"/>
    <w:rsid w:val="00D613EA"/>
    <w:rsid w:val="00D614A9"/>
    <w:rsid w:val="00D614F5"/>
    <w:rsid w:val="00D615B1"/>
    <w:rsid w:val="00D6196F"/>
    <w:rsid w:val="00D62676"/>
    <w:rsid w:val="00D626FF"/>
    <w:rsid w:val="00D6275D"/>
    <w:rsid w:val="00D62AF9"/>
    <w:rsid w:val="00D62F52"/>
    <w:rsid w:val="00D6319B"/>
    <w:rsid w:val="00D631F8"/>
    <w:rsid w:val="00D633E7"/>
    <w:rsid w:val="00D633F3"/>
    <w:rsid w:val="00D634A1"/>
    <w:rsid w:val="00D6371C"/>
    <w:rsid w:val="00D63AE8"/>
    <w:rsid w:val="00D63DDA"/>
    <w:rsid w:val="00D63EFC"/>
    <w:rsid w:val="00D63F37"/>
    <w:rsid w:val="00D64234"/>
    <w:rsid w:val="00D64A13"/>
    <w:rsid w:val="00D64A9D"/>
    <w:rsid w:val="00D64C59"/>
    <w:rsid w:val="00D64DEB"/>
    <w:rsid w:val="00D654AF"/>
    <w:rsid w:val="00D6553E"/>
    <w:rsid w:val="00D65564"/>
    <w:rsid w:val="00D65679"/>
    <w:rsid w:val="00D65941"/>
    <w:rsid w:val="00D65BA4"/>
    <w:rsid w:val="00D65D32"/>
    <w:rsid w:val="00D65DAC"/>
    <w:rsid w:val="00D66054"/>
    <w:rsid w:val="00D6614A"/>
    <w:rsid w:val="00D6644A"/>
    <w:rsid w:val="00D66F03"/>
    <w:rsid w:val="00D6769D"/>
    <w:rsid w:val="00D67F2B"/>
    <w:rsid w:val="00D70145"/>
    <w:rsid w:val="00D702CE"/>
    <w:rsid w:val="00D70548"/>
    <w:rsid w:val="00D70AD3"/>
    <w:rsid w:val="00D70B0F"/>
    <w:rsid w:val="00D715E2"/>
    <w:rsid w:val="00D71B35"/>
    <w:rsid w:val="00D7207E"/>
    <w:rsid w:val="00D7232D"/>
    <w:rsid w:val="00D72393"/>
    <w:rsid w:val="00D7273A"/>
    <w:rsid w:val="00D72905"/>
    <w:rsid w:val="00D72AE9"/>
    <w:rsid w:val="00D72E1E"/>
    <w:rsid w:val="00D73167"/>
    <w:rsid w:val="00D732AC"/>
    <w:rsid w:val="00D7362E"/>
    <w:rsid w:val="00D73B11"/>
    <w:rsid w:val="00D74310"/>
    <w:rsid w:val="00D745BC"/>
    <w:rsid w:val="00D745C0"/>
    <w:rsid w:val="00D745EC"/>
    <w:rsid w:val="00D747CB"/>
    <w:rsid w:val="00D74C67"/>
    <w:rsid w:val="00D74E40"/>
    <w:rsid w:val="00D7500A"/>
    <w:rsid w:val="00D752C0"/>
    <w:rsid w:val="00D75348"/>
    <w:rsid w:val="00D75408"/>
    <w:rsid w:val="00D754D9"/>
    <w:rsid w:val="00D75505"/>
    <w:rsid w:val="00D7556B"/>
    <w:rsid w:val="00D7566D"/>
    <w:rsid w:val="00D758A8"/>
    <w:rsid w:val="00D7591E"/>
    <w:rsid w:val="00D75BF2"/>
    <w:rsid w:val="00D75E90"/>
    <w:rsid w:val="00D75F4C"/>
    <w:rsid w:val="00D764F6"/>
    <w:rsid w:val="00D7689C"/>
    <w:rsid w:val="00D7694D"/>
    <w:rsid w:val="00D76D91"/>
    <w:rsid w:val="00D76E1F"/>
    <w:rsid w:val="00D77070"/>
    <w:rsid w:val="00D77135"/>
    <w:rsid w:val="00D7774A"/>
    <w:rsid w:val="00D77C5A"/>
    <w:rsid w:val="00D80055"/>
    <w:rsid w:val="00D8006F"/>
    <w:rsid w:val="00D80539"/>
    <w:rsid w:val="00D8056E"/>
    <w:rsid w:val="00D80770"/>
    <w:rsid w:val="00D809B1"/>
    <w:rsid w:val="00D80CD7"/>
    <w:rsid w:val="00D80E27"/>
    <w:rsid w:val="00D80FFA"/>
    <w:rsid w:val="00D810EF"/>
    <w:rsid w:val="00D811F2"/>
    <w:rsid w:val="00D81474"/>
    <w:rsid w:val="00D81D34"/>
    <w:rsid w:val="00D81EF9"/>
    <w:rsid w:val="00D82097"/>
    <w:rsid w:val="00D822BE"/>
    <w:rsid w:val="00D82D69"/>
    <w:rsid w:val="00D82E9A"/>
    <w:rsid w:val="00D8370E"/>
    <w:rsid w:val="00D8391F"/>
    <w:rsid w:val="00D839AC"/>
    <w:rsid w:val="00D83D0B"/>
    <w:rsid w:val="00D83F72"/>
    <w:rsid w:val="00D83FAB"/>
    <w:rsid w:val="00D84292"/>
    <w:rsid w:val="00D84355"/>
    <w:rsid w:val="00D845C2"/>
    <w:rsid w:val="00D84833"/>
    <w:rsid w:val="00D849E9"/>
    <w:rsid w:val="00D84A5C"/>
    <w:rsid w:val="00D84AE6"/>
    <w:rsid w:val="00D84DEF"/>
    <w:rsid w:val="00D84E6F"/>
    <w:rsid w:val="00D85249"/>
    <w:rsid w:val="00D8547F"/>
    <w:rsid w:val="00D8561F"/>
    <w:rsid w:val="00D859AD"/>
    <w:rsid w:val="00D85FD9"/>
    <w:rsid w:val="00D867C5"/>
    <w:rsid w:val="00D868CD"/>
    <w:rsid w:val="00D86A1C"/>
    <w:rsid w:val="00D86AA4"/>
    <w:rsid w:val="00D86CEF"/>
    <w:rsid w:val="00D86D20"/>
    <w:rsid w:val="00D8758F"/>
    <w:rsid w:val="00D8791E"/>
    <w:rsid w:val="00D87A2A"/>
    <w:rsid w:val="00D87C97"/>
    <w:rsid w:val="00D87D1C"/>
    <w:rsid w:val="00D87FD3"/>
    <w:rsid w:val="00D903CB"/>
    <w:rsid w:val="00D904C1"/>
    <w:rsid w:val="00D90675"/>
    <w:rsid w:val="00D90A6B"/>
    <w:rsid w:val="00D90ABD"/>
    <w:rsid w:val="00D90C0A"/>
    <w:rsid w:val="00D90C1B"/>
    <w:rsid w:val="00D90CBD"/>
    <w:rsid w:val="00D9102F"/>
    <w:rsid w:val="00D911BD"/>
    <w:rsid w:val="00D91413"/>
    <w:rsid w:val="00D9180D"/>
    <w:rsid w:val="00D91823"/>
    <w:rsid w:val="00D91A6D"/>
    <w:rsid w:val="00D91C2F"/>
    <w:rsid w:val="00D91F9F"/>
    <w:rsid w:val="00D924CB"/>
    <w:rsid w:val="00D92C70"/>
    <w:rsid w:val="00D931E4"/>
    <w:rsid w:val="00D93360"/>
    <w:rsid w:val="00D9343E"/>
    <w:rsid w:val="00D9352C"/>
    <w:rsid w:val="00D93AE5"/>
    <w:rsid w:val="00D93C60"/>
    <w:rsid w:val="00D942E6"/>
    <w:rsid w:val="00D94C3E"/>
    <w:rsid w:val="00D95536"/>
    <w:rsid w:val="00D959A7"/>
    <w:rsid w:val="00D95AB6"/>
    <w:rsid w:val="00D95D02"/>
    <w:rsid w:val="00D95F9C"/>
    <w:rsid w:val="00D9607C"/>
    <w:rsid w:val="00D96219"/>
    <w:rsid w:val="00D96906"/>
    <w:rsid w:val="00D97102"/>
    <w:rsid w:val="00D9750B"/>
    <w:rsid w:val="00D9776B"/>
    <w:rsid w:val="00D97859"/>
    <w:rsid w:val="00D9787C"/>
    <w:rsid w:val="00D978AD"/>
    <w:rsid w:val="00D97A99"/>
    <w:rsid w:val="00D97E24"/>
    <w:rsid w:val="00D97F80"/>
    <w:rsid w:val="00D97F84"/>
    <w:rsid w:val="00DA0273"/>
    <w:rsid w:val="00DA059F"/>
    <w:rsid w:val="00DA0661"/>
    <w:rsid w:val="00DA09DC"/>
    <w:rsid w:val="00DA09EE"/>
    <w:rsid w:val="00DA09FB"/>
    <w:rsid w:val="00DA0ABA"/>
    <w:rsid w:val="00DA0D57"/>
    <w:rsid w:val="00DA0EF2"/>
    <w:rsid w:val="00DA123A"/>
    <w:rsid w:val="00DA12B8"/>
    <w:rsid w:val="00DA140D"/>
    <w:rsid w:val="00DA182F"/>
    <w:rsid w:val="00DA18FE"/>
    <w:rsid w:val="00DA198C"/>
    <w:rsid w:val="00DA19A1"/>
    <w:rsid w:val="00DA1A38"/>
    <w:rsid w:val="00DA1B82"/>
    <w:rsid w:val="00DA1E6A"/>
    <w:rsid w:val="00DA2E6C"/>
    <w:rsid w:val="00DA3164"/>
    <w:rsid w:val="00DA31F5"/>
    <w:rsid w:val="00DA344A"/>
    <w:rsid w:val="00DA3503"/>
    <w:rsid w:val="00DA3671"/>
    <w:rsid w:val="00DA394B"/>
    <w:rsid w:val="00DA3C7E"/>
    <w:rsid w:val="00DA3C96"/>
    <w:rsid w:val="00DA3F60"/>
    <w:rsid w:val="00DA3F9A"/>
    <w:rsid w:val="00DA49A4"/>
    <w:rsid w:val="00DA4C4C"/>
    <w:rsid w:val="00DA4D95"/>
    <w:rsid w:val="00DA528B"/>
    <w:rsid w:val="00DA551D"/>
    <w:rsid w:val="00DA56BA"/>
    <w:rsid w:val="00DA5819"/>
    <w:rsid w:val="00DA5856"/>
    <w:rsid w:val="00DA5A42"/>
    <w:rsid w:val="00DA5B78"/>
    <w:rsid w:val="00DA5D88"/>
    <w:rsid w:val="00DA5F30"/>
    <w:rsid w:val="00DA5FB3"/>
    <w:rsid w:val="00DA68AE"/>
    <w:rsid w:val="00DA7160"/>
    <w:rsid w:val="00DA730D"/>
    <w:rsid w:val="00DA737C"/>
    <w:rsid w:val="00DA73AC"/>
    <w:rsid w:val="00DA7861"/>
    <w:rsid w:val="00DA7AAB"/>
    <w:rsid w:val="00DA7DA3"/>
    <w:rsid w:val="00DB02DB"/>
    <w:rsid w:val="00DB03F9"/>
    <w:rsid w:val="00DB0E38"/>
    <w:rsid w:val="00DB10AC"/>
    <w:rsid w:val="00DB1B6E"/>
    <w:rsid w:val="00DB1F23"/>
    <w:rsid w:val="00DB1F35"/>
    <w:rsid w:val="00DB1F90"/>
    <w:rsid w:val="00DB2116"/>
    <w:rsid w:val="00DB2334"/>
    <w:rsid w:val="00DB267B"/>
    <w:rsid w:val="00DB2AE2"/>
    <w:rsid w:val="00DB2D39"/>
    <w:rsid w:val="00DB2D53"/>
    <w:rsid w:val="00DB3246"/>
    <w:rsid w:val="00DB3343"/>
    <w:rsid w:val="00DB3820"/>
    <w:rsid w:val="00DB386C"/>
    <w:rsid w:val="00DB3BB1"/>
    <w:rsid w:val="00DB3C4B"/>
    <w:rsid w:val="00DB3CC3"/>
    <w:rsid w:val="00DB3FE4"/>
    <w:rsid w:val="00DB4B27"/>
    <w:rsid w:val="00DB5098"/>
    <w:rsid w:val="00DB50E7"/>
    <w:rsid w:val="00DB5201"/>
    <w:rsid w:val="00DB5D9A"/>
    <w:rsid w:val="00DB5F04"/>
    <w:rsid w:val="00DB62CA"/>
    <w:rsid w:val="00DB63C7"/>
    <w:rsid w:val="00DB6587"/>
    <w:rsid w:val="00DB6781"/>
    <w:rsid w:val="00DB6A44"/>
    <w:rsid w:val="00DB6D20"/>
    <w:rsid w:val="00DB7119"/>
    <w:rsid w:val="00DB7326"/>
    <w:rsid w:val="00DB7474"/>
    <w:rsid w:val="00DB7B8D"/>
    <w:rsid w:val="00DC0045"/>
    <w:rsid w:val="00DC00DD"/>
    <w:rsid w:val="00DC02B8"/>
    <w:rsid w:val="00DC02CE"/>
    <w:rsid w:val="00DC046D"/>
    <w:rsid w:val="00DC10FE"/>
    <w:rsid w:val="00DC1E78"/>
    <w:rsid w:val="00DC1EB6"/>
    <w:rsid w:val="00DC22DE"/>
    <w:rsid w:val="00DC23A5"/>
    <w:rsid w:val="00DC2A33"/>
    <w:rsid w:val="00DC2C52"/>
    <w:rsid w:val="00DC2D41"/>
    <w:rsid w:val="00DC2D51"/>
    <w:rsid w:val="00DC32AE"/>
    <w:rsid w:val="00DC32CB"/>
    <w:rsid w:val="00DC32FC"/>
    <w:rsid w:val="00DC3893"/>
    <w:rsid w:val="00DC3CE0"/>
    <w:rsid w:val="00DC4221"/>
    <w:rsid w:val="00DC43B7"/>
    <w:rsid w:val="00DC44EF"/>
    <w:rsid w:val="00DC4760"/>
    <w:rsid w:val="00DC47AA"/>
    <w:rsid w:val="00DC4C68"/>
    <w:rsid w:val="00DC4CA2"/>
    <w:rsid w:val="00DC5BC7"/>
    <w:rsid w:val="00DC5C39"/>
    <w:rsid w:val="00DC6030"/>
    <w:rsid w:val="00DC62CA"/>
    <w:rsid w:val="00DC63E0"/>
    <w:rsid w:val="00DC6A79"/>
    <w:rsid w:val="00DC6E9B"/>
    <w:rsid w:val="00DC7458"/>
    <w:rsid w:val="00DD0019"/>
    <w:rsid w:val="00DD07A2"/>
    <w:rsid w:val="00DD08D3"/>
    <w:rsid w:val="00DD0F84"/>
    <w:rsid w:val="00DD1293"/>
    <w:rsid w:val="00DD15EF"/>
    <w:rsid w:val="00DD1646"/>
    <w:rsid w:val="00DD1A35"/>
    <w:rsid w:val="00DD1A74"/>
    <w:rsid w:val="00DD1BBB"/>
    <w:rsid w:val="00DD1D46"/>
    <w:rsid w:val="00DD1F93"/>
    <w:rsid w:val="00DD21BD"/>
    <w:rsid w:val="00DD244A"/>
    <w:rsid w:val="00DD2522"/>
    <w:rsid w:val="00DD2617"/>
    <w:rsid w:val="00DD26D5"/>
    <w:rsid w:val="00DD26FB"/>
    <w:rsid w:val="00DD3314"/>
    <w:rsid w:val="00DD3877"/>
    <w:rsid w:val="00DD3B20"/>
    <w:rsid w:val="00DD3CCF"/>
    <w:rsid w:val="00DD3D9F"/>
    <w:rsid w:val="00DD4110"/>
    <w:rsid w:val="00DD4200"/>
    <w:rsid w:val="00DD4379"/>
    <w:rsid w:val="00DD4779"/>
    <w:rsid w:val="00DD49E1"/>
    <w:rsid w:val="00DD4A33"/>
    <w:rsid w:val="00DD4BAC"/>
    <w:rsid w:val="00DD4D26"/>
    <w:rsid w:val="00DD4E31"/>
    <w:rsid w:val="00DD584B"/>
    <w:rsid w:val="00DD585E"/>
    <w:rsid w:val="00DD5AB5"/>
    <w:rsid w:val="00DD5B6B"/>
    <w:rsid w:val="00DD5CBE"/>
    <w:rsid w:val="00DD5DBB"/>
    <w:rsid w:val="00DD68DB"/>
    <w:rsid w:val="00DD71B2"/>
    <w:rsid w:val="00DD746B"/>
    <w:rsid w:val="00DD75A3"/>
    <w:rsid w:val="00DD7C15"/>
    <w:rsid w:val="00DD7EB3"/>
    <w:rsid w:val="00DE0159"/>
    <w:rsid w:val="00DE0203"/>
    <w:rsid w:val="00DE0357"/>
    <w:rsid w:val="00DE05DB"/>
    <w:rsid w:val="00DE07A5"/>
    <w:rsid w:val="00DE0BD4"/>
    <w:rsid w:val="00DE0C68"/>
    <w:rsid w:val="00DE0E40"/>
    <w:rsid w:val="00DE0E48"/>
    <w:rsid w:val="00DE1006"/>
    <w:rsid w:val="00DE11E5"/>
    <w:rsid w:val="00DE1464"/>
    <w:rsid w:val="00DE1689"/>
    <w:rsid w:val="00DE1E2C"/>
    <w:rsid w:val="00DE2799"/>
    <w:rsid w:val="00DE2E75"/>
    <w:rsid w:val="00DE2F8E"/>
    <w:rsid w:val="00DE3C65"/>
    <w:rsid w:val="00DE4098"/>
    <w:rsid w:val="00DE440C"/>
    <w:rsid w:val="00DE4A34"/>
    <w:rsid w:val="00DE527D"/>
    <w:rsid w:val="00DE5655"/>
    <w:rsid w:val="00DE5AC2"/>
    <w:rsid w:val="00DE5CA1"/>
    <w:rsid w:val="00DE5D56"/>
    <w:rsid w:val="00DE5F20"/>
    <w:rsid w:val="00DE60C7"/>
    <w:rsid w:val="00DE662E"/>
    <w:rsid w:val="00DE69EA"/>
    <w:rsid w:val="00DE6B1F"/>
    <w:rsid w:val="00DE6D64"/>
    <w:rsid w:val="00DE6D7C"/>
    <w:rsid w:val="00DE6DF2"/>
    <w:rsid w:val="00DE75C4"/>
    <w:rsid w:val="00DE75F9"/>
    <w:rsid w:val="00DE796E"/>
    <w:rsid w:val="00DE79F2"/>
    <w:rsid w:val="00DE7EA4"/>
    <w:rsid w:val="00DE7F90"/>
    <w:rsid w:val="00DF0095"/>
    <w:rsid w:val="00DF0579"/>
    <w:rsid w:val="00DF05A4"/>
    <w:rsid w:val="00DF0AF1"/>
    <w:rsid w:val="00DF11AA"/>
    <w:rsid w:val="00DF1537"/>
    <w:rsid w:val="00DF176D"/>
    <w:rsid w:val="00DF17B6"/>
    <w:rsid w:val="00DF1B43"/>
    <w:rsid w:val="00DF21AC"/>
    <w:rsid w:val="00DF2211"/>
    <w:rsid w:val="00DF2A60"/>
    <w:rsid w:val="00DF34B6"/>
    <w:rsid w:val="00DF36DA"/>
    <w:rsid w:val="00DF37B1"/>
    <w:rsid w:val="00DF3B41"/>
    <w:rsid w:val="00DF3DAC"/>
    <w:rsid w:val="00DF3DB3"/>
    <w:rsid w:val="00DF3E69"/>
    <w:rsid w:val="00DF3EE0"/>
    <w:rsid w:val="00DF44BA"/>
    <w:rsid w:val="00DF468E"/>
    <w:rsid w:val="00DF4A5F"/>
    <w:rsid w:val="00DF4B48"/>
    <w:rsid w:val="00DF4D7C"/>
    <w:rsid w:val="00DF4E6E"/>
    <w:rsid w:val="00DF50FF"/>
    <w:rsid w:val="00DF51A6"/>
    <w:rsid w:val="00DF57D6"/>
    <w:rsid w:val="00DF590D"/>
    <w:rsid w:val="00DF5ABD"/>
    <w:rsid w:val="00DF5B6C"/>
    <w:rsid w:val="00DF5C3A"/>
    <w:rsid w:val="00DF5FB6"/>
    <w:rsid w:val="00DF66F4"/>
    <w:rsid w:val="00DF6E24"/>
    <w:rsid w:val="00DF7BD9"/>
    <w:rsid w:val="00E0004A"/>
    <w:rsid w:val="00E000F0"/>
    <w:rsid w:val="00E00338"/>
    <w:rsid w:val="00E004B4"/>
    <w:rsid w:val="00E00746"/>
    <w:rsid w:val="00E00AE3"/>
    <w:rsid w:val="00E00CDE"/>
    <w:rsid w:val="00E010A7"/>
    <w:rsid w:val="00E0134B"/>
    <w:rsid w:val="00E0198F"/>
    <w:rsid w:val="00E01B3B"/>
    <w:rsid w:val="00E01C70"/>
    <w:rsid w:val="00E01E17"/>
    <w:rsid w:val="00E01E94"/>
    <w:rsid w:val="00E01FB4"/>
    <w:rsid w:val="00E01FC8"/>
    <w:rsid w:val="00E0204E"/>
    <w:rsid w:val="00E02975"/>
    <w:rsid w:val="00E02C0D"/>
    <w:rsid w:val="00E02C6E"/>
    <w:rsid w:val="00E02E70"/>
    <w:rsid w:val="00E0318B"/>
    <w:rsid w:val="00E031E5"/>
    <w:rsid w:val="00E03459"/>
    <w:rsid w:val="00E03B8D"/>
    <w:rsid w:val="00E03CDC"/>
    <w:rsid w:val="00E03D7A"/>
    <w:rsid w:val="00E03EC3"/>
    <w:rsid w:val="00E045BE"/>
    <w:rsid w:val="00E047F8"/>
    <w:rsid w:val="00E048CE"/>
    <w:rsid w:val="00E04BF9"/>
    <w:rsid w:val="00E05015"/>
    <w:rsid w:val="00E05395"/>
    <w:rsid w:val="00E05431"/>
    <w:rsid w:val="00E05583"/>
    <w:rsid w:val="00E058FA"/>
    <w:rsid w:val="00E05AC9"/>
    <w:rsid w:val="00E05FEC"/>
    <w:rsid w:val="00E060DD"/>
    <w:rsid w:val="00E06117"/>
    <w:rsid w:val="00E0616B"/>
    <w:rsid w:val="00E06187"/>
    <w:rsid w:val="00E066DD"/>
    <w:rsid w:val="00E06B14"/>
    <w:rsid w:val="00E06DB9"/>
    <w:rsid w:val="00E06E81"/>
    <w:rsid w:val="00E06F7B"/>
    <w:rsid w:val="00E07101"/>
    <w:rsid w:val="00E07124"/>
    <w:rsid w:val="00E07386"/>
    <w:rsid w:val="00E073AC"/>
    <w:rsid w:val="00E077F5"/>
    <w:rsid w:val="00E078FB"/>
    <w:rsid w:val="00E07B00"/>
    <w:rsid w:val="00E07F74"/>
    <w:rsid w:val="00E107DB"/>
    <w:rsid w:val="00E10B99"/>
    <w:rsid w:val="00E10BFB"/>
    <w:rsid w:val="00E1132B"/>
    <w:rsid w:val="00E11757"/>
    <w:rsid w:val="00E11CB1"/>
    <w:rsid w:val="00E1224F"/>
    <w:rsid w:val="00E12485"/>
    <w:rsid w:val="00E12704"/>
    <w:rsid w:val="00E127CA"/>
    <w:rsid w:val="00E129F0"/>
    <w:rsid w:val="00E12A92"/>
    <w:rsid w:val="00E131E9"/>
    <w:rsid w:val="00E13458"/>
    <w:rsid w:val="00E134D2"/>
    <w:rsid w:val="00E1376E"/>
    <w:rsid w:val="00E138BB"/>
    <w:rsid w:val="00E13907"/>
    <w:rsid w:val="00E139EF"/>
    <w:rsid w:val="00E13A1B"/>
    <w:rsid w:val="00E13A5B"/>
    <w:rsid w:val="00E13AA6"/>
    <w:rsid w:val="00E1413F"/>
    <w:rsid w:val="00E1433D"/>
    <w:rsid w:val="00E143B0"/>
    <w:rsid w:val="00E14576"/>
    <w:rsid w:val="00E14688"/>
    <w:rsid w:val="00E1468B"/>
    <w:rsid w:val="00E149C6"/>
    <w:rsid w:val="00E14D72"/>
    <w:rsid w:val="00E14DF3"/>
    <w:rsid w:val="00E14E3B"/>
    <w:rsid w:val="00E14EC2"/>
    <w:rsid w:val="00E150ED"/>
    <w:rsid w:val="00E153F0"/>
    <w:rsid w:val="00E15899"/>
    <w:rsid w:val="00E158D2"/>
    <w:rsid w:val="00E15A1C"/>
    <w:rsid w:val="00E15A49"/>
    <w:rsid w:val="00E15D80"/>
    <w:rsid w:val="00E15E74"/>
    <w:rsid w:val="00E16344"/>
    <w:rsid w:val="00E16476"/>
    <w:rsid w:val="00E166B0"/>
    <w:rsid w:val="00E169DE"/>
    <w:rsid w:val="00E16BDB"/>
    <w:rsid w:val="00E16D4F"/>
    <w:rsid w:val="00E175B9"/>
    <w:rsid w:val="00E17ABA"/>
    <w:rsid w:val="00E17DF3"/>
    <w:rsid w:val="00E2039F"/>
    <w:rsid w:val="00E20472"/>
    <w:rsid w:val="00E2059A"/>
    <w:rsid w:val="00E207A7"/>
    <w:rsid w:val="00E208F7"/>
    <w:rsid w:val="00E20BD4"/>
    <w:rsid w:val="00E20D66"/>
    <w:rsid w:val="00E212FA"/>
    <w:rsid w:val="00E2132D"/>
    <w:rsid w:val="00E2160C"/>
    <w:rsid w:val="00E21810"/>
    <w:rsid w:val="00E219BA"/>
    <w:rsid w:val="00E21B2C"/>
    <w:rsid w:val="00E21E9A"/>
    <w:rsid w:val="00E22081"/>
    <w:rsid w:val="00E22254"/>
    <w:rsid w:val="00E222A9"/>
    <w:rsid w:val="00E22B06"/>
    <w:rsid w:val="00E22C0B"/>
    <w:rsid w:val="00E22D54"/>
    <w:rsid w:val="00E22E7D"/>
    <w:rsid w:val="00E230C5"/>
    <w:rsid w:val="00E230ED"/>
    <w:rsid w:val="00E2312D"/>
    <w:rsid w:val="00E2322F"/>
    <w:rsid w:val="00E23277"/>
    <w:rsid w:val="00E23519"/>
    <w:rsid w:val="00E23693"/>
    <w:rsid w:val="00E2377D"/>
    <w:rsid w:val="00E239AF"/>
    <w:rsid w:val="00E23AF3"/>
    <w:rsid w:val="00E23E49"/>
    <w:rsid w:val="00E24649"/>
    <w:rsid w:val="00E24912"/>
    <w:rsid w:val="00E24D25"/>
    <w:rsid w:val="00E24DE4"/>
    <w:rsid w:val="00E24DF7"/>
    <w:rsid w:val="00E24EEA"/>
    <w:rsid w:val="00E251E1"/>
    <w:rsid w:val="00E25313"/>
    <w:rsid w:val="00E253C8"/>
    <w:rsid w:val="00E255B6"/>
    <w:rsid w:val="00E25763"/>
    <w:rsid w:val="00E25A39"/>
    <w:rsid w:val="00E25A5A"/>
    <w:rsid w:val="00E25B08"/>
    <w:rsid w:val="00E25FF2"/>
    <w:rsid w:val="00E26140"/>
    <w:rsid w:val="00E266A8"/>
    <w:rsid w:val="00E26874"/>
    <w:rsid w:val="00E26962"/>
    <w:rsid w:val="00E26972"/>
    <w:rsid w:val="00E26A98"/>
    <w:rsid w:val="00E26B7A"/>
    <w:rsid w:val="00E270CD"/>
    <w:rsid w:val="00E27761"/>
    <w:rsid w:val="00E27A41"/>
    <w:rsid w:val="00E27A8A"/>
    <w:rsid w:val="00E27CAF"/>
    <w:rsid w:val="00E27E17"/>
    <w:rsid w:val="00E30076"/>
    <w:rsid w:val="00E30458"/>
    <w:rsid w:val="00E30726"/>
    <w:rsid w:val="00E30748"/>
    <w:rsid w:val="00E307F7"/>
    <w:rsid w:val="00E30A97"/>
    <w:rsid w:val="00E30F24"/>
    <w:rsid w:val="00E30F85"/>
    <w:rsid w:val="00E31082"/>
    <w:rsid w:val="00E312B8"/>
    <w:rsid w:val="00E31798"/>
    <w:rsid w:val="00E317AA"/>
    <w:rsid w:val="00E3188B"/>
    <w:rsid w:val="00E31990"/>
    <w:rsid w:val="00E31CEF"/>
    <w:rsid w:val="00E31EC9"/>
    <w:rsid w:val="00E32004"/>
    <w:rsid w:val="00E32375"/>
    <w:rsid w:val="00E324BD"/>
    <w:rsid w:val="00E325A6"/>
    <w:rsid w:val="00E32BF0"/>
    <w:rsid w:val="00E32CEF"/>
    <w:rsid w:val="00E32EE6"/>
    <w:rsid w:val="00E32F4D"/>
    <w:rsid w:val="00E333CB"/>
    <w:rsid w:val="00E33914"/>
    <w:rsid w:val="00E33AB3"/>
    <w:rsid w:val="00E33B26"/>
    <w:rsid w:val="00E33B3E"/>
    <w:rsid w:val="00E33CFC"/>
    <w:rsid w:val="00E33FF4"/>
    <w:rsid w:val="00E34081"/>
    <w:rsid w:val="00E34366"/>
    <w:rsid w:val="00E34AB8"/>
    <w:rsid w:val="00E34BCA"/>
    <w:rsid w:val="00E34EBF"/>
    <w:rsid w:val="00E35268"/>
    <w:rsid w:val="00E35299"/>
    <w:rsid w:val="00E35348"/>
    <w:rsid w:val="00E353C5"/>
    <w:rsid w:val="00E3559F"/>
    <w:rsid w:val="00E357EA"/>
    <w:rsid w:val="00E3598A"/>
    <w:rsid w:val="00E35A00"/>
    <w:rsid w:val="00E35C6F"/>
    <w:rsid w:val="00E3609C"/>
    <w:rsid w:val="00E36349"/>
    <w:rsid w:val="00E36711"/>
    <w:rsid w:val="00E369AD"/>
    <w:rsid w:val="00E36A5A"/>
    <w:rsid w:val="00E36ACF"/>
    <w:rsid w:val="00E36D73"/>
    <w:rsid w:val="00E37746"/>
    <w:rsid w:val="00E37797"/>
    <w:rsid w:val="00E3786E"/>
    <w:rsid w:val="00E37BEB"/>
    <w:rsid w:val="00E37F96"/>
    <w:rsid w:val="00E4012E"/>
    <w:rsid w:val="00E401A4"/>
    <w:rsid w:val="00E40357"/>
    <w:rsid w:val="00E4047B"/>
    <w:rsid w:val="00E40B0D"/>
    <w:rsid w:val="00E40E3B"/>
    <w:rsid w:val="00E40EC5"/>
    <w:rsid w:val="00E4102C"/>
    <w:rsid w:val="00E4116A"/>
    <w:rsid w:val="00E41484"/>
    <w:rsid w:val="00E41727"/>
    <w:rsid w:val="00E417BC"/>
    <w:rsid w:val="00E41A77"/>
    <w:rsid w:val="00E41BCD"/>
    <w:rsid w:val="00E41BEF"/>
    <w:rsid w:val="00E41EFE"/>
    <w:rsid w:val="00E42099"/>
    <w:rsid w:val="00E42145"/>
    <w:rsid w:val="00E42691"/>
    <w:rsid w:val="00E426AA"/>
    <w:rsid w:val="00E42C1F"/>
    <w:rsid w:val="00E42ECB"/>
    <w:rsid w:val="00E43257"/>
    <w:rsid w:val="00E43506"/>
    <w:rsid w:val="00E437C4"/>
    <w:rsid w:val="00E4392A"/>
    <w:rsid w:val="00E43EC6"/>
    <w:rsid w:val="00E43F58"/>
    <w:rsid w:val="00E43F8B"/>
    <w:rsid w:val="00E44459"/>
    <w:rsid w:val="00E44509"/>
    <w:rsid w:val="00E447D3"/>
    <w:rsid w:val="00E45450"/>
    <w:rsid w:val="00E45615"/>
    <w:rsid w:val="00E459E6"/>
    <w:rsid w:val="00E45A9C"/>
    <w:rsid w:val="00E45EAF"/>
    <w:rsid w:val="00E45F20"/>
    <w:rsid w:val="00E46176"/>
    <w:rsid w:val="00E46196"/>
    <w:rsid w:val="00E465FB"/>
    <w:rsid w:val="00E4684F"/>
    <w:rsid w:val="00E46AAE"/>
    <w:rsid w:val="00E46E99"/>
    <w:rsid w:val="00E4726A"/>
    <w:rsid w:val="00E4730A"/>
    <w:rsid w:val="00E47A56"/>
    <w:rsid w:val="00E47C64"/>
    <w:rsid w:val="00E50EB4"/>
    <w:rsid w:val="00E5118A"/>
    <w:rsid w:val="00E516F9"/>
    <w:rsid w:val="00E52156"/>
    <w:rsid w:val="00E522F6"/>
    <w:rsid w:val="00E52580"/>
    <w:rsid w:val="00E525D1"/>
    <w:rsid w:val="00E52824"/>
    <w:rsid w:val="00E52A0C"/>
    <w:rsid w:val="00E52D90"/>
    <w:rsid w:val="00E52FF7"/>
    <w:rsid w:val="00E532D9"/>
    <w:rsid w:val="00E5331D"/>
    <w:rsid w:val="00E53476"/>
    <w:rsid w:val="00E53817"/>
    <w:rsid w:val="00E5392E"/>
    <w:rsid w:val="00E53954"/>
    <w:rsid w:val="00E53B14"/>
    <w:rsid w:val="00E53D10"/>
    <w:rsid w:val="00E53D6A"/>
    <w:rsid w:val="00E53D77"/>
    <w:rsid w:val="00E541F1"/>
    <w:rsid w:val="00E54453"/>
    <w:rsid w:val="00E544D3"/>
    <w:rsid w:val="00E54547"/>
    <w:rsid w:val="00E549CB"/>
    <w:rsid w:val="00E54B04"/>
    <w:rsid w:val="00E54C6C"/>
    <w:rsid w:val="00E54DE1"/>
    <w:rsid w:val="00E55934"/>
    <w:rsid w:val="00E56113"/>
    <w:rsid w:val="00E561B5"/>
    <w:rsid w:val="00E5630B"/>
    <w:rsid w:val="00E56A67"/>
    <w:rsid w:val="00E56B47"/>
    <w:rsid w:val="00E56F44"/>
    <w:rsid w:val="00E56FF0"/>
    <w:rsid w:val="00E57315"/>
    <w:rsid w:val="00E57844"/>
    <w:rsid w:val="00E57D92"/>
    <w:rsid w:val="00E57E1A"/>
    <w:rsid w:val="00E57EA5"/>
    <w:rsid w:val="00E60A39"/>
    <w:rsid w:val="00E60BF5"/>
    <w:rsid w:val="00E60E28"/>
    <w:rsid w:val="00E61A59"/>
    <w:rsid w:val="00E61B2B"/>
    <w:rsid w:val="00E62009"/>
    <w:rsid w:val="00E62969"/>
    <w:rsid w:val="00E62AB7"/>
    <w:rsid w:val="00E62AC9"/>
    <w:rsid w:val="00E62E1E"/>
    <w:rsid w:val="00E62EF4"/>
    <w:rsid w:val="00E6339C"/>
    <w:rsid w:val="00E63735"/>
    <w:rsid w:val="00E63756"/>
    <w:rsid w:val="00E63D5F"/>
    <w:rsid w:val="00E6454E"/>
    <w:rsid w:val="00E646C3"/>
    <w:rsid w:val="00E6471E"/>
    <w:rsid w:val="00E64743"/>
    <w:rsid w:val="00E647B5"/>
    <w:rsid w:val="00E64AA4"/>
    <w:rsid w:val="00E64C89"/>
    <w:rsid w:val="00E6515E"/>
    <w:rsid w:val="00E651C4"/>
    <w:rsid w:val="00E65397"/>
    <w:rsid w:val="00E65423"/>
    <w:rsid w:val="00E65554"/>
    <w:rsid w:val="00E657F9"/>
    <w:rsid w:val="00E65B94"/>
    <w:rsid w:val="00E65E0C"/>
    <w:rsid w:val="00E6614C"/>
    <w:rsid w:val="00E66278"/>
    <w:rsid w:val="00E66468"/>
    <w:rsid w:val="00E665B8"/>
    <w:rsid w:val="00E665F3"/>
    <w:rsid w:val="00E6663B"/>
    <w:rsid w:val="00E667D0"/>
    <w:rsid w:val="00E667E2"/>
    <w:rsid w:val="00E66C0B"/>
    <w:rsid w:val="00E66C38"/>
    <w:rsid w:val="00E66D64"/>
    <w:rsid w:val="00E66EF0"/>
    <w:rsid w:val="00E66F05"/>
    <w:rsid w:val="00E67141"/>
    <w:rsid w:val="00E67715"/>
    <w:rsid w:val="00E67E12"/>
    <w:rsid w:val="00E70703"/>
    <w:rsid w:val="00E708B6"/>
    <w:rsid w:val="00E70982"/>
    <w:rsid w:val="00E70D16"/>
    <w:rsid w:val="00E70F47"/>
    <w:rsid w:val="00E71814"/>
    <w:rsid w:val="00E719FC"/>
    <w:rsid w:val="00E71E1E"/>
    <w:rsid w:val="00E71F95"/>
    <w:rsid w:val="00E7231C"/>
    <w:rsid w:val="00E72853"/>
    <w:rsid w:val="00E72C80"/>
    <w:rsid w:val="00E72DCA"/>
    <w:rsid w:val="00E72E4F"/>
    <w:rsid w:val="00E73018"/>
    <w:rsid w:val="00E731F8"/>
    <w:rsid w:val="00E73318"/>
    <w:rsid w:val="00E733F2"/>
    <w:rsid w:val="00E737B5"/>
    <w:rsid w:val="00E7397E"/>
    <w:rsid w:val="00E74581"/>
    <w:rsid w:val="00E74708"/>
    <w:rsid w:val="00E748CB"/>
    <w:rsid w:val="00E74947"/>
    <w:rsid w:val="00E74A76"/>
    <w:rsid w:val="00E74B73"/>
    <w:rsid w:val="00E74C1B"/>
    <w:rsid w:val="00E74DB6"/>
    <w:rsid w:val="00E74E87"/>
    <w:rsid w:val="00E74EA3"/>
    <w:rsid w:val="00E751A8"/>
    <w:rsid w:val="00E751B9"/>
    <w:rsid w:val="00E751C9"/>
    <w:rsid w:val="00E751D0"/>
    <w:rsid w:val="00E753DC"/>
    <w:rsid w:val="00E756FB"/>
    <w:rsid w:val="00E757B0"/>
    <w:rsid w:val="00E759FD"/>
    <w:rsid w:val="00E75B43"/>
    <w:rsid w:val="00E75F99"/>
    <w:rsid w:val="00E76120"/>
    <w:rsid w:val="00E765DF"/>
    <w:rsid w:val="00E766A1"/>
    <w:rsid w:val="00E76892"/>
    <w:rsid w:val="00E776F9"/>
    <w:rsid w:val="00E7786D"/>
    <w:rsid w:val="00E77B51"/>
    <w:rsid w:val="00E77DDD"/>
    <w:rsid w:val="00E80536"/>
    <w:rsid w:val="00E80556"/>
    <w:rsid w:val="00E805C8"/>
    <w:rsid w:val="00E808C2"/>
    <w:rsid w:val="00E80B55"/>
    <w:rsid w:val="00E80B82"/>
    <w:rsid w:val="00E80CA8"/>
    <w:rsid w:val="00E81602"/>
    <w:rsid w:val="00E81C1C"/>
    <w:rsid w:val="00E81FF9"/>
    <w:rsid w:val="00E823F0"/>
    <w:rsid w:val="00E82406"/>
    <w:rsid w:val="00E828A9"/>
    <w:rsid w:val="00E82A6B"/>
    <w:rsid w:val="00E82B57"/>
    <w:rsid w:val="00E82CBB"/>
    <w:rsid w:val="00E83329"/>
    <w:rsid w:val="00E833B1"/>
    <w:rsid w:val="00E83438"/>
    <w:rsid w:val="00E83487"/>
    <w:rsid w:val="00E83B61"/>
    <w:rsid w:val="00E83C40"/>
    <w:rsid w:val="00E843C1"/>
    <w:rsid w:val="00E844C9"/>
    <w:rsid w:val="00E8450D"/>
    <w:rsid w:val="00E845DD"/>
    <w:rsid w:val="00E84947"/>
    <w:rsid w:val="00E85011"/>
    <w:rsid w:val="00E854AE"/>
    <w:rsid w:val="00E855A5"/>
    <w:rsid w:val="00E858A9"/>
    <w:rsid w:val="00E859E2"/>
    <w:rsid w:val="00E85D0E"/>
    <w:rsid w:val="00E8641C"/>
    <w:rsid w:val="00E86671"/>
    <w:rsid w:val="00E86749"/>
    <w:rsid w:val="00E87128"/>
    <w:rsid w:val="00E871AF"/>
    <w:rsid w:val="00E87566"/>
    <w:rsid w:val="00E87667"/>
    <w:rsid w:val="00E87AE2"/>
    <w:rsid w:val="00E87BD8"/>
    <w:rsid w:val="00E908A8"/>
    <w:rsid w:val="00E908F0"/>
    <w:rsid w:val="00E90C89"/>
    <w:rsid w:val="00E90DA3"/>
    <w:rsid w:val="00E91769"/>
    <w:rsid w:val="00E91A2D"/>
    <w:rsid w:val="00E91C1F"/>
    <w:rsid w:val="00E91D4F"/>
    <w:rsid w:val="00E91E4F"/>
    <w:rsid w:val="00E91F41"/>
    <w:rsid w:val="00E9205D"/>
    <w:rsid w:val="00E920EB"/>
    <w:rsid w:val="00E92250"/>
    <w:rsid w:val="00E92317"/>
    <w:rsid w:val="00E923B9"/>
    <w:rsid w:val="00E92541"/>
    <w:rsid w:val="00E92AC7"/>
    <w:rsid w:val="00E92B69"/>
    <w:rsid w:val="00E92D0A"/>
    <w:rsid w:val="00E93032"/>
    <w:rsid w:val="00E930F2"/>
    <w:rsid w:val="00E93452"/>
    <w:rsid w:val="00E9348C"/>
    <w:rsid w:val="00E937BF"/>
    <w:rsid w:val="00E93914"/>
    <w:rsid w:val="00E93D03"/>
    <w:rsid w:val="00E94050"/>
    <w:rsid w:val="00E94474"/>
    <w:rsid w:val="00E94653"/>
    <w:rsid w:val="00E947B6"/>
    <w:rsid w:val="00E947FD"/>
    <w:rsid w:val="00E94C4D"/>
    <w:rsid w:val="00E94D11"/>
    <w:rsid w:val="00E95077"/>
    <w:rsid w:val="00E95216"/>
    <w:rsid w:val="00E95283"/>
    <w:rsid w:val="00E95985"/>
    <w:rsid w:val="00E959E9"/>
    <w:rsid w:val="00E95D8F"/>
    <w:rsid w:val="00E961BB"/>
    <w:rsid w:val="00E9627A"/>
    <w:rsid w:val="00E969E2"/>
    <w:rsid w:val="00E96B83"/>
    <w:rsid w:val="00E96DC5"/>
    <w:rsid w:val="00E9719E"/>
    <w:rsid w:val="00E973CD"/>
    <w:rsid w:val="00E9744F"/>
    <w:rsid w:val="00E97808"/>
    <w:rsid w:val="00E97AAD"/>
    <w:rsid w:val="00E97C06"/>
    <w:rsid w:val="00E97FE3"/>
    <w:rsid w:val="00EA036C"/>
    <w:rsid w:val="00EA045D"/>
    <w:rsid w:val="00EA05E1"/>
    <w:rsid w:val="00EA08B5"/>
    <w:rsid w:val="00EA09F3"/>
    <w:rsid w:val="00EA0C7F"/>
    <w:rsid w:val="00EA12BE"/>
    <w:rsid w:val="00EA1B6D"/>
    <w:rsid w:val="00EA1C4B"/>
    <w:rsid w:val="00EA1D6E"/>
    <w:rsid w:val="00EA2A3E"/>
    <w:rsid w:val="00EA2D5E"/>
    <w:rsid w:val="00EA37DA"/>
    <w:rsid w:val="00EA384F"/>
    <w:rsid w:val="00EA3A43"/>
    <w:rsid w:val="00EA3A8E"/>
    <w:rsid w:val="00EA3B4E"/>
    <w:rsid w:val="00EA3D27"/>
    <w:rsid w:val="00EA40D6"/>
    <w:rsid w:val="00EA41E2"/>
    <w:rsid w:val="00EA49B0"/>
    <w:rsid w:val="00EA4F38"/>
    <w:rsid w:val="00EA54EA"/>
    <w:rsid w:val="00EA55DA"/>
    <w:rsid w:val="00EA5D5D"/>
    <w:rsid w:val="00EA6064"/>
    <w:rsid w:val="00EA628F"/>
    <w:rsid w:val="00EA66DD"/>
    <w:rsid w:val="00EA6AD4"/>
    <w:rsid w:val="00EA6D52"/>
    <w:rsid w:val="00EA7A88"/>
    <w:rsid w:val="00EA7B76"/>
    <w:rsid w:val="00EA7BBB"/>
    <w:rsid w:val="00EA7C9B"/>
    <w:rsid w:val="00EA7DF3"/>
    <w:rsid w:val="00EA7EAA"/>
    <w:rsid w:val="00EB0249"/>
    <w:rsid w:val="00EB04B2"/>
    <w:rsid w:val="00EB0590"/>
    <w:rsid w:val="00EB05AB"/>
    <w:rsid w:val="00EB095B"/>
    <w:rsid w:val="00EB105A"/>
    <w:rsid w:val="00EB1B50"/>
    <w:rsid w:val="00EB1C3F"/>
    <w:rsid w:val="00EB1C67"/>
    <w:rsid w:val="00EB1EF4"/>
    <w:rsid w:val="00EB21B3"/>
    <w:rsid w:val="00EB229D"/>
    <w:rsid w:val="00EB22B7"/>
    <w:rsid w:val="00EB27E1"/>
    <w:rsid w:val="00EB286E"/>
    <w:rsid w:val="00EB2E3F"/>
    <w:rsid w:val="00EB3016"/>
    <w:rsid w:val="00EB32A2"/>
    <w:rsid w:val="00EB32E6"/>
    <w:rsid w:val="00EB3510"/>
    <w:rsid w:val="00EB35CA"/>
    <w:rsid w:val="00EB3671"/>
    <w:rsid w:val="00EB3FC3"/>
    <w:rsid w:val="00EB40CA"/>
    <w:rsid w:val="00EB4287"/>
    <w:rsid w:val="00EB4B40"/>
    <w:rsid w:val="00EB4BD6"/>
    <w:rsid w:val="00EB4C79"/>
    <w:rsid w:val="00EB4F1E"/>
    <w:rsid w:val="00EB516C"/>
    <w:rsid w:val="00EB5516"/>
    <w:rsid w:val="00EB5539"/>
    <w:rsid w:val="00EB5937"/>
    <w:rsid w:val="00EB5B3E"/>
    <w:rsid w:val="00EB5C73"/>
    <w:rsid w:val="00EB5E2E"/>
    <w:rsid w:val="00EB5FC7"/>
    <w:rsid w:val="00EB6015"/>
    <w:rsid w:val="00EB6154"/>
    <w:rsid w:val="00EB6306"/>
    <w:rsid w:val="00EB6322"/>
    <w:rsid w:val="00EB640A"/>
    <w:rsid w:val="00EB6A19"/>
    <w:rsid w:val="00EB70FF"/>
    <w:rsid w:val="00EB7349"/>
    <w:rsid w:val="00EB75FD"/>
    <w:rsid w:val="00EB77E5"/>
    <w:rsid w:val="00EB7A7A"/>
    <w:rsid w:val="00EB7B0E"/>
    <w:rsid w:val="00EB7C85"/>
    <w:rsid w:val="00EB7E04"/>
    <w:rsid w:val="00EB7EF6"/>
    <w:rsid w:val="00EB7F50"/>
    <w:rsid w:val="00EC0097"/>
    <w:rsid w:val="00EC03EA"/>
    <w:rsid w:val="00EC043A"/>
    <w:rsid w:val="00EC06E4"/>
    <w:rsid w:val="00EC0B55"/>
    <w:rsid w:val="00EC0D24"/>
    <w:rsid w:val="00EC1021"/>
    <w:rsid w:val="00EC1624"/>
    <w:rsid w:val="00EC1FDF"/>
    <w:rsid w:val="00EC22EC"/>
    <w:rsid w:val="00EC240A"/>
    <w:rsid w:val="00EC2729"/>
    <w:rsid w:val="00EC2841"/>
    <w:rsid w:val="00EC2861"/>
    <w:rsid w:val="00EC2996"/>
    <w:rsid w:val="00EC2A5D"/>
    <w:rsid w:val="00EC2F4B"/>
    <w:rsid w:val="00EC385E"/>
    <w:rsid w:val="00EC41A1"/>
    <w:rsid w:val="00EC434D"/>
    <w:rsid w:val="00EC491C"/>
    <w:rsid w:val="00EC49DC"/>
    <w:rsid w:val="00EC4B6F"/>
    <w:rsid w:val="00EC5198"/>
    <w:rsid w:val="00EC52EA"/>
    <w:rsid w:val="00EC5907"/>
    <w:rsid w:val="00EC5C19"/>
    <w:rsid w:val="00EC5DD0"/>
    <w:rsid w:val="00EC5F17"/>
    <w:rsid w:val="00EC61B8"/>
    <w:rsid w:val="00EC6221"/>
    <w:rsid w:val="00EC64D3"/>
    <w:rsid w:val="00EC65DE"/>
    <w:rsid w:val="00EC6783"/>
    <w:rsid w:val="00EC6809"/>
    <w:rsid w:val="00EC6918"/>
    <w:rsid w:val="00EC6B82"/>
    <w:rsid w:val="00EC6C06"/>
    <w:rsid w:val="00EC6F75"/>
    <w:rsid w:val="00EC7472"/>
    <w:rsid w:val="00EC774F"/>
    <w:rsid w:val="00EC7E21"/>
    <w:rsid w:val="00EC7EA3"/>
    <w:rsid w:val="00ED0031"/>
    <w:rsid w:val="00ED03E8"/>
    <w:rsid w:val="00ED05ED"/>
    <w:rsid w:val="00ED1007"/>
    <w:rsid w:val="00ED106A"/>
    <w:rsid w:val="00ED113A"/>
    <w:rsid w:val="00ED1532"/>
    <w:rsid w:val="00ED1837"/>
    <w:rsid w:val="00ED1A29"/>
    <w:rsid w:val="00ED1B2E"/>
    <w:rsid w:val="00ED1E14"/>
    <w:rsid w:val="00ED1E2B"/>
    <w:rsid w:val="00ED1EDC"/>
    <w:rsid w:val="00ED1F31"/>
    <w:rsid w:val="00ED1F9E"/>
    <w:rsid w:val="00ED201E"/>
    <w:rsid w:val="00ED2073"/>
    <w:rsid w:val="00ED2542"/>
    <w:rsid w:val="00ED26C0"/>
    <w:rsid w:val="00ED287A"/>
    <w:rsid w:val="00ED29C8"/>
    <w:rsid w:val="00ED2B7D"/>
    <w:rsid w:val="00ED2C50"/>
    <w:rsid w:val="00ED2CA1"/>
    <w:rsid w:val="00ED3031"/>
    <w:rsid w:val="00ED3721"/>
    <w:rsid w:val="00ED380A"/>
    <w:rsid w:val="00ED3AC5"/>
    <w:rsid w:val="00ED3BB3"/>
    <w:rsid w:val="00ED3C13"/>
    <w:rsid w:val="00ED3E79"/>
    <w:rsid w:val="00ED3FE7"/>
    <w:rsid w:val="00ED47A9"/>
    <w:rsid w:val="00ED4BC0"/>
    <w:rsid w:val="00ED4C5E"/>
    <w:rsid w:val="00ED5352"/>
    <w:rsid w:val="00ED56CD"/>
    <w:rsid w:val="00ED5734"/>
    <w:rsid w:val="00ED5A09"/>
    <w:rsid w:val="00ED5E7A"/>
    <w:rsid w:val="00ED5FDD"/>
    <w:rsid w:val="00ED624A"/>
    <w:rsid w:val="00ED674D"/>
    <w:rsid w:val="00ED67D8"/>
    <w:rsid w:val="00ED6B9F"/>
    <w:rsid w:val="00ED6C9D"/>
    <w:rsid w:val="00ED7689"/>
    <w:rsid w:val="00ED76DC"/>
    <w:rsid w:val="00ED77D9"/>
    <w:rsid w:val="00ED7D79"/>
    <w:rsid w:val="00EE0267"/>
    <w:rsid w:val="00EE04C1"/>
    <w:rsid w:val="00EE093B"/>
    <w:rsid w:val="00EE0A63"/>
    <w:rsid w:val="00EE0E4C"/>
    <w:rsid w:val="00EE10E4"/>
    <w:rsid w:val="00EE1109"/>
    <w:rsid w:val="00EE1175"/>
    <w:rsid w:val="00EE1211"/>
    <w:rsid w:val="00EE1227"/>
    <w:rsid w:val="00EE148D"/>
    <w:rsid w:val="00EE1532"/>
    <w:rsid w:val="00EE1823"/>
    <w:rsid w:val="00EE18AA"/>
    <w:rsid w:val="00EE2581"/>
    <w:rsid w:val="00EE25DB"/>
    <w:rsid w:val="00EE2720"/>
    <w:rsid w:val="00EE2768"/>
    <w:rsid w:val="00EE282D"/>
    <w:rsid w:val="00EE288A"/>
    <w:rsid w:val="00EE2B0E"/>
    <w:rsid w:val="00EE2BB9"/>
    <w:rsid w:val="00EE2BF4"/>
    <w:rsid w:val="00EE31AB"/>
    <w:rsid w:val="00EE33A8"/>
    <w:rsid w:val="00EE3E6F"/>
    <w:rsid w:val="00EE3E91"/>
    <w:rsid w:val="00EE40BD"/>
    <w:rsid w:val="00EE430A"/>
    <w:rsid w:val="00EE4401"/>
    <w:rsid w:val="00EE4734"/>
    <w:rsid w:val="00EE47B8"/>
    <w:rsid w:val="00EE483A"/>
    <w:rsid w:val="00EE498E"/>
    <w:rsid w:val="00EE4DBD"/>
    <w:rsid w:val="00EE4DCF"/>
    <w:rsid w:val="00EE4FE8"/>
    <w:rsid w:val="00EE53E2"/>
    <w:rsid w:val="00EE54D8"/>
    <w:rsid w:val="00EE55F9"/>
    <w:rsid w:val="00EE5903"/>
    <w:rsid w:val="00EE5A2B"/>
    <w:rsid w:val="00EE5B3C"/>
    <w:rsid w:val="00EE64EC"/>
    <w:rsid w:val="00EE6901"/>
    <w:rsid w:val="00EE6A13"/>
    <w:rsid w:val="00EE6A99"/>
    <w:rsid w:val="00EE6AA7"/>
    <w:rsid w:val="00EE6D03"/>
    <w:rsid w:val="00EE6DE0"/>
    <w:rsid w:val="00EE6FDA"/>
    <w:rsid w:val="00EE70A2"/>
    <w:rsid w:val="00EE7162"/>
    <w:rsid w:val="00EF01FA"/>
    <w:rsid w:val="00EF0668"/>
    <w:rsid w:val="00EF0C48"/>
    <w:rsid w:val="00EF0E0A"/>
    <w:rsid w:val="00EF0E4A"/>
    <w:rsid w:val="00EF15C1"/>
    <w:rsid w:val="00EF20A8"/>
    <w:rsid w:val="00EF212A"/>
    <w:rsid w:val="00EF2464"/>
    <w:rsid w:val="00EF2595"/>
    <w:rsid w:val="00EF272F"/>
    <w:rsid w:val="00EF2B20"/>
    <w:rsid w:val="00EF2F02"/>
    <w:rsid w:val="00EF3750"/>
    <w:rsid w:val="00EF38E5"/>
    <w:rsid w:val="00EF3AE0"/>
    <w:rsid w:val="00EF3B2D"/>
    <w:rsid w:val="00EF3E64"/>
    <w:rsid w:val="00EF437A"/>
    <w:rsid w:val="00EF4426"/>
    <w:rsid w:val="00EF45F1"/>
    <w:rsid w:val="00EF47FC"/>
    <w:rsid w:val="00EF481C"/>
    <w:rsid w:val="00EF5216"/>
    <w:rsid w:val="00EF5344"/>
    <w:rsid w:val="00EF54BD"/>
    <w:rsid w:val="00EF54C9"/>
    <w:rsid w:val="00EF56AA"/>
    <w:rsid w:val="00EF60F7"/>
    <w:rsid w:val="00EF61DC"/>
    <w:rsid w:val="00EF6373"/>
    <w:rsid w:val="00EF658F"/>
    <w:rsid w:val="00EF6A8E"/>
    <w:rsid w:val="00EF6C40"/>
    <w:rsid w:val="00EF6E9E"/>
    <w:rsid w:val="00EF73E9"/>
    <w:rsid w:val="00EF7435"/>
    <w:rsid w:val="00EF78A3"/>
    <w:rsid w:val="00EF7963"/>
    <w:rsid w:val="00EF7A2B"/>
    <w:rsid w:val="00EF7C88"/>
    <w:rsid w:val="00EF7C9C"/>
    <w:rsid w:val="00F00015"/>
    <w:rsid w:val="00F00176"/>
    <w:rsid w:val="00F003A6"/>
    <w:rsid w:val="00F006D5"/>
    <w:rsid w:val="00F006E3"/>
    <w:rsid w:val="00F00B52"/>
    <w:rsid w:val="00F00BFC"/>
    <w:rsid w:val="00F01445"/>
    <w:rsid w:val="00F02223"/>
    <w:rsid w:val="00F02225"/>
    <w:rsid w:val="00F02377"/>
    <w:rsid w:val="00F029D5"/>
    <w:rsid w:val="00F02B14"/>
    <w:rsid w:val="00F0340B"/>
    <w:rsid w:val="00F035C0"/>
    <w:rsid w:val="00F03670"/>
    <w:rsid w:val="00F03774"/>
    <w:rsid w:val="00F0378C"/>
    <w:rsid w:val="00F037CB"/>
    <w:rsid w:val="00F039CF"/>
    <w:rsid w:val="00F03B2C"/>
    <w:rsid w:val="00F03B37"/>
    <w:rsid w:val="00F03C48"/>
    <w:rsid w:val="00F03D2D"/>
    <w:rsid w:val="00F03D7E"/>
    <w:rsid w:val="00F040A0"/>
    <w:rsid w:val="00F04170"/>
    <w:rsid w:val="00F04379"/>
    <w:rsid w:val="00F049B0"/>
    <w:rsid w:val="00F05C02"/>
    <w:rsid w:val="00F05D2B"/>
    <w:rsid w:val="00F05D8C"/>
    <w:rsid w:val="00F060B0"/>
    <w:rsid w:val="00F06149"/>
    <w:rsid w:val="00F06275"/>
    <w:rsid w:val="00F06909"/>
    <w:rsid w:val="00F06951"/>
    <w:rsid w:val="00F06B76"/>
    <w:rsid w:val="00F06B98"/>
    <w:rsid w:val="00F06C30"/>
    <w:rsid w:val="00F06D6F"/>
    <w:rsid w:val="00F06EB5"/>
    <w:rsid w:val="00F06F0C"/>
    <w:rsid w:val="00F070C5"/>
    <w:rsid w:val="00F071EB"/>
    <w:rsid w:val="00F07224"/>
    <w:rsid w:val="00F073F7"/>
    <w:rsid w:val="00F07702"/>
    <w:rsid w:val="00F079A9"/>
    <w:rsid w:val="00F07ACF"/>
    <w:rsid w:val="00F07B2F"/>
    <w:rsid w:val="00F07E9A"/>
    <w:rsid w:val="00F1003D"/>
    <w:rsid w:val="00F104D5"/>
    <w:rsid w:val="00F109CE"/>
    <w:rsid w:val="00F1110B"/>
    <w:rsid w:val="00F11789"/>
    <w:rsid w:val="00F11812"/>
    <w:rsid w:val="00F11B01"/>
    <w:rsid w:val="00F11C5F"/>
    <w:rsid w:val="00F12459"/>
    <w:rsid w:val="00F1260C"/>
    <w:rsid w:val="00F126DD"/>
    <w:rsid w:val="00F1272D"/>
    <w:rsid w:val="00F1274F"/>
    <w:rsid w:val="00F129D9"/>
    <w:rsid w:val="00F129E7"/>
    <w:rsid w:val="00F12A6E"/>
    <w:rsid w:val="00F12B10"/>
    <w:rsid w:val="00F12B8B"/>
    <w:rsid w:val="00F12B9B"/>
    <w:rsid w:val="00F12FD8"/>
    <w:rsid w:val="00F12FEA"/>
    <w:rsid w:val="00F1329B"/>
    <w:rsid w:val="00F134C5"/>
    <w:rsid w:val="00F138B0"/>
    <w:rsid w:val="00F13B4A"/>
    <w:rsid w:val="00F13BC8"/>
    <w:rsid w:val="00F13BDC"/>
    <w:rsid w:val="00F13C53"/>
    <w:rsid w:val="00F14144"/>
    <w:rsid w:val="00F145E1"/>
    <w:rsid w:val="00F14919"/>
    <w:rsid w:val="00F14D9A"/>
    <w:rsid w:val="00F1538B"/>
    <w:rsid w:val="00F1539C"/>
    <w:rsid w:val="00F15841"/>
    <w:rsid w:val="00F16341"/>
    <w:rsid w:val="00F167CE"/>
    <w:rsid w:val="00F16C34"/>
    <w:rsid w:val="00F16D50"/>
    <w:rsid w:val="00F17111"/>
    <w:rsid w:val="00F17185"/>
    <w:rsid w:val="00F1725C"/>
    <w:rsid w:val="00F175BE"/>
    <w:rsid w:val="00F17611"/>
    <w:rsid w:val="00F17676"/>
    <w:rsid w:val="00F177EF"/>
    <w:rsid w:val="00F17A8C"/>
    <w:rsid w:val="00F17B26"/>
    <w:rsid w:val="00F17B2A"/>
    <w:rsid w:val="00F17E43"/>
    <w:rsid w:val="00F17F5A"/>
    <w:rsid w:val="00F200D5"/>
    <w:rsid w:val="00F20473"/>
    <w:rsid w:val="00F205CB"/>
    <w:rsid w:val="00F20748"/>
    <w:rsid w:val="00F20848"/>
    <w:rsid w:val="00F208AF"/>
    <w:rsid w:val="00F20EE8"/>
    <w:rsid w:val="00F21081"/>
    <w:rsid w:val="00F210D1"/>
    <w:rsid w:val="00F2134F"/>
    <w:rsid w:val="00F216E5"/>
    <w:rsid w:val="00F21747"/>
    <w:rsid w:val="00F21E65"/>
    <w:rsid w:val="00F22026"/>
    <w:rsid w:val="00F22481"/>
    <w:rsid w:val="00F22699"/>
    <w:rsid w:val="00F227EC"/>
    <w:rsid w:val="00F2285F"/>
    <w:rsid w:val="00F228F1"/>
    <w:rsid w:val="00F22C5C"/>
    <w:rsid w:val="00F23229"/>
    <w:rsid w:val="00F2322B"/>
    <w:rsid w:val="00F23436"/>
    <w:rsid w:val="00F234AB"/>
    <w:rsid w:val="00F234B1"/>
    <w:rsid w:val="00F23526"/>
    <w:rsid w:val="00F23575"/>
    <w:rsid w:val="00F237A2"/>
    <w:rsid w:val="00F23D5E"/>
    <w:rsid w:val="00F23E63"/>
    <w:rsid w:val="00F23F3B"/>
    <w:rsid w:val="00F2422E"/>
    <w:rsid w:val="00F24834"/>
    <w:rsid w:val="00F249E4"/>
    <w:rsid w:val="00F24C16"/>
    <w:rsid w:val="00F24EDE"/>
    <w:rsid w:val="00F24EEA"/>
    <w:rsid w:val="00F2504B"/>
    <w:rsid w:val="00F2545F"/>
    <w:rsid w:val="00F2561D"/>
    <w:rsid w:val="00F25853"/>
    <w:rsid w:val="00F25B89"/>
    <w:rsid w:val="00F25C8B"/>
    <w:rsid w:val="00F25E22"/>
    <w:rsid w:val="00F264A6"/>
    <w:rsid w:val="00F26527"/>
    <w:rsid w:val="00F26723"/>
    <w:rsid w:val="00F26A4C"/>
    <w:rsid w:val="00F26BF9"/>
    <w:rsid w:val="00F2763F"/>
    <w:rsid w:val="00F2781D"/>
    <w:rsid w:val="00F27AD2"/>
    <w:rsid w:val="00F27B2E"/>
    <w:rsid w:val="00F27D98"/>
    <w:rsid w:val="00F27E07"/>
    <w:rsid w:val="00F30099"/>
    <w:rsid w:val="00F302D5"/>
    <w:rsid w:val="00F306DD"/>
    <w:rsid w:val="00F30A94"/>
    <w:rsid w:val="00F30C9A"/>
    <w:rsid w:val="00F30F84"/>
    <w:rsid w:val="00F313B8"/>
    <w:rsid w:val="00F315BA"/>
    <w:rsid w:val="00F317F1"/>
    <w:rsid w:val="00F31E0B"/>
    <w:rsid w:val="00F31F2F"/>
    <w:rsid w:val="00F322B5"/>
    <w:rsid w:val="00F32922"/>
    <w:rsid w:val="00F33136"/>
    <w:rsid w:val="00F33B40"/>
    <w:rsid w:val="00F33ECC"/>
    <w:rsid w:val="00F33F3F"/>
    <w:rsid w:val="00F33F7C"/>
    <w:rsid w:val="00F34198"/>
    <w:rsid w:val="00F3436A"/>
    <w:rsid w:val="00F3457B"/>
    <w:rsid w:val="00F34A8F"/>
    <w:rsid w:val="00F34B83"/>
    <w:rsid w:val="00F34BD6"/>
    <w:rsid w:val="00F3539C"/>
    <w:rsid w:val="00F36921"/>
    <w:rsid w:val="00F37502"/>
    <w:rsid w:val="00F3776C"/>
    <w:rsid w:val="00F37ABE"/>
    <w:rsid w:val="00F37B3A"/>
    <w:rsid w:val="00F37CBD"/>
    <w:rsid w:val="00F37DBD"/>
    <w:rsid w:val="00F37F4B"/>
    <w:rsid w:val="00F404A9"/>
    <w:rsid w:val="00F4055F"/>
    <w:rsid w:val="00F40633"/>
    <w:rsid w:val="00F409B6"/>
    <w:rsid w:val="00F40B8D"/>
    <w:rsid w:val="00F4142B"/>
    <w:rsid w:val="00F416CC"/>
    <w:rsid w:val="00F41743"/>
    <w:rsid w:val="00F4190C"/>
    <w:rsid w:val="00F420CC"/>
    <w:rsid w:val="00F4254A"/>
    <w:rsid w:val="00F42DE3"/>
    <w:rsid w:val="00F43087"/>
    <w:rsid w:val="00F432CE"/>
    <w:rsid w:val="00F432E1"/>
    <w:rsid w:val="00F436F8"/>
    <w:rsid w:val="00F43936"/>
    <w:rsid w:val="00F43F68"/>
    <w:rsid w:val="00F442FE"/>
    <w:rsid w:val="00F443C1"/>
    <w:rsid w:val="00F445FE"/>
    <w:rsid w:val="00F4472B"/>
    <w:rsid w:val="00F448E7"/>
    <w:rsid w:val="00F44FA2"/>
    <w:rsid w:val="00F450ED"/>
    <w:rsid w:val="00F456F6"/>
    <w:rsid w:val="00F459B8"/>
    <w:rsid w:val="00F45B77"/>
    <w:rsid w:val="00F45E83"/>
    <w:rsid w:val="00F45F2E"/>
    <w:rsid w:val="00F4637D"/>
    <w:rsid w:val="00F46980"/>
    <w:rsid w:val="00F469A4"/>
    <w:rsid w:val="00F46CED"/>
    <w:rsid w:val="00F46EDC"/>
    <w:rsid w:val="00F47099"/>
    <w:rsid w:val="00F473D0"/>
    <w:rsid w:val="00F4764B"/>
    <w:rsid w:val="00F479C3"/>
    <w:rsid w:val="00F47D80"/>
    <w:rsid w:val="00F47DD0"/>
    <w:rsid w:val="00F47E8F"/>
    <w:rsid w:val="00F47ED6"/>
    <w:rsid w:val="00F5018C"/>
    <w:rsid w:val="00F50273"/>
    <w:rsid w:val="00F504FF"/>
    <w:rsid w:val="00F505A9"/>
    <w:rsid w:val="00F50B8C"/>
    <w:rsid w:val="00F50BA0"/>
    <w:rsid w:val="00F50CFB"/>
    <w:rsid w:val="00F50FC1"/>
    <w:rsid w:val="00F521DF"/>
    <w:rsid w:val="00F525A9"/>
    <w:rsid w:val="00F52A13"/>
    <w:rsid w:val="00F52DFA"/>
    <w:rsid w:val="00F52F4B"/>
    <w:rsid w:val="00F5321F"/>
    <w:rsid w:val="00F5325D"/>
    <w:rsid w:val="00F532AF"/>
    <w:rsid w:val="00F532D2"/>
    <w:rsid w:val="00F53381"/>
    <w:rsid w:val="00F533F1"/>
    <w:rsid w:val="00F53403"/>
    <w:rsid w:val="00F53520"/>
    <w:rsid w:val="00F537B2"/>
    <w:rsid w:val="00F53955"/>
    <w:rsid w:val="00F53BB7"/>
    <w:rsid w:val="00F53EDC"/>
    <w:rsid w:val="00F54072"/>
    <w:rsid w:val="00F540C0"/>
    <w:rsid w:val="00F541CA"/>
    <w:rsid w:val="00F541E0"/>
    <w:rsid w:val="00F54718"/>
    <w:rsid w:val="00F55295"/>
    <w:rsid w:val="00F552A3"/>
    <w:rsid w:val="00F55322"/>
    <w:rsid w:val="00F557F4"/>
    <w:rsid w:val="00F55F09"/>
    <w:rsid w:val="00F55F3F"/>
    <w:rsid w:val="00F56075"/>
    <w:rsid w:val="00F56149"/>
    <w:rsid w:val="00F564F1"/>
    <w:rsid w:val="00F567B1"/>
    <w:rsid w:val="00F56AFB"/>
    <w:rsid w:val="00F56FA4"/>
    <w:rsid w:val="00F5717E"/>
    <w:rsid w:val="00F57278"/>
    <w:rsid w:val="00F57600"/>
    <w:rsid w:val="00F57618"/>
    <w:rsid w:val="00F579B9"/>
    <w:rsid w:val="00F57DC7"/>
    <w:rsid w:val="00F60075"/>
    <w:rsid w:val="00F60419"/>
    <w:rsid w:val="00F60765"/>
    <w:rsid w:val="00F60937"/>
    <w:rsid w:val="00F60ABC"/>
    <w:rsid w:val="00F60C99"/>
    <w:rsid w:val="00F610E4"/>
    <w:rsid w:val="00F61267"/>
    <w:rsid w:val="00F61394"/>
    <w:rsid w:val="00F613D0"/>
    <w:rsid w:val="00F6165C"/>
    <w:rsid w:val="00F61B8C"/>
    <w:rsid w:val="00F61BA2"/>
    <w:rsid w:val="00F61BE4"/>
    <w:rsid w:val="00F61C5F"/>
    <w:rsid w:val="00F61CCF"/>
    <w:rsid w:val="00F620C7"/>
    <w:rsid w:val="00F6285D"/>
    <w:rsid w:val="00F62898"/>
    <w:rsid w:val="00F62ACB"/>
    <w:rsid w:val="00F62BED"/>
    <w:rsid w:val="00F62F4E"/>
    <w:rsid w:val="00F62F54"/>
    <w:rsid w:val="00F633CB"/>
    <w:rsid w:val="00F639B9"/>
    <w:rsid w:val="00F63C79"/>
    <w:rsid w:val="00F640A3"/>
    <w:rsid w:val="00F6435C"/>
    <w:rsid w:val="00F64699"/>
    <w:rsid w:val="00F649AB"/>
    <w:rsid w:val="00F64C29"/>
    <w:rsid w:val="00F64D1A"/>
    <w:rsid w:val="00F64D34"/>
    <w:rsid w:val="00F653D0"/>
    <w:rsid w:val="00F654D1"/>
    <w:rsid w:val="00F65774"/>
    <w:rsid w:val="00F65A49"/>
    <w:rsid w:val="00F65BD8"/>
    <w:rsid w:val="00F660D0"/>
    <w:rsid w:val="00F6615E"/>
    <w:rsid w:val="00F665EE"/>
    <w:rsid w:val="00F666F5"/>
    <w:rsid w:val="00F668F6"/>
    <w:rsid w:val="00F66904"/>
    <w:rsid w:val="00F66979"/>
    <w:rsid w:val="00F66BC7"/>
    <w:rsid w:val="00F670B4"/>
    <w:rsid w:val="00F670C3"/>
    <w:rsid w:val="00F671D1"/>
    <w:rsid w:val="00F67703"/>
    <w:rsid w:val="00F6785F"/>
    <w:rsid w:val="00F678D4"/>
    <w:rsid w:val="00F6796B"/>
    <w:rsid w:val="00F701C6"/>
    <w:rsid w:val="00F70399"/>
    <w:rsid w:val="00F7055A"/>
    <w:rsid w:val="00F70DAA"/>
    <w:rsid w:val="00F70EFB"/>
    <w:rsid w:val="00F7124B"/>
    <w:rsid w:val="00F7127C"/>
    <w:rsid w:val="00F71387"/>
    <w:rsid w:val="00F71B8A"/>
    <w:rsid w:val="00F7225C"/>
    <w:rsid w:val="00F72403"/>
    <w:rsid w:val="00F72781"/>
    <w:rsid w:val="00F72DD6"/>
    <w:rsid w:val="00F72EC7"/>
    <w:rsid w:val="00F72F1A"/>
    <w:rsid w:val="00F72FC7"/>
    <w:rsid w:val="00F73102"/>
    <w:rsid w:val="00F73110"/>
    <w:rsid w:val="00F7329B"/>
    <w:rsid w:val="00F73489"/>
    <w:rsid w:val="00F73BA1"/>
    <w:rsid w:val="00F73C52"/>
    <w:rsid w:val="00F73E29"/>
    <w:rsid w:val="00F74001"/>
    <w:rsid w:val="00F74354"/>
    <w:rsid w:val="00F74B68"/>
    <w:rsid w:val="00F74BB2"/>
    <w:rsid w:val="00F75384"/>
    <w:rsid w:val="00F754ED"/>
    <w:rsid w:val="00F75681"/>
    <w:rsid w:val="00F75820"/>
    <w:rsid w:val="00F75E85"/>
    <w:rsid w:val="00F75EBA"/>
    <w:rsid w:val="00F75F41"/>
    <w:rsid w:val="00F7608E"/>
    <w:rsid w:val="00F760DB"/>
    <w:rsid w:val="00F76806"/>
    <w:rsid w:val="00F76AEA"/>
    <w:rsid w:val="00F76F5F"/>
    <w:rsid w:val="00F7700F"/>
    <w:rsid w:val="00F77664"/>
    <w:rsid w:val="00F77D77"/>
    <w:rsid w:val="00F800AA"/>
    <w:rsid w:val="00F80121"/>
    <w:rsid w:val="00F80162"/>
    <w:rsid w:val="00F80239"/>
    <w:rsid w:val="00F80603"/>
    <w:rsid w:val="00F81474"/>
    <w:rsid w:val="00F815FF"/>
    <w:rsid w:val="00F81B7B"/>
    <w:rsid w:val="00F81BB2"/>
    <w:rsid w:val="00F81C06"/>
    <w:rsid w:val="00F81C95"/>
    <w:rsid w:val="00F82620"/>
    <w:rsid w:val="00F82AED"/>
    <w:rsid w:val="00F82BB5"/>
    <w:rsid w:val="00F82BD3"/>
    <w:rsid w:val="00F82ED5"/>
    <w:rsid w:val="00F83092"/>
    <w:rsid w:val="00F83356"/>
    <w:rsid w:val="00F8355C"/>
    <w:rsid w:val="00F838A3"/>
    <w:rsid w:val="00F839B7"/>
    <w:rsid w:val="00F83A8C"/>
    <w:rsid w:val="00F83B4B"/>
    <w:rsid w:val="00F83B52"/>
    <w:rsid w:val="00F8403D"/>
    <w:rsid w:val="00F8404B"/>
    <w:rsid w:val="00F84317"/>
    <w:rsid w:val="00F84556"/>
    <w:rsid w:val="00F8465A"/>
    <w:rsid w:val="00F84AB3"/>
    <w:rsid w:val="00F84ABE"/>
    <w:rsid w:val="00F84AFF"/>
    <w:rsid w:val="00F84B1A"/>
    <w:rsid w:val="00F84D0F"/>
    <w:rsid w:val="00F84E9F"/>
    <w:rsid w:val="00F84ED1"/>
    <w:rsid w:val="00F84F58"/>
    <w:rsid w:val="00F850CF"/>
    <w:rsid w:val="00F850E5"/>
    <w:rsid w:val="00F852B5"/>
    <w:rsid w:val="00F852DC"/>
    <w:rsid w:val="00F8533D"/>
    <w:rsid w:val="00F8548A"/>
    <w:rsid w:val="00F85756"/>
    <w:rsid w:val="00F8626A"/>
    <w:rsid w:val="00F86310"/>
    <w:rsid w:val="00F868B2"/>
    <w:rsid w:val="00F869A6"/>
    <w:rsid w:val="00F86F96"/>
    <w:rsid w:val="00F8732B"/>
    <w:rsid w:val="00F87428"/>
    <w:rsid w:val="00F8764E"/>
    <w:rsid w:val="00F87B21"/>
    <w:rsid w:val="00F87D92"/>
    <w:rsid w:val="00F87EB7"/>
    <w:rsid w:val="00F90B29"/>
    <w:rsid w:val="00F90BD8"/>
    <w:rsid w:val="00F9181C"/>
    <w:rsid w:val="00F9184A"/>
    <w:rsid w:val="00F91C37"/>
    <w:rsid w:val="00F92374"/>
    <w:rsid w:val="00F924A1"/>
    <w:rsid w:val="00F926C1"/>
    <w:rsid w:val="00F935F6"/>
    <w:rsid w:val="00F938F4"/>
    <w:rsid w:val="00F93980"/>
    <w:rsid w:val="00F9398B"/>
    <w:rsid w:val="00F9460C"/>
    <w:rsid w:val="00F947C7"/>
    <w:rsid w:val="00F94B01"/>
    <w:rsid w:val="00F94B3A"/>
    <w:rsid w:val="00F95070"/>
    <w:rsid w:val="00F9591E"/>
    <w:rsid w:val="00F95A89"/>
    <w:rsid w:val="00F95DB4"/>
    <w:rsid w:val="00F95F24"/>
    <w:rsid w:val="00F960C2"/>
    <w:rsid w:val="00F96197"/>
    <w:rsid w:val="00F96200"/>
    <w:rsid w:val="00F964BA"/>
    <w:rsid w:val="00F9681D"/>
    <w:rsid w:val="00F96BCE"/>
    <w:rsid w:val="00F96F03"/>
    <w:rsid w:val="00F96FDE"/>
    <w:rsid w:val="00F97119"/>
    <w:rsid w:val="00F9731A"/>
    <w:rsid w:val="00F97AC4"/>
    <w:rsid w:val="00F97BDC"/>
    <w:rsid w:val="00F97D98"/>
    <w:rsid w:val="00FA02F6"/>
    <w:rsid w:val="00FA062A"/>
    <w:rsid w:val="00FA0B44"/>
    <w:rsid w:val="00FA0E94"/>
    <w:rsid w:val="00FA0EEC"/>
    <w:rsid w:val="00FA155F"/>
    <w:rsid w:val="00FA1751"/>
    <w:rsid w:val="00FA20A1"/>
    <w:rsid w:val="00FA2183"/>
    <w:rsid w:val="00FA225A"/>
    <w:rsid w:val="00FA23F8"/>
    <w:rsid w:val="00FA2560"/>
    <w:rsid w:val="00FA2EB7"/>
    <w:rsid w:val="00FA2EF6"/>
    <w:rsid w:val="00FA332A"/>
    <w:rsid w:val="00FA36CD"/>
    <w:rsid w:val="00FA38DB"/>
    <w:rsid w:val="00FA45E6"/>
    <w:rsid w:val="00FA4AAF"/>
    <w:rsid w:val="00FA4F01"/>
    <w:rsid w:val="00FA52FD"/>
    <w:rsid w:val="00FA539B"/>
    <w:rsid w:val="00FA5536"/>
    <w:rsid w:val="00FA57D9"/>
    <w:rsid w:val="00FA5A81"/>
    <w:rsid w:val="00FA6182"/>
    <w:rsid w:val="00FA62C1"/>
    <w:rsid w:val="00FA64D6"/>
    <w:rsid w:val="00FA6932"/>
    <w:rsid w:val="00FA6B75"/>
    <w:rsid w:val="00FA7183"/>
    <w:rsid w:val="00FA7415"/>
    <w:rsid w:val="00FA76A5"/>
    <w:rsid w:val="00FA780F"/>
    <w:rsid w:val="00FA7925"/>
    <w:rsid w:val="00FA7ACF"/>
    <w:rsid w:val="00FA7C6C"/>
    <w:rsid w:val="00FB0144"/>
    <w:rsid w:val="00FB0C29"/>
    <w:rsid w:val="00FB0C74"/>
    <w:rsid w:val="00FB10EE"/>
    <w:rsid w:val="00FB1197"/>
    <w:rsid w:val="00FB1692"/>
    <w:rsid w:val="00FB1735"/>
    <w:rsid w:val="00FB18EA"/>
    <w:rsid w:val="00FB1B32"/>
    <w:rsid w:val="00FB1FD2"/>
    <w:rsid w:val="00FB239C"/>
    <w:rsid w:val="00FB2594"/>
    <w:rsid w:val="00FB2A75"/>
    <w:rsid w:val="00FB33F1"/>
    <w:rsid w:val="00FB3612"/>
    <w:rsid w:val="00FB3C93"/>
    <w:rsid w:val="00FB3D0C"/>
    <w:rsid w:val="00FB3D13"/>
    <w:rsid w:val="00FB458B"/>
    <w:rsid w:val="00FB4957"/>
    <w:rsid w:val="00FB4AAE"/>
    <w:rsid w:val="00FB4E64"/>
    <w:rsid w:val="00FB56A5"/>
    <w:rsid w:val="00FB59F9"/>
    <w:rsid w:val="00FB5B5B"/>
    <w:rsid w:val="00FB5E64"/>
    <w:rsid w:val="00FB5ECC"/>
    <w:rsid w:val="00FB6152"/>
    <w:rsid w:val="00FB6164"/>
    <w:rsid w:val="00FB62A9"/>
    <w:rsid w:val="00FB6992"/>
    <w:rsid w:val="00FB6C69"/>
    <w:rsid w:val="00FB6F2B"/>
    <w:rsid w:val="00FB7214"/>
    <w:rsid w:val="00FB7500"/>
    <w:rsid w:val="00FB7637"/>
    <w:rsid w:val="00FB76BA"/>
    <w:rsid w:val="00FB7AF0"/>
    <w:rsid w:val="00FB7C69"/>
    <w:rsid w:val="00FB7FAD"/>
    <w:rsid w:val="00FC03DB"/>
    <w:rsid w:val="00FC0414"/>
    <w:rsid w:val="00FC0635"/>
    <w:rsid w:val="00FC06E8"/>
    <w:rsid w:val="00FC0749"/>
    <w:rsid w:val="00FC093C"/>
    <w:rsid w:val="00FC1AB9"/>
    <w:rsid w:val="00FC1AD2"/>
    <w:rsid w:val="00FC1BFA"/>
    <w:rsid w:val="00FC2171"/>
    <w:rsid w:val="00FC230A"/>
    <w:rsid w:val="00FC2A54"/>
    <w:rsid w:val="00FC2BA9"/>
    <w:rsid w:val="00FC2BD1"/>
    <w:rsid w:val="00FC353C"/>
    <w:rsid w:val="00FC37F4"/>
    <w:rsid w:val="00FC3AAC"/>
    <w:rsid w:val="00FC3C73"/>
    <w:rsid w:val="00FC3FEE"/>
    <w:rsid w:val="00FC4041"/>
    <w:rsid w:val="00FC4113"/>
    <w:rsid w:val="00FC47C4"/>
    <w:rsid w:val="00FC4936"/>
    <w:rsid w:val="00FC4C06"/>
    <w:rsid w:val="00FC4D25"/>
    <w:rsid w:val="00FC4EDC"/>
    <w:rsid w:val="00FC5194"/>
    <w:rsid w:val="00FC52E6"/>
    <w:rsid w:val="00FC54B7"/>
    <w:rsid w:val="00FC5635"/>
    <w:rsid w:val="00FC56BC"/>
    <w:rsid w:val="00FC58D5"/>
    <w:rsid w:val="00FC5A70"/>
    <w:rsid w:val="00FC5DEA"/>
    <w:rsid w:val="00FC5F52"/>
    <w:rsid w:val="00FC606B"/>
    <w:rsid w:val="00FC622B"/>
    <w:rsid w:val="00FC6CC9"/>
    <w:rsid w:val="00FC6D9B"/>
    <w:rsid w:val="00FC6DD0"/>
    <w:rsid w:val="00FC73F5"/>
    <w:rsid w:val="00FC7757"/>
    <w:rsid w:val="00FC79EB"/>
    <w:rsid w:val="00FC79F1"/>
    <w:rsid w:val="00FD0043"/>
    <w:rsid w:val="00FD010C"/>
    <w:rsid w:val="00FD0417"/>
    <w:rsid w:val="00FD05BE"/>
    <w:rsid w:val="00FD061C"/>
    <w:rsid w:val="00FD0917"/>
    <w:rsid w:val="00FD0A63"/>
    <w:rsid w:val="00FD0AC1"/>
    <w:rsid w:val="00FD0E43"/>
    <w:rsid w:val="00FD1006"/>
    <w:rsid w:val="00FD1489"/>
    <w:rsid w:val="00FD162F"/>
    <w:rsid w:val="00FD1C9C"/>
    <w:rsid w:val="00FD292A"/>
    <w:rsid w:val="00FD2BDC"/>
    <w:rsid w:val="00FD320B"/>
    <w:rsid w:val="00FD32A5"/>
    <w:rsid w:val="00FD333E"/>
    <w:rsid w:val="00FD3562"/>
    <w:rsid w:val="00FD3A1D"/>
    <w:rsid w:val="00FD3D6F"/>
    <w:rsid w:val="00FD3EC2"/>
    <w:rsid w:val="00FD422B"/>
    <w:rsid w:val="00FD4313"/>
    <w:rsid w:val="00FD4327"/>
    <w:rsid w:val="00FD5318"/>
    <w:rsid w:val="00FD5765"/>
    <w:rsid w:val="00FD5864"/>
    <w:rsid w:val="00FD5AC3"/>
    <w:rsid w:val="00FD5D05"/>
    <w:rsid w:val="00FD5D54"/>
    <w:rsid w:val="00FD5E0E"/>
    <w:rsid w:val="00FD5E11"/>
    <w:rsid w:val="00FD5FF7"/>
    <w:rsid w:val="00FD64A6"/>
    <w:rsid w:val="00FD6E84"/>
    <w:rsid w:val="00FD71FF"/>
    <w:rsid w:val="00FD74AF"/>
    <w:rsid w:val="00FD75A3"/>
    <w:rsid w:val="00FD78FD"/>
    <w:rsid w:val="00FE0229"/>
    <w:rsid w:val="00FE044A"/>
    <w:rsid w:val="00FE09ED"/>
    <w:rsid w:val="00FE0C50"/>
    <w:rsid w:val="00FE0C9C"/>
    <w:rsid w:val="00FE1C42"/>
    <w:rsid w:val="00FE1FAD"/>
    <w:rsid w:val="00FE2156"/>
    <w:rsid w:val="00FE22A9"/>
    <w:rsid w:val="00FE26E6"/>
    <w:rsid w:val="00FE27FD"/>
    <w:rsid w:val="00FE2AD2"/>
    <w:rsid w:val="00FE2B0C"/>
    <w:rsid w:val="00FE2C9B"/>
    <w:rsid w:val="00FE2EA8"/>
    <w:rsid w:val="00FE30CC"/>
    <w:rsid w:val="00FE30D8"/>
    <w:rsid w:val="00FE32A7"/>
    <w:rsid w:val="00FE3764"/>
    <w:rsid w:val="00FE39F3"/>
    <w:rsid w:val="00FE3E09"/>
    <w:rsid w:val="00FE4243"/>
    <w:rsid w:val="00FE4879"/>
    <w:rsid w:val="00FE4DF1"/>
    <w:rsid w:val="00FE5316"/>
    <w:rsid w:val="00FE5716"/>
    <w:rsid w:val="00FE6154"/>
    <w:rsid w:val="00FE6429"/>
    <w:rsid w:val="00FE6464"/>
    <w:rsid w:val="00FE6504"/>
    <w:rsid w:val="00FE67E0"/>
    <w:rsid w:val="00FE688A"/>
    <w:rsid w:val="00FE68B4"/>
    <w:rsid w:val="00FE6A70"/>
    <w:rsid w:val="00FE6BED"/>
    <w:rsid w:val="00FE6EDE"/>
    <w:rsid w:val="00FE70B7"/>
    <w:rsid w:val="00FE7220"/>
    <w:rsid w:val="00FE78A7"/>
    <w:rsid w:val="00FE7C3B"/>
    <w:rsid w:val="00FE7FE5"/>
    <w:rsid w:val="00FF044B"/>
    <w:rsid w:val="00FF08DC"/>
    <w:rsid w:val="00FF0C0B"/>
    <w:rsid w:val="00FF0C3B"/>
    <w:rsid w:val="00FF1409"/>
    <w:rsid w:val="00FF159A"/>
    <w:rsid w:val="00FF168A"/>
    <w:rsid w:val="00FF16E7"/>
    <w:rsid w:val="00FF1744"/>
    <w:rsid w:val="00FF1759"/>
    <w:rsid w:val="00FF1777"/>
    <w:rsid w:val="00FF1A67"/>
    <w:rsid w:val="00FF1A92"/>
    <w:rsid w:val="00FF1F1F"/>
    <w:rsid w:val="00FF25BE"/>
    <w:rsid w:val="00FF2E65"/>
    <w:rsid w:val="00FF32EF"/>
    <w:rsid w:val="00FF3B1E"/>
    <w:rsid w:val="00FF43BC"/>
    <w:rsid w:val="00FF44C4"/>
    <w:rsid w:val="00FF46AB"/>
    <w:rsid w:val="00FF487A"/>
    <w:rsid w:val="00FF48E2"/>
    <w:rsid w:val="00FF48F8"/>
    <w:rsid w:val="00FF4BE6"/>
    <w:rsid w:val="00FF4CCB"/>
    <w:rsid w:val="00FF4EE7"/>
    <w:rsid w:val="00FF5159"/>
    <w:rsid w:val="00FF52BA"/>
    <w:rsid w:val="00FF59D2"/>
    <w:rsid w:val="00FF5A2B"/>
    <w:rsid w:val="00FF5E7D"/>
    <w:rsid w:val="00FF60C7"/>
    <w:rsid w:val="00FF6120"/>
    <w:rsid w:val="00FF614B"/>
    <w:rsid w:val="00FF6426"/>
    <w:rsid w:val="00FF68D0"/>
    <w:rsid w:val="00FF6A2A"/>
    <w:rsid w:val="00FF6D31"/>
    <w:rsid w:val="00FF76E6"/>
    <w:rsid w:val="00FF7C8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EBF78"/>
  <w15:chartTrackingRefBased/>
  <w15:docId w15:val="{DEF96C48-1825-430F-848E-C840408BD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0FEB"/>
    <w:rPr>
      <w:rFonts w:asciiTheme="minorHAnsi" w:hAnsiTheme="minorHAnsi" w:cstheme="minorHAnsi"/>
      <w:color w:val="53585F" w:themeColor="text2"/>
      <w:sz w:val="22"/>
      <w:szCs w:val="24"/>
    </w:rPr>
  </w:style>
  <w:style w:type="paragraph" w:styleId="Heading1">
    <w:name w:val="heading 1"/>
    <w:next w:val="Normal"/>
    <w:link w:val="Heading1Char"/>
    <w:uiPriority w:val="9"/>
    <w:qFormat/>
    <w:rsid w:val="004F2A9E"/>
    <w:pPr>
      <w:spacing w:after="120"/>
      <w:outlineLvl w:val="0"/>
    </w:pPr>
    <w:rPr>
      <w:rFonts w:ascii="Rockwell" w:eastAsia="Times New Roman" w:hAnsi="Rockwell"/>
      <w:color w:val="B31E3E" w:themeColor="accent1"/>
      <w:sz w:val="32"/>
      <w:szCs w:val="24"/>
    </w:rPr>
  </w:style>
  <w:style w:type="paragraph" w:styleId="Heading2">
    <w:name w:val="heading 2"/>
    <w:basedOn w:val="Normal"/>
    <w:next w:val="Normal"/>
    <w:link w:val="Heading2Char"/>
    <w:uiPriority w:val="9"/>
    <w:unhideWhenUsed/>
    <w:qFormat/>
    <w:rsid w:val="00D2460A"/>
    <w:pPr>
      <w:keepNext/>
      <w:pBdr>
        <w:top w:val="single" w:sz="12" w:space="1" w:color="auto"/>
      </w:pBdr>
      <w:spacing w:after="160" w:line="278" w:lineRule="auto"/>
      <w:outlineLvl w:val="1"/>
    </w:pPr>
    <w:rPr>
      <w:rFonts w:ascii="Arial" w:eastAsiaTheme="minorHAnsi" w:hAnsi="Arial" w:cs="Arial"/>
      <w:b/>
      <w:noProof/>
      <w:color w:val="B31D3F"/>
      <w:kern w:val="2"/>
      <w:sz w:val="28"/>
      <w:szCs w:val="22"/>
      <w14:ligatures w14:val="standardContextual"/>
    </w:rPr>
  </w:style>
  <w:style w:type="paragraph" w:styleId="Heading3">
    <w:name w:val="heading 3"/>
    <w:basedOn w:val="Normal"/>
    <w:next w:val="Normal"/>
    <w:link w:val="Heading3Char"/>
    <w:uiPriority w:val="9"/>
    <w:unhideWhenUsed/>
    <w:qFormat/>
    <w:rsid w:val="00625093"/>
    <w:pPr>
      <w:keepNext/>
      <w:keepLines/>
      <w:spacing w:before="240"/>
      <w:outlineLvl w:val="2"/>
    </w:pPr>
    <w:rPr>
      <w:rFonts w:eastAsia="Times New Roman" w:cs="Times New Roman (Headings CS)"/>
      <w:b/>
      <w:bCs/>
      <w:i/>
      <w:iCs/>
      <w:color w:val="B31E3E" w:themeColor="accent1"/>
    </w:rPr>
  </w:style>
  <w:style w:type="paragraph" w:styleId="Heading4">
    <w:name w:val="heading 4"/>
    <w:basedOn w:val="Normal"/>
    <w:next w:val="Normal"/>
    <w:link w:val="Heading4Char"/>
    <w:uiPriority w:val="9"/>
    <w:unhideWhenUsed/>
    <w:qFormat/>
    <w:rsid w:val="0016466F"/>
    <w:pPr>
      <w:keepNext/>
      <w:keepLines/>
      <w:spacing w:before="40"/>
      <w:outlineLvl w:val="3"/>
    </w:pPr>
    <w:rPr>
      <w:rFonts w:ascii="Montserrat" w:eastAsia="Times New Roman" w:hAnsi="Montserrat"/>
      <w:b/>
      <w:i/>
      <w:iCs/>
    </w:rPr>
  </w:style>
  <w:style w:type="paragraph" w:styleId="Heading5">
    <w:name w:val="heading 5"/>
    <w:basedOn w:val="Normal"/>
    <w:next w:val="Normal"/>
    <w:link w:val="Heading5Char"/>
    <w:uiPriority w:val="9"/>
    <w:semiHidden/>
    <w:unhideWhenUsed/>
    <w:qFormat/>
    <w:rsid w:val="00D2460A"/>
    <w:pPr>
      <w:keepNext/>
      <w:keepLines/>
      <w:spacing w:before="80" w:after="40" w:line="278" w:lineRule="auto"/>
      <w:ind w:left="360"/>
      <w:outlineLvl w:val="4"/>
    </w:pPr>
    <w:rPr>
      <w:rFonts w:ascii="Arial" w:eastAsiaTheme="majorEastAsia" w:hAnsi="Arial" w:cstheme="majorBidi"/>
      <w:noProof/>
      <w:color w:val="85162E" w:themeColor="accent1" w:themeShade="BF"/>
      <w:kern w:val="2"/>
      <w:szCs w:val="22"/>
      <w14:ligatures w14:val="standardContextual"/>
    </w:rPr>
  </w:style>
  <w:style w:type="paragraph" w:styleId="Heading6">
    <w:name w:val="heading 6"/>
    <w:basedOn w:val="Normal"/>
    <w:next w:val="Normal"/>
    <w:link w:val="Heading6Char"/>
    <w:uiPriority w:val="9"/>
    <w:semiHidden/>
    <w:unhideWhenUsed/>
    <w:qFormat/>
    <w:rsid w:val="00D2460A"/>
    <w:pPr>
      <w:keepNext/>
      <w:keepLines/>
      <w:spacing w:before="40" w:line="278" w:lineRule="auto"/>
      <w:ind w:left="360"/>
      <w:outlineLvl w:val="5"/>
    </w:pPr>
    <w:rPr>
      <w:rFonts w:ascii="Arial" w:eastAsiaTheme="majorEastAsia" w:hAnsi="Arial" w:cstheme="majorBidi"/>
      <w:i/>
      <w:iCs/>
      <w:noProof/>
      <w:color w:val="595959" w:themeColor="text1" w:themeTint="A6"/>
      <w:kern w:val="2"/>
      <w:szCs w:val="22"/>
      <w14:ligatures w14:val="standardContextual"/>
    </w:rPr>
  </w:style>
  <w:style w:type="paragraph" w:styleId="Heading7">
    <w:name w:val="heading 7"/>
    <w:basedOn w:val="Normal"/>
    <w:next w:val="Normal"/>
    <w:link w:val="Heading7Char"/>
    <w:uiPriority w:val="9"/>
    <w:semiHidden/>
    <w:unhideWhenUsed/>
    <w:qFormat/>
    <w:rsid w:val="00D2460A"/>
    <w:pPr>
      <w:keepNext/>
      <w:keepLines/>
      <w:spacing w:before="40" w:line="278" w:lineRule="auto"/>
      <w:ind w:left="360"/>
      <w:outlineLvl w:val="6"/>
    </w:pPr>
    <w:rPr>
      <w:rFonts w:ascii="Arial" w:eastAsiaTheme="majorEastAsia" w:hAnsi="Arial" w:cstheme="majorBidi"/>
      <w:noProof/>
      <w:color w:val="595959" w:themeColor="text1" w:themeTint="A6"/>
      <w:kern w:val="2"/>
      <w:szCs w:val="22"/>
      <w14:ligatures w14:val="standardContextual"/>
    </w:rPr>
  </w:style>
  <w:style w:type="paragraph" w:styleId="Heading8">
    <w:name w:val="heading 8"/>
    <w:basedOn w:val="Normal"/>
    <w:next w:val="Normal"/>
    <w:link w:val="Heading8Char"/>
    <w:uiPriority w:val="9"/>
    <w:unhideWhenUsed/>
    <w:qFormat/>
    <w:rsid w:val="00BF4869"/>
    <w:pPr>
      <w:keepNext/>
      <w:keepLines/>
      <w:spacing w:before="40"/>
      <w:outlineLvl w:val="7"/>
    </w:pPr>
    <w:rPr>
      <w:rFonts w:ascii="Century Gothic" w:eastAsia="Times New Roman" w:hAnsi="Century Gothic"/>
      <w:color w:val="272727"/>
      <w:sz w:val="21"/>
      <w:szCs w:val="21"/>
    </w:rPr>
  </w:style>
  <w:style w:type="paragraph" w:styleId="Heading9">
    <w:name w:val="heading 9"/>
    <w:basedOn w:val="Normal"/>
    <w:next w:val="Normal"/>
    <w:link w:val="Heading9Char"/>
    <w:uiPriority w:val="9"/>
    <w:unhideWhenUsed/>
    <w:qFormat/>
    <w:rsid w:val="00BF4869"/>
    <w:pPr>
      <w:keepNext/>
      <w:keepLines/>
      <w:spacing w:before="40"/>
      <w:outlineLvl w:val="8"/>
    </w:pPr>
    <w:rPr>
      <w:rFonts w:ascii="Century Gothic" w:eastAsia="Times New Roman" w:hAnsi="Century Gothic"/>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43DEF"/>
    <w:rPr>
      <w:rFonts w:ascii="Rockwell" w:eastAsia="Times New Roman" w:hAnsi="Rockwell"/>
      <w:color w:val="B31E3E" w:themeColor="accent1"/>
      <w:sz w:val="32"/>
      <w:szCs w:val="24"/>
    </w:rPr>
  </w:style>
  <w:style w:type="character" w:customStyle="1" w:styleId="Heading3Char">
    <w:name w:val="Heading 3 Char"/>
    <w:link w:val="Heading3"/>
    <w:uiPriority w:val="9"/>
    <w:rsid w:val="00625093"/>
    <w:rPr>
      <w:rFonts w:asciiTheme="minorHAnsi" w:eastAsia="Times New Roman" w:hAnsiTheme="minorHAnsi" w:cs="Times New Roman (Headings CS)"/>
      <w:b/>
      <w:bCs/>
      <w:i/>
      <w:iCs/>
      <w:color w:val="B31E3E" w:themeColor="accent1"/>
      <w:sz w:val="22"/>
      <w:szCs w:val="24"/>
    </w:rPr>
  </w:style>
  <w:style w:type="character" w:customStyle="1" w:styleId="Heading2Char">
    <w:name w:val="Heading 2 Char"/>
    <w:basedOn w:val="DefaultParagraphFont"/>
    <w:link w:val="Heading2"/>
    <w:uiPriority w:val="9"/>
    <w:rsid w:val="00D2460A"/>
    <w:rPr>
      <w:rFonts w:ascii="Arial" w:eastAsiaTheme="minorHAnsi" w:hAnsi="Arial" w:cs="Arial"/>
      <w:b/>
      <w:noProof/>
      <w:color w:val="B31D3F"/>
      <w:kern w:val="2"/>
      <w:sz w:val="28"/>
      <w:szCs w:val="22"/>
      <w14:ligatures w14:val="standardContextual"/>
    </w:rPr>
  </w:style>
  <w:style w:type="character" w:customStyle="1" w:styleId="Heading4Char">
    <w:name w:val="Heading 4 Char"/>
    <w:link w:val="Heading4"/>
    <w:uiPriority w:val="9"/>
    <w:rsid w:val="0016466F"/>
    <w:rPr>
      <w:rFonts w:ascii="Montserrat" w:eastAsia="Times New Roman" w:hAnsi="Montserrat" w:cstheme="minorHAnsi"/>
      <w:b/>
      <w:i/>
      <w:iCs/>
      <w:color w:val="53585F" w:themeColor="text2"/>
      <w:sz w:val="22"/>
      <w:szCs w:val="24"/>
    </w:rPr>
  </w:style>
  <w:style w:type="character" w:customStyle="1" w:styleId="Heading8Char">
    <w:name w:val="Heading 8 Char"/>
    <w:link w:val="Heading8"/>
    <w:uiPriority w:val="9"/>
    <w:rsid w:val="00BF4869"/>
    <w:rPr>
      <w:rFonts w:ascii="Century Gothic" w:eastAsia="Times New Roman" w:hAnsi="Century Gothic" w:cs="Times New Roman"/>
      <w:color w:val="272727"/>
      <w:sz w:val="21"/>
      <w:szCs w:val="21"/>
    </w:rPr>
  </w:style>
  <w:style w:type="character" w:customStyle="1" w:styleId="Heading9Char">
    <w:name w:val="Heading 9 Char"/>
    <w:link w:val="Heading9"/>
    <w:uiPriority w:val="9"/>
    <w:rsid w:val="00BF4869"/>
    <w:rPr>
      <w:rFonts w:ascii="Century Gothic" w:eastAsia="Times New Roman" w:hAnsi="Century Gothic" w:cs="Times New Roman"/>
      <w:i/>
      <w:iCs/>
      <w:color w:val="272727"/>
      <w:sz w:val="21"/>
      <w:szCs w:val="21"/>
    </w:rPr>
  </w:style>
  <w:style w:type="paragraph" w:styleId="Header">
    <w:name w:val="header"/>
    <w:next w:val="Heading1"/>
    <w:link w:val="HeaderChar"/>
    <w:uiPriority w:val="99"/>
    <w:unhideWhenUsed/>
    <w:qFormat/>
    <w:rsid w:val="00617728"/>
    <w:pPr>
      <w:tabs>
        <w:tab w:val="center" w:pos="4680"/>
        <w:tab w:val="right" w:pos="9360"/>
      </w:tabs>
      <w:suppressAutoHyphens/>
      <w:ind w:left="1296" w:right="-720"/>
      <w:jc w:val="right"/>
    </w:pPr>
    <w:rPr>
      <w:rFonts w:ascii="Times New Roman" w:hAnsi="Times New Roman"/>
      <w:b/>
      <w:bCs/>
      <w:color w:val="53585F" w:themeColor="text2"/>
      <w:sz w:val="40"/>
      <w:szCs w:val="15"/>
    </w:rPr>
  </w:style>
  <w:style w:type="character" w:customStyle="1" w:styleId="HeaderChar">
    <w:name w:val="Header Char"/>
    <w:link w:val="Header"/>
    <w:uiPriority w:val="99"/>
    <w:rsid w:val="00617728"/>
    <w:rPr>
      <w:rFonts w:ascii="Times New Roman" w:hAnsi="Times New Roman"/>
      <w:b/>
      <w:bCs/>
      <w:color w:val="53585F" w:themeColor="text2"/>
      <w:sz w:val="40"/>
      <w:szCs w:val="15"/>
    </w:rPr>
  </w:style>
  <w:style w:type="paragraph" w:styleId="Footer">
    <w:name w:val="footer"/>
    <w:basedOn w:val="Normal"/>
    <w:link w:val="FooterChar"/>
    <w:uiPriority w:val="99"/>
    <w:unhideWhenUsed/>
    <w:rsid w:val="002A1C15"/>
    <w:pPr>
      <w:tabs>
        <w:tab w:val="center" w:pos="4680"/>
        <w:tab w:val="right" w:pos="9360"/>
      </w:tabs>
      <w:spacing w:after="480"/>
    </w:pPr>
    <w:rPr>
      <w:bCs/>
      <w:szCs w:val="20"/>
    </w:rPr>
  </w:style>
  <w:style w:type="character" w:customStyle="1" w:styleId="FooterChar">
    <w:name w:val="Footer Char"/>
    <w:link w:val="Footer"/>
    <w:uiPriority w:val="99"/>
    <w:rsid w:val="002A1C15"/>
    <w:rPr>
      <w:rFonts w:ascii="Times New Roman" w:hAnsi="Times New Roman"/>
      <w:bCs/>
      <w:color w:val="53585F" w:themeColor="text2"/>
      <w:sz w:val="24"/>
    </w:rPr>
  </w:style>
  <w:style w:type="paragraph" w:styleId="NoSpacing">
    <w:name w:val="No Spacing"/>
    <w:aliases w:val="Table Body Copy"/>
    <w:link w:val="NoSpacingChar"/>
    <w:uiPriority w:val="1"/>
    <w:qFormat/>
    <w:rsid w:val="00F44FA2"/>
    <w:rPr>
      <w:rFonts w:ascii="Times New Roman" w:hAnsi="Times New Roman"/>
      <w:color w:val="53585F" w:themeColor="text2"/>
      <w:szCs w:val="21"/>
    </w:rPr>
  </w:style>
  <w:style w:type="character" w:customStyle="1" w:styleId="NoSpacingChar">
    <w:name w:val="No Spacing Char"/>
    <w:aliases w:val="Table Body Copy Char"/>
    <w:link w:val="NoSpacing"/>
    <w:uiPriority w:val="1"/>
    <w:rsid w:val="00F44FA2"/>
    <w:rPr>
      <w:rFonts w:ascii="Times New Roman" w:hAnsi="Times New Roman"/>
      <w:color w:val="53585F" w:themeColor="text2"/>
      <w:szCs w:val="21"/>
    </w:rPr>
  </w:style>
  <w:style w:type="character" w:styleId="PageNumber">
    <w:name w:val="page number"/>
    <w:basedOn w:val="DefaultParagraphFont"/>
    <w:uiPriority w:val="99"/>
    <w:semiHidden/>
    <w:unhideWhenUsed/>
    <w:rsid w:val="004C0000"/>
    <w:rPr>
      <w:rFonts w:ascii="Times New Roman" w:hAnsi="Times New Roman"/>
      <w:color w:val="53585F" w:themeColor="text2"/>
      <w:sz w:val="24"/>
    </w:rPr>
  </w:style>
  <w:style w:type="paragraph" w:styleId="NormalWeb">
    <w:name w:val="Normal (Web)"/>
    <w:basedOn w:val="Normal"/>
    <w:uiPriority w:val="99"/>
    <w:semiHidden/>
    <w:unhideWhenUsed/>
    <w:rsid w:val="001F745A"/>
    <w:pPr>
      <w:spacing w:before="100" w:beforeAutospacing="1" w:after="100" w:afterAutospacing="1"/>
    </w:pPr>
    <w:rPr>
      <w:rFonts w:eastAsia="Times New Roman"/>
    </w:rPr>
  </w:style>
  <w:style w:type="paragraph" w:customStyle="1" w:styleId="Style1">
    <w:name w:val="Style1"/>
    <w:basedOn w:val="Normal"/>
    <w:qFormat/>
    <w:rsid w:val="008A744F"/>
    <w:pPr>
      <w:spacing w:before="600" w:after="720"/>
      <w:ind w:left="1440" w:right="1440"/>
      <w:jc w:val="center"/>
    </w:pPr>
    <w:rPr>
      <w:color w:val="FFFFFF"/>
    </w:rPr>
  </w:style>
  <w:style w:type="paragraph" w:styleId="Subtitle">
    <w:name w:val="Subtitle"/>
    <w:basedOn w:val="CoverSubheadGrey"/>
    <w:next w:val="Normal"/>
    <w:link w:val="SubtitleChar"/>
    <w:uiPriority w:val="11"/>
    <w:qFormat/>
    <w:rsid w:val="0006411C"/>
  </w:style>
  <w:style w:type="paragraph" w:customStyle="1" w:styleId="CoverSubheadGrey">
    <w:name w:val="Cover Subhead Grey"/>
    <w:rsid w:val="001356DF"/>
    <w:pPr>
      <w:spacing w:after="115"/>
      <w:jc w:val="right"/>
    </w:pPr>
    <w:rPr>
      <w:rFonts w:ascii="Times New Roman" w:eastAsia="Times New Roman" w:hAnsi="Times New Roman"/>
      <w:bCs/>
      <w:color w:val="53585F" w:themeColor="text2"/>
      <w:sz w:val="40"/>
      <w:szCs w:val="32"/>
    </w:rPr>
  </w:style>
  <w:style w:type="character" w:customStyle="1" w:styleId="SubtitleChar">
    <w:name w:val="Subtitle Char"/>
    <w:link w:val="Subtitle"/>
    <w:uiPriority w:val="11"/>
    <w:rsid w:val="0006411C"/>
    <w:rPr>
      <w:rFonts w:ascii="Times New Roman" w:eastAsia="Times New Roman" w:hAnsi="Times New Roman"/>
      <w:bCs/>
      <w:color w:val="53585F" w:themeColor="text2"/>
      <w:sz w:val="40"/>
      <w:szCs w:val="32"/>
    </w:rPr>
  </w:style>
  <w:style w:type="paragraph" w:styleId="ListBullet">
    <w:name w:val="List Bullet"/>
    <w:basedOn w:val="Normal"/>
    <w:uiPriority w:val="99"/>
    <w:unhideWhenUsed/>
    <w:rsid w:val="006C7856"/>
    <w:pPr>
      <w:numPr>
        <w:numId w:val="4"/>
      </w:numPr>
      <w:contextualSpacing/>
    </w:pPr>
  </w:style>
  <w:style w:type="paragraph" w:styleId="ListBullet2">
    <w:name w:val="List Bullet 2"/>
    <w:basedOn w:val="Normal"/>
    <w:uiPriority w:val="99"/>
    <w:unhideWhenUsed/>
    <w:rsid w:val="00B80723"/>
    <w:pPr>
      <w:numPr>
        <w:numId w:val="3"/>
      </w:numPr>
      <w:contextualSpacing/>
    </w:pPr>
  </w:style>
  <w:style w:type="table" w:styleId="TableGrid">
    <w:name w:val="Table Grid"/>
    <w:basedOn w:val="TableNormal"/>
    <w:uiPriority w:val="39"/>
    <w:rsid w:val="007C05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qFormat/>
    <w:rsid w:val="007705F9"/>
    <w:pPr>
      <w:jc w:val="center"/>
    </w:pPr>
    <w:rPr>
      <w:rFonts w:ascii="Times New Roman" w:hAnsi="Times New Roman"/>
      <w:b/>
      <w:bCs/>
      <w:color w:val="FFFFFF" w:themeColor="background1"/>
      <w:sz w:val="24"/>
      <w:szCs w:val="28"/>
    </w:rPr>
  </w:style>
  <w:style w:type="paragraph" w:styleId="ListBullet4">
    <w:name w:val="List Bullet 4"/>
    <w:basedOn w:val="Normal"/>
    <w:uiPriority w:val="99"/>
    <w:unhideWhenUsed/>
    <w:rsid w:val="006C7856"/>
    <w:pPr>
      <w:numPr>
        <w:numId w:val="1"/>
      </w:numPr>
      <w:contextualSpacing/>
    </w:pPr>
  </w:style>
  <w:style w:type="paragraph" w:styleId="ListBullet3">
    <w:name w:val="List Bullet 3"/>
    <w:basedOn w:val="Normal"/>
    <w:uiPriority w:val="99"/>
    <w:unhideWhenUsed/>
    <w:rsid w:val="006C7856"/>
    <w:pPr>
      <w:numPr>
        <w:numId w:val="2"/>
      </w:numPr>
      <w:contextualSpacing/>
    </w:pPr>
  </w:style>
  <w:style w:type="paragraph" w:styleId="TOC1">
    <w:name w:val="toc 1"/>
    <w:basedOn w:val="Normal"/>
    <w:next w:val="Normal"/>
    <w:autoRedefine/>
    <w:uiPriority w:val="39"/>
    <w:unhideWhenUsed/>
    <w:rsid w:val="00004ADD"/>
    <w:pPr>
      <w:tabs>
        <w:tab w:val="right" w:leader="dot" w:pos="10790"/>
      </w:tabs>
      <w:spacing w:before="120"/>
    </w:pPr>
    <w:rPr>
      <w:b/>
      <w:bCs/>
      <w:caps/>
      <w:sz w:val="20"/>
      <w:szCs w:val="20"/>
    </w:rPr>
  </w:style>
  <w:style w:type="character" w:styleId="Hyperlink">
    <w:name w:val="Hyperlink"/>
    <w:uiPriority w:val="99"/>
    <w:unhideWhenUsed/>
    <w:rsid w:val="00603E7E"/>
    <w:rPr>
      <w:color w:val="0563C1"/>
      <w:u w:val="single"/>
    </w:rPr>
  </w:style>
  <w:style w:type="paragraph" w:styleId="TOC2">
    <w:name w:val="toc 2"/>
    <w:basedOn w:val="Normal"/>
    <w:next w:val="Normal"/>
    <w:autoRedefine/>
    <w:uiPriority w:val="39"/>
    <w:unhideWhenUsed/>
    <w:rsid w:val="005A5470"/>
    <w:pPr>
      <w:tabs>
        <w:tab w:val="right" w:leader="dot" w:pos="10790"/>
      </w:tabs>
      <w:ind w:left="220"/>
    </w:pPr>
    <w:rPr>
      <w:smallCaps/>
      <w:sz w:val="20"/>
      <w:szCs w:val="20"/>
    </w:rPr>
  </w:style>
  <w:style w:type="paragraph" w:styleId="TOC3">
    <w:name w:val="toc 3"/>
    <w:basedOn w:val="Normal"/>
    <w:next w:val="Normal"/>
    <w:autoRedefine/>
    <w:uiPriority w:val="39"/>
    <w:unhideWhenUsed/>
    <w:rsid w:val="0009002C"/>
    <w:pPr>
      <w:ind w:left="440"/>
    </w:pPr>
    <w:rPr>
      <w:i/>
      <w:iCs/>
      <w:sz w:val="20"/>
      <w:szCs w:val="20"/>
    </w:rPr>
  </w:style>
  <w:style w:type="paragraph" w:customStyle="1" w:styleId="Default">
    <w:name w:val="Default"/>
    <w:rsid w:val="00E251E1"/>
    <w:pPr>
      <w:autoSpaceDE w:val="0"/>
      <w:autoSpaceDN w:val="0"/>
      <w:adjustRightInd w:val="0"/>
    </w:pPr>
    <w:rPr>
      <w:rFonts w:ascii="Times New Roman" w:hAnsi="Times New Roman"/>
      <w:color w:val="53585F" w:themeColor="text2"/>
      <w:sz w:val="24"/>
      <w:szCs w:val="24"/>
    </w:rPr>
  </w:style>
  <w:style w:type="paragraph" w:customStyle="1" w:styleId="SubtitleOrange">
    <w:name w:val="Subtitle Orange"/>
    <w:basedOn w:val="Normal"/>
    <w:qFormat/>
    <w:rsid w:val="00301CA3"/>
    <w:rPr>
      <w:b/>
      <w:bCs/>
      <w:color w:val="B31E3E" w:themeColor="accent1"/>
      <w:sz w:val="32"/>
      <w:szCs w:val="36"/>
    </w:rPr>
  </w:style>
  <w:style w:type="paragraph" w:customStyle="1" w:styleId="CoverBodyGrey">
    <w:name w:val="Cover Body Grey"/>
    <w:basedOn w:val="SubtitleOrange"/>
    <w:qFormat/>
    <w:rsid w:val="004F2A9E"/>
    <w:rPr>
      <w:rFonts w:asciiTheme="majorHAnsi" w:hAnsiTheme="majorHAnsi" w:cstheme="majorHAnsi"/>
      <w:b w:val="0"/>
      <w:bCs w:val="0"/>
      <w:color w:val="53585F" w:themeColor="text2"/>
    </w:rPr>
  </w:style>
  <w:style w:type="paragraph" w:customStyle="1" w:styleId="CoverSubheadGrey-Left">
    <w:name w:val="Cover Subhead Grey - Left"/>
    <w:basedOn w:val="Subtitle"/>
    <w:qFormat/>
    <w:rsid w:val="004F2A9E"/>
    <w:pPr>
      <w:jc w:val="left"/>
    </w:pPr>
    <w:rPr>
      <w:rFonts w:ascii="Rockwell" w:hAnsi="Rockwell"/>
      <w:sz w:val="56"/>
      <w:szCs w:val="48"/>
    </w:rPr>
  </w:style>
  <w:style w:type="character" w:customStyle="1" w:styleId="UnresolvedMention1">
    <w:name w:val="Unresolved Mention1"/>
    <w:basedOn w:val="DefaultParagraphFont"/>
    <w:uiPriority w:val="99"/>
    <w:semiHidden/>
    <w:unhideWhenUsed/>
    <w:rsid w:val="00F9181C"/>
    <w:rPr>
      <w:rFonts w:ascii="Times New Roman" w:hAnsi="Times New Roman"/>
      <w:color w:val="605E5C"/>
      <w:sz w:val="24"/>
      <w:shd w:val="clear" w:color="auto" w:fill="E1DFDD"/>
    </w:rPr>
  </w:style>
  <w:style w:type="paragraph" w:customStyle="1" w:styleId="HeaderCopy-White">
    <w:name w:val="Header Copy - White"/>
    <w:basedOn w:val="Normal"/>
    <w:qFormat/>
    <w:rsid w:val="004F2A9E"/>
    <w:pPr>
      <w:jc w:val="right"/>
    </w:pPr>
    <w:rPr>
      <w:rFonts w:ascii="Rockwell" w:hAnsi="Rockwell"/>
      <w:color w:val="FFFFFF" w:themeColor="background1"/>
      <w:sz w:val="36"/>
      <w:szCs w:val="40"/>
    </w:rPr>
  </w:style>
  <w:style w:type="paragraph" w:customStyle="1" w:styleId="HeaderCopyWhite">
    <w:name w:val="Header Copy White"/>
    <w:basedOn w:val="Normal"/>
    <w:rsid w:val="00D42B1A"/>
    <w:pPr>
      <w:jc w:val="right"/>
    </w:pPr>
    <w:rPr>
      <w:b/>
      <w:bCs/>
      <w:color w:val="FFFFFF" w:themeColor="background1"/>
      <w:sz w:val="36"/>
      <w:szCs w:val="40"/>
    </w:rPr>
  </w:style>
  <w:style w:type="character" w:styleId="FollowedHyperlink">
    <w:name w:val="FollowedHyperlink"/>
    <w:basedOn w:val="DefaultParagraphFont"/>
    <w:uiPriority w:val="99"/>
    <w:unhideWhenUsed/>
    <w:rsid w:val="003E4875"/>
    <w:rPr>
      <w:rFonts w:ascii="Arial" w:hAnsi="Arial"/>
      <w:color w:val="53585F" w:themeColor="text2"/>
      <w:sz w:val="22"/>
      <w:u w:val="single"/>
    </w:rPr>
  </w:style>
  <w:style w:type="paragraph" w:styleId="Title">
    <w:name w:val="Title"/>
    <w:basedOn w:val="Header"/>
    <w:next w:val="Normal"/>
    <w:link w:val="TitleChar"/>
    <w:uiPriority w:val="10"/>
    <w:qFormat/>
    <w:rsid w:val="0006411C"/>
    <w:pPr>
      <w:ind w:left="0" w:right="0"/>
    </w:pPr>
  </w:style>
  <w:style w:type="character" w:customStyle="1" w:styleId="TitleChar">
    <w:name w:val="Title Char"/>
    <w:basedOn w:val="DefaultParagraphFont"/>
    <w:link w:val="Title"/>
    <w:uiPriority w:val="10"/>
    <w:rsid w:val="0006411C"/>
    <w:rPr>
      <w:rFonts w:ascii="Times New Roman" w:hAnsi="Times New Roman"/>
      <w:b/>
      <w:bCs/>
      <w:color w:val="53585F" w:themeColor="text2"/>
      <w:sz w:val="40"/>
      <w:szCs w:val="15"/>
    </w:rPr>
  </w:style>
  <w:style w:type="paragraph" w:customStyle="1" w:styleId="TableBodyBold">
    <w:name w:val="Table Body Bold"/>
    <w:qFormat/>
    <w:rsid w:val="00781193"/>
    <w:rPr>
      <w:rFonts w:ascii="Times New Roman" w:hAnsi="Times New Roman"/>
      <w:b/>
      <w:bCs/>
      <w:color w:val="53585F" w:themeColor="text2"/>
      <w:szCs w:val="21"/>
    </w:rPr>
  </w:style>
  <w:style w:type="table" w:styleId="PlainTable1">
    <w:name w:val="Plain Table 1"/>
    <w:basedOn w:val="TableNormal"/>
    <w:uiPriority w:val="41"/>
    <w:rsid w:val="00014FB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014FB9"/>
    <w:tblPr>
      <w:tblStyleRowBandSize w:val="1"/>
      <w:tblStyleColBandSize w:val="1"/>
      <w:tblBorders>
        <w:top w:val="single" w:sz="4" w:space="0" w:color="6ABDEE" w:themeColor="accent6" w:themeTint="66"/>
        <w:left w:val="single" w:sz="4" w:space="0" w:color="6ABDEE" w:themeColor="accent6" w:themeTint="66"/>
        <w:bottom w:val="single" w:sz="4" w:space="0" w:color="6ABDEE" w:themeColor="accent6" w:themeTint="66"/>
        <w:right w:val="single" w:sz="4" w:space="0" w:color="6ABDEE" w:themeColor="accent6" w:themeTint="66"/>
        <w:insideH w:val="single" w:sz="4" w:space="0" w:color="6ABDEE" w:themeColor="accent6" w:themeTint="66"/>
        <w:insideV w:val="single" w:sz="4" w:space="0" w:color="6ABDEE" w:themeColor="accent6" w:themeTint="66"/>
      </w:tblBorders>
    </w:tblPr>
    <w:tblStylePr w:type="firstRow">
      <w:rPr>
        <w:b/>
        <w:bCs/>
      </w:rPr>
      <w:tblPr/>
      <w:tcPr>
        <w:tcBorders>
          <w:bottom w:val="single" w:sz="12" w:space="0" w:color="209CE5" w:themeColor="accent6" w:themeTint="99"/>
        </w:tcBorders>
      </w:tcPr>
    </w:tblStylePr>
    <w:tblStylePr w:type="lastRow">
      <w:rPr>
        <w:b/>
        <w:bCs/>
      </w:rPr>
      <w:tblPr/>
      <w:tcPr>
        <w:tcBorders>
          <w:top w:val="double" w:sz="2" w:space="0" w:color="209CE5" w:themeColor="accent6"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014FB9"/>
    <w:rPr>
      <w:color w:val="072C41" w:themeColor="accent6" w:themeShade="BF"/>
    </w:rPr>
    <w:tblPr>
      <w:tblStyleRowBandSize w:val="1"/>
      <w:tblStyleColBandSize w:val="1"/>
      <w:tblBorders>
        <w:top w:val="single" w:sz="4" w:space="0" w:color="209CE5" w:themeColor="accent6" w:themeTint="99"/>
        <w:left w:val="single" w:sz="4" w:space="0" w:color="209CE5" w:themeColor="accent6" w:themeTint="99"/>
        <w:bottom w:val="single" w:sz="4" w:space="0" w:color="209CE5" w:themeColor="accent6" w:themeTint="99"/>
        <w:right w:val="single" w:sz="4" w:space="0" w:color="209CE5" w:themeColor="accent6" w:themeTint="99"/>
        <w:insideH w:val="single" w:sz="4" w:space="0" w:color="209CE5" w:themeColor="accent6" w:themeTint="99"/>
        <w:insideV w:val="single" w:sz="4" w:space="0" w:color="209CE5" w:themeColor="accent6" w:themeTint="99"/>
      </w:tblBorders>
    </w:tblPr>
    <w:tblStylePr w:type="firstRow">
      <w:rPr>
        <w:b/>
        <w:bCs/>
      </w:rPr>
      <w:tblPr/>
      <w:tcPr>
        <w:tcBorders>
          <w:bottom w:val="single" w:sz="12" w:space="0" w:color="209CE5" w:themeColor="accent6" w:themeTint="99"/>
        </w:tcBorders>
      </w:tcPr>
    </w:tblStylePr>
    <w:tblStylePr w:type="lastRow">
      <w:rPr>
        <w:b/>
        <w:bCs/>
      </w:rPr>
      <w:tblPr/>
      <w:tcPr>
        <w:tcBorders>
          <w:top w:val="double" w:sz="4" w:space="0" w:color="209CE5" w:themeColor="accent6" w:themeTint="99"/>
        </w:tcBorders>
      </w:tcPr>
    </w:tblStylePr>
    <w:tblStylePr w:type="firstCol">
      <w:rPr>
        <w:b/>
        <w:bCs/>
      </w:rPr>
    </w:tblStylePr>
    <w:tblStylePr w:type="lastCol">
      <w:rPr>
        <w:b/>
        <w:bCs/>
      </w:rPr>
    </w:tblStylePr>
    <w:tblStylePr w:type="band1Vert">
      <w:tblPr/>
      <w:tcPr>
        <w:shd w:val="clear" w:color="auto" w:fill="B4DEF6" w:themeFill="accent6" w:themeFillTint="33"/>
      </w:tcPr>
    </w:tblStylePr>
    <w:tblStylePr w:type="band1Horz">
      <w:tblPr/>
      <w:tcPr>
        <w:shd w:val="clear" w:color="auto" w:fill="B4DEF6" w:themeFill="accent6" w:themeFillTint="33"/>
      </w:tcPr>
    </w:tblStylePr>
  </w:style>
  <w:style w:type="table" w:styleId="ListTable7Colorful-Accent6">
    <w:name w:val="List Table 7 Colorful Accent 6"/>
    <w:basedOn w:val="TableNormal"/>
    <w:uiPriority w:val="52"/>
    <w:rsid w:val="00014FB9"/>
    <w:rPr>
      <w:color w:val="072C4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3B5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3B5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3B5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3B58" w:themeColor="accent6"/>
        </w:tcBorders>
        <w:shd w:val="clear" w:color="auto" w:fill="FFFFFF" w:themeFill="background1"/>
      </w:tcPr>
    </w:tblStylePr>
    <w:tblStylePr w:type="band1Vert">
      <w:tblPr/>
      <w:tcPr>
        <w:shd w:val="clear" w:color="auto" w:fill="B4DEF6" w:themeFill="accent6" w:themeFillTint="33"/>
      </w:tcPr>
    </w:tblStylePr>
    <w:tblStylePr w:type="band1Horz">
      <w:tblPr/>
      <w:tcPr>
        <w:shd w:val="clear" w:color="auto" w:fill="B4DEF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IntenseQuote">
    <w:name w:val="Intense Quote"/>
    <w:basedOn w:val="Normal"/>
    <w:next w:val="Normal"/>
    <w:link w:val="IntenseQuoteChar"/>
    <w:uiPriority w:val="30"/>
    <w:qFormat/>
    <w:rsid w:val="00301CA3"/>
    <w:pPr>
      <w:pBdr>
        <w:top w:val="single" w:sz="4" w:space="10" w:color="B31E3E" w:themeColor="accent1"/>
        <w:bottom w:val="single" w:sz="4" w:space="10" w:color="B31E3E" w:themeColor="accent1"/>
      </w:pBdr>
      <w:spacing w:before="360" w:after="360"/>
      <w:ind w:left="864" w:right="864"/>
      <w:jc w:val="center"/>
    </w:pPr>
    <w:rPr>
      <w:rFonts w:ascii="Rockwell" w:hAnsi="Rockwell"/>
      <w:i/>
      <w:iCs/>
      <w:color w:val="B31E3E" w:themeColor="accent1"/>
      <w:sz w:val="28"/>
      <w:szCs w:val="32"/>
    </w:rPr>
  </w:style>
  <w:style w:type="character" w:customStyle="1" w:styleId="IntenseQuoteChar">
    <w:name w:val="Intense Quote Char"/>
    <w:basedOn w:val="DefaultParagraphFont"/>
    <w:link w:val="IntenseQuote"/>
    <w:uiPriority w:val="30"/>
    <w:rsid w:val="00301CA3"/>
    <w:rPr>
      <w:rFonts w:ascii="Rockwell" w:hAnsi="Rockwell" w:cstheme="minorHAnsi"/>
      <w:i/>
      <w:iCs/>
      <w:color w:val="B31E3E" w:themeColor="accent1"/>
      <w:sz w:val="28"/>
      <w:szCs w:val="32"/>
    </w:rPr>
  </w:style>
  <w:style w:type="paragraph" w:customStyle="1" w:styleId="IntenseQuoteWhite">
    <w:name w:val="Intense Quote White"/>
    <w:basedOn w:val="IntenseQuote"/>
    <w:qFormat/>
    <w:rsid w:val="00DD0019"/>
    <w:pPr>
      <w:pBdr>
        <w:top w:val="single" w:sz="4" w:space="10" w:color="FFFFFF" w:themeColor="background1"/>
        <w:bottom w:val="single" w:sz="4" w:space="10" w:color="FFFFFF" w:themeColor="background1"/>
      </w:pBdr>
    </w:pPr>
    <w:rPr>
      <w:b/>
      <w:bCs/>
      <w:color w:val="FFFFFF" w:themeColor="background1"/>
      <w:sz w:val="32"/>
      <w:szCs w:val="36"/>
    </w:rPr>
  </w:style>
  <w:style w:type="paragraph" w:styleId="BalloonText">
    <w:name w:val="Balloon Text"/>
    <w:basedOn w:val="Normal"/>
    <w:link w:val="BalloonTextChar"/>
    <w:uiPriority w:val="99"/>
    <w:semiHidden/>
    <w:unhideWhenUsed/>
    <w:rsid w:val="007F3A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3A35"/>
    <w:rPr>
      <w:rFonts w:ascii="Segoe UI" w:hAnsi="Segoe UI" w:cs="Segoe UI"/>
      <w:color w:val="53585F" w:themeColor="text2"/>
      <w:sz w:val="18"/>
      <w:szCs w:val="18"/>
    </w:rPr>
  </w:style>
  <w:style w:type="character" w:styleId="CommentReference">
    <w:name w:val="annotation reference"/>
    <w:basedOn w:val="DefaultParagraphFont"/>
    <w:uiPriority w:val="99"/>
    <w:semiHidden/>
    <w:unhideWhenUsed/>
    <w:rsid w:val="00E94D11"/>
    <w:rPr>
      <w:sz w:val="16"/>
      <w:szCs w:val="16"/>
    </w:rPr>
  </w:style>
  <w:style w:type="paragraph" w:styleId="CommentText">
    <w:name w:val="annotation text"/>
    <w:basedOn w:val="Normal"/>
    <w:link w:val="CommentTextChar"/>
    <w:uiPriority w:val="99"/>
    <w:unhideWhenUsed/>
    <w:rsid w:val="00E94D11"/>
    <w:pPr>
      <w:spacing w:after="160"/>
    </w:pPr>
    <w:rPr>
      <w:rFonts w:eastAsiaTheme="minorHAnsi" w:cstheme="minorBidi"/>
      <w:color w:val="auto"/>
      <w:sz w:val="20"/>
      <w:szCs w:val="20"/>
    </w:rPr>
  </w:style>
  <w:style w:type="character" w:customStyle="1" w:styleId="CommentTextChar">
    <w:name w:val="Comment Text Char"/>
    <w:basedOn w:val="DefaultParagraphFont"/>
    <w:link w:val="CommentText"/>
    <w:uiPriority w:val="99"/>
    <w:rsid w:val="00E94D11"/>
    <w:rPr>
      <w:rFonts w:asciiTheme="minorHAnsi" w:eastAsiaTheme="minorHAnsi" w:hAnsiTheme="minorHAnsi" w:cstheme="minorBidi"/>
    </w:rPr>
  </w:style>
  <w:style w:type="paragraph" w:styleId="FootnoteText">
    <w:name w:val="footnote text"/>
    <w:basedOn w:val="Normal"/>
    <w:link w:val="FootnoteTextChar"/>
    <w:uiPriority w:val="99"/>
    <w:semiHidden/>
    <w:unhideWhenUsed/>
    <w:rsid w:val="00AB133C"/>
    <w:rPr>
      <w:rFonts w:eastAsiaTheme="minorHAnsi" w:cstheme="minorBidi"/>
      <w:color w:val="auto"/>
      <w:sz w:val="20"/>
      <w:szCs w:val="20"/>
    </w:rPr>
  </w:style>
  <w:style w:type="character" w:customStyle="1" w:styleId="FootnoteTextChar">
    <w:name w:val="Footnote Text Char"/>
    <w:basedOn w:val="DefaultParagraphFont"/>
    <w:link w:val="FootnoteText"/>
    <w:uiPriority w:val="99"/>
    <w:semiHidden/>
    <w:rsid w:val="00AB133C"/>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AB133C"/>
    <w:rPr>
      <w:vertAlign w:val="superscript"/>
    </w:rPr>
  </w:style>
  <w:style w:type="paragraph" w:styleId="ListParagraph">
    <w:name w:val="List Paragraph"/>
    <w:basedOn w:val="Normal"/>
    <w:uiPriority w:val="34"/>
    <w:qFormat/>
    <w:rsid w:val="00956DB7"/>
    <w:pPr>
      <w:spacing w:after="160" w:line="259" w:lineRule="auto"/>
      <w:ind w:left="720"/>
      <w:contextualSpacing/>
    </w:pPr>
    <w:rPr>
      <w:rFonts w:eastAsiaTheme="minorHAnsi" w:cstheme="minorBidi"/>
      <w:color w:val="auto"/>
      <w:szCs w:val="22"/>
    </w:rPr>
  </w:style>
  <w:style w:type="paragraph" w:customStyle="1" w:styleId="BodyText1">
    <w:name w:val="Body Text1"/>
    <w:basedOn w:val="Normal"/>
    <w:link w:val="BodytextChar"/>
    <w:qFormat/>
    <w:rsid w:val="00852256"/>
    <w:pPr>
      <w:spacing w:before="60" w:line="240" w:lineRule="exact"/>
    </w:pPr>
    <w:rPr>
      <w:rFonts w:ascii="Arial" w:eastAsia="MS Mincho" w:hAnsi="Arial" w:cs="Arial"/>
      <w:color w:val="auto"/>
      <w:sz w:val="20"/>
      <w:szCs w:val="20"/>
      <w:lang w:eastAsia="ja-JP"/>
    </w:rPr>
  </w:style>
  <w:style w:type="character" w:customStyle="1" w:styleId="BodytextChar">
    <w:name w:val="Body text Char"/>
    <w:link w:val="BodyText1"/>
    <w:rsid w:val="00852256"/>
    <w:rPr>
      <w:rFonts w:ascii="Arial" w:eastAsia="MS Mincho" w:hAnsi="Arial" w:cs="Arial"/>
      <w:lang w:eastAsia="ja-JP"/>
    </w:rPr>
  </w:style>
  <w:style w:type="character" w:styleId="Emphasis">
    <w:name w:val="Emphasis"/>
    <w:basedOn w:val="DefaultParagraphFont"/>
    <w:uiPriority w:val="20"/>
    <w:qFormat/>
    <w:rsid w:val="00C479FF"/>
    <w:rPr>
      <w:i/>
      <w:iCs/>
    </w:rPr>
  </w:style>
  <w:style w:type="paragraph" w:styleId="TOC4">
    <w:name w:val="toc 4"/>
    <w:basedOn w:val="Normal"/>
    <w:next w:val="Normal"/>
    <w:autoRedefine/>
    <w:uiPriority w:val="39"/>
    <w:unhideWhenUsed/>
    <w:rsid w:val="00A23A94"/>
    <w:pPr>
      <w:ind w:left="660"/>
    </w:pPr>
    <w:rPr>
      <w:sz w:val="18"/>
      <w:szCs w:val="18"/>
    </w:rPr>
  </w:style>
  <w:style w:type="paragraph" w:styleId="TOC5">
    <w:name w:val="toc 5"/>
    <w:basedOn w:val="Normal"/>
    <w:next w:val="Normal"/>
    <w:autoRedefine/>
    <w:uiPriority w:val="39"/>
    <w:unhideWhenUsed/>
    <w:rsid w:val="00A23A94"/>
    <w:pPr>
      <w:ind w:left="880"/>
    </w:pPr>
    <w:rPr>
      <w:sz w:val="18"/>
      <w:szCs w:val="18"/>
    </w:rPr>
  </w:style>
  <w:style w:type="paragraph" w:styleId="TOC6">
    <w:name w:val="toc 6"/>
    <w:basedOn w:val="Normal"/>
    <w:next w:val="Normal"/>
    <w:autoRedefine/>
    <w:uiPriority w:val="39"/>
    <w:unhideWhenUsed/>
    <w:rsid w:val="00A23A94"/>
    <w:pPr>
      <w:ind w:left="1100"/>
    </w:pPr>
    <w:rPr>
      <w:sz w:val="18"/>
      <w:szCs w:val="18"/>
    </w:rPr>
  </w:style>
  <w:style w:type="paragraph" w:styleId="TOC7">
    <w:name w:val="toc 7"/>
    <w:basedOn w:val="Normal"/>
    <w:next w:val="Normal"/>
    <w:autoRedefine/>
    <w:uiPriority w:val="39"/>
    <w:unhideWhenUsed/>
    <w:rsid w:val="00A23A94"/>
    <w:pPr>
      <w:ind w:left="1320"/>
    </w:pPr>
    <w:rPr>
      <w:sz w:val="18"/>
      <w:szCs w:val="18"/>
    </w:rPr>
  </w:style>
  <w:style w:type="paragraph" w:styleId="TOC8">
    <w:name w:val="toc 8"/>
    <w:basedOn w:val="Normal"/>
    <w:next w:val="Normal"/>
    <w:autoRedefine/>
    <w:uiPriority w:val="39"/>
    <w:unhideWhenUsed/>
    <w:rsid w:val="00A23A94"/>
    <w:pPr>
      <w:ind w:left="1540"/>
    </w:pPr>
    <w:rPr>
      <w:sz w:val="18"/>
      <w:szCs w:val="18"/>
    </w:rPr>
  </w:style>
  <w:style w:type="paragraph" w:styleId="TOC9">
    <w:name w:val="toc 9"/>
    <w:basedOn w:val="Normal"/>
    <w:next w:val="Normal"/>
    <w:autoRedefine/>
    <w:uiPriority w:val="39"/>
    <w:unhideWhenUsed/>
    <w:rsid w:val="00A23A94"/>
    <w:pPr>
      <w:ind w:left="1760"/>
    </w:pPr>
    <w:rPr>
      <w:sz w:val="18"/>
      <w:szCs w:val="18"/>
    </w:rPr>
  </w:style>
  <w:style w:type="paragraph" w:styleId="CommentSubject">
    <w:name w:val="annotation subject"/>
    <w:basedOn w:val="CommentText"/>
    <w:next w:val="CommentText"/>
    <w:link w:val="CommentSubjectChar"/>
    <w:uiPriority w:val="99"/>
    <w:semiHidden/>
    <w:unhideWhenUsed/>
    <w:rsid w:val="003E5ADF"/>
    <w:pPr>
      <w:spacing w:after="120"/>
    </w:pPr>
    <w:rPr>
      <w:rFonts w:eastAsia="Century Gothic" w:cstheme="minorHAnsi"/>
      <w:b/>
      <w:bCs/>
      <w:color w:val="53585F" w:themeColor="text2"/>
    </w:rPr>
  </w:style>
  <w:style w:type="character" w:customStyle="1" w:styleId="CommentSubjectChar">
    <w:name w:val="Comment Subject Char"/>
    <w:basedOn w:val="CommentTextChar"/>
    <w:link w:val="CommentSubject"/>
    <w:uiPriority w:val="99"/>
    <w:semiHidden/>
    <w:rsid w:val="003E5ADF"/>
    <w:rPr>
      <w:rFonts w:asciiTheme="minorHAnsi" w:eastAsiaTheme="minorHAnsi" w:hAnsiTheme="minorHAnsi" w:cstheme="minorHAnsi"/>
      <w:b/>
      <w:bCs/>
      <w:color w:val="53585F" w:themeColor="text2"/>
    </w:rPr>
  </w:style>
  <w:style w:type="paragraph" w:customStyle="1" w:styleId="msonormal0">
    <w:name w:val="msonormal"/>
    <w:basedOn w:val="Normal"/>
    <w:rsid w:val="001C2364"/>
    <w:pPr>
      <w:spacing w:before="100" w:beforeAutospacing="1" w:after="100" w:afterAutospacing="1"/>
    </w:pPr>
    <w:rPr>
      <w:rFonts w:ascii="Times New Roman" w:eastAsia="Times New Roman" w:hAnsi="Times New Roman" w:cs="Times New Roman"/>
      <w:color w:val="auto"/>
      <w:sz w:val="24"/>
    </w:rPr>
  </w:style>
  <w:style w:type="paragraph" w:customStyle="1" w:styleId="xl65">
    <w:name w:val="xl65"/>
    <w:basedOn w:val="Normal"/>
    <w:rsid w:val="001C2364"/>
    <w:pPr>
      <w:spacing w:before="100" w:beforeAutospacing="1" w:after="100" w:afterAutospacing="1"/>
      <w:textAlignment w:val="top"/>
    </w:pPr>
    <w:rPr>
      <w:rFonts w:ascii="Arial" w:eastAsia="Times New Roman" w:hAnsi="Arial" w:cs="Arial"/>
      <w:color w:val="auto"/>
      <w:sz w:val="20"/>
      <w:szCs w:val="20"/>
    </w:rPr>
  </w:style>
  <w:style w:type="paragraph" w:customStyle="1" w:styleId="xl66">
    <w:name w:val="xl66"/>
    <w:basedOn w:val="Normal"/>
    <w:rsid w:val="001C2364"/>
    <w:pPr>
      <w:spacing w:before="100" w:beforeAutospacing="1" w:after="100" w:afterAutospacing="1"/>
      <w:textAlignment w:val="top"/>
    </w:pPr>
    <w:rPr>
      <w:rFonts w:ascii="Arial" w:eastAsia="Times New Roman" w:hAnsi="Arial" w:cs="Arial"/>
      <w:color w:val="0563C1"/>
      <w:sz w:val="20"/>
      <w:szCs w:val="20"/>
      <w:u w:val="single"/>
    </w:rPr>
  </w:style>
  <w:style w:type="paragraph" w:customStyle="1" w:styleId="xl67">
    <w:name w:val="xl67"/>
    <w:basedOn w:val="Normal"/>
    <w:rsid w:val="001C2364"/>
    <w:pPr>
      <w:spacing w:before="100" w:beforeAutospacing="1" w:after="100" w:afterAutospacing="1"/>
      <w:textAlignment w:val="top"/>
    </w:pPr>
    <w:rPr>
      <w:rFonts w:ascii="Times New Roman" w:eastAsia="Times New Roman" w:hAnsi="Times New Roman" w:cs="Times New Roman"/>
      <w:color w:val="auto"/>
      <w:sz w:val="24"/>
    </w:rPr>
  </w:style>
  <w:style w:type="paragraph" w:customStyle="1" w:styleId="xl68">
    <w:name w:val="xl68"/>
    <w:basedOn w:val="Normal"/>
    <w:rsid w:val="001C2364"/>
    <w:pPr>
      <w:spacing w:before="100" w:beforeAutospacing="1" w:after="100" w:afterAutospacing="1"/>
      <w:textAlignment w:val="top"/>
    </w:pPr>
    <w:rPr>
      <w:rFonts w:ascii="Arial" w:eastAsia="Times New Roman" w:hAnsi="Arial" w:cs="Arial"/>
      <w:color w:val="0563C1"/>
      <w:sz w:val="20"/>
      <w:szCs w:val="20"/>
      <w:u w:val="single"/>
    </w:rPr>
  </w:style>
  <w:style w:type="paragraph" w:customStyle="1" w:styleId="xl69">
    <w:name w:val="xl69"/>
    <w:basedOn w:val="Normal"/>
    <w:rsid w:val="0041175C"/>
    <w:pPr>
      <w:spacing w:before="100" w:beforeAutospacing="1" w:after="100" w:afterAutospacing="1"/>
      <w:jc w:val="right"/>
      <w:textAlignment w:val="top"/>
    </w:pPr>
    <w:rPr>
      <w:rFonts w:ascii="Arial" w:eastAsia="Times New Roman" w:hAnsi="Arial" w:cs="Arial"/>
      <w:color w:val="auto"/>
      <w:sz w:val="20"/>
      <w:szCs w:val="20"/>
    </w:rPr>
  </w:style>
  <w:style w:type="paragraph" w:customStyle="1" w:styleId="xl70">
    <w:name w:val="xl70"/>
    <w:basedOn w:val="Normal"/>
    <w:rsid w:val="0041175C"/>
    <w:pPr>
      <w:spacing w:before="100" w:beforeAutospacing="1" w:after="100" w:afterAutospacing="1"/>
      <w:textAlignment w:val="top"/>
    </w:pPr>
    <w:rPr>
      <w:rFonts w:ascii="Arial" w:eastAsia="Times New Roman" w:hAnsi="Arial" w:cs="Arial"/>
      <w:color w:val="auto"/>
      <w:sz w:val="20"/>
      <w:szCs w:val="20"/>
    </w:rPr>
  </w:style>
  <w:style w:type="paragraph" w:customStyle="1" w:styleId="xl71">
    <w:name w:val="xl71"/>
    <w:basedOn w:val="Normal"/>
    <w:rsid w:val="0041175C"/>
    <w:pPr>
      <w:spacing w:before="100" w:beforeAutospacing="1" w:after="100" w:afterAutospacing="1"/>
      <w:textAlignment w:val="top"/>
    </w:pPr>
    <w:rPr>
      <w:rFonts w:ascii="Arial" w:eastAsia="Times New Roman" w:hAnsi="Arial" w:cs="Arial"/>
      <w:b/>
      <w:bCs/>
      <w:color w:val="auto"/>
      <w:sz w:val="20"/>
      <w:szCs w:val="20"/>
    </w:rPr>
  </w:style>
  <w:style w:type="paragraph" w:customStyle="1" w:styleId="xl72">
    <w:name w:val="xl72"/>
    <w:basedOn w:val="Normal"/>
    <w:rsid w:val="0041175C"/>
    <w:pPr>
      <w:spacing w:before="100" w:beforeAutospacing="1" w:after="100" w:afterAutospacing="1"/>
      <w:textAlignment w:val="top"/>
    </w:pPr>
    <w:rPr>
      <w:rFonts w:ascii="Arial" w:eastAsia="Times New Roman" w:hAnsi="Arial" w:cs="Arial"/>
      <w:color w:val="auto"/>
      <w:sz w:val="20"/>
      <w:szCs w:val="20"/>
    </w:rPr>
  </w:style>
  <w:style w:type="paragraph" w:customStyle="1" w:styleId="xl73">
    <w:name w:val="xl73"/>
    <w:basedOn w:val="Normal"/>
    <w:rsid w:val="0041175C"/>
    <w:pPr>
      <w:spacing w:before="100" w:beforeAutospacing="1" w:after="100" w:afterAutospacing="1"/>
      <w:textAlignment w:val="top"/>
    </w:pPr>
    <w:rPr>
      <w:rFonts w:ascii="Arial" w:eastAsia="Times New Roman" w:hAnsi="Arial" w:cs="Arial"/>
      <w:b/>
      <w:bCs/>
      <w:color w:val="auto"/>
      <w:sz w:val="20"/>
      <w:szCs w:val="20"/>
    </w:rPr>
  </w:style>
  <w:style w:type="paragraph" w:customStyle="1" w:styleId="xl74">
    <w:name w:val="xl74"/>
    <w:basedOn w:val="Normal"/>
    <w:rsid w:val="0041175C"/>
    <w:pPr>
      <w:spacing w:before="100" w:beforeAutospacing="1" w:after="100" w:afterAutospacing="1"/>
      <w:jc w:val="right"/>
      <w:textAlignment w:val="top"/>
    </w:pPr>
    <w:rPr>
      <w:rFonts w:ascii="Arial" w:eastAsia="Times New Roman" w:hAnsi="Arial" w:cs="Arial"/>
      <w:b/>
      <w:bCs/>
      <w:color w:val="auto"/>
      <w:sz w:val="20"/>
      <w:szCs w:val="20"/>
    </w:rPr>
  </w:style>
  <w:style w:type="paragraph" w:customStyle="1" w:styleId="xl75">
    <w:name w:val="xl75"/>
    <w:basedOn w:val="Normal"/>
    <w:rsid w:val="0041175C"/>
    <w:pPr>
      <w:spacing w:before="100" w:beforeAutospacing="1" w:after="100" w:afterAutospacing="1"/>
      <w:textAlignment w:val="top"/>
    </w:pPr>
    <w:rPr>
      <w:rFonts w:ascii="Arial" w:eastAsia="Times New Roman" w:hAnsi="Arial" w:cs="Arial"/>
      <w:b/>
      <w:bCs/>
      <w:color w:val="auto"/>
      <w:sz w:val="20"/>
      <w:szCs w:val="20"/>
    </w:rPr>
  </w:style>
  <w:style w:type="paragraph" w:customStyle="1" w:styleId="xl76">
    <w:name w:val="xl76"/>
    <w:basedOn w:val="Normal"/>
    <w:rsid w:val="0041175C"/>
    <w:pPr>
      <w:spacing w:before="100" w:beforeAutospacing="1" w:after="100" w:afterAutospacing="1"/>
      <w:textAlignment w:val="top"/>
    </w:pPr>
    <w:rPr>
      <w:rFonts w:ascii="Arial" w:eastAsia="Times New Roman" w:hAnsi="Arial" w:cs="Arial"/>
      <w:b/>
      <w:bCs/>
      <w:color w:val="auto"/>
      <w:sz w:val="20"/>
      <w:szCs w:val="20"/>
    </w:rPr>
  </w:style>
  <w:style w:type="paragraph" w:customStyle="1" w:styleId="xl77">
    <w:name w:val="xl77"/>
    <w:basedOn w:val="Normal"/>
    <w:rsid w:val="0041175C"/>
    <w:pPr>
      <w:spacing w:before="100" w:beforeAutospacing="1" w:after="100" w:afterAutospacing="1"/>
      <w:jc w:val="center"/>
      <w:textAlignment w:val="top"/>
    </w:pPr>
    <w:rPr>
      <w:rFonts w:ascii="Arial" w:eastAsia="Times New Roman" w:hAnsi="Arial" w:cs="Arial"/>
      <w:color w:val="auto"/>
      <w:sz w:val="20"/>
      <w:szCs w:val="20"/>
    </w:rPr>
  </w:style>
  <w:style w:type="paragraph" w:customStyle="1" w:styleId="xl78">
    <w:name w:val="xl78"/>
    <w:basedOn w:val="Normal"/>
    <w:rsid w:val="0041175C"/>
    <w:pPr>
      <w:spacing w:before="100" w:beforeAutospacing="1" w:after="100" w:afterAutospacing="1"/>
      <w:jc w:val="center"/>
      <w:textAlignment w:val="top"/>
    </w:pPr>
    <w:rPr>
      <w:rFonts w:ascii="Arial" w:eastAsia="Times New Roman" w:hAnsi="Arial" w:cs="Arial"/>
      <w:color w:val="auto"/>
      <w:sz w:val="20"/>
      <w:szCs w:val="20"/>
    </w:rPr>
  </w:style>
  <w:style w:type="paragraph" w:customStyle="1" w:styleId="xl79">
    <w:name w:val="xl79"/>
    <w:basedOn w:val="Normal"/>
    <w:rsid w:val="0041175C"/>
    <w:pPr>
      <w:spacing w:before="100" w:beforeAutospacing="1" w:after="100" w:afterAutospacing="1"/>
      <w:jc w:val="center"/>
      <w:textAlignment w:val="top"/>
    </w:pPr>
    <w:rPr>
      <w:rFonts w:ascii="Arial" w:eastAsia="Times New Roman" w:hAnsi="Arial" w:cs="Arial"/>
      <w:color w:val="auto"/>
      <w:sz w:val="20"/>
      <w:szCs w:val="20"/>
    </w:rPr>
  </w:style>
  <w:style w:type="paragraph" w:customStyle="1" w:styleId="xl80">
    <w:name w:val="xl80"/>
    <w:basedOn w:val="Normal"/>
    <w:rsid w:val="0041175C"/>
    <w:pPr>
      <w:spacing w:before="100" w:beforeAutospacing="1" w:after="100" w:afterAutospacing="1"/>
      <w:textAlignment w:val="top"/>
    </w:pPr>
    <w:rPr>
      <w:rFonts w:ascii="Arial" w:eastAsia="Times New Roman" w:hAnsi="Arial" w:cs="Arial"/>
      <w:b/>
      <w:bCs/>
      <w:color w:val="auto"/>
      <w:sz w:val="20"/>
      <w:szCs w:val="20"/>
    </w:rPr>
  </w:style>
  <w:style w:type="paragraph" w:customStyle="1" w:styleId="xl81">
    <w:name w:val="xl81"/>
    <w:basedOn w:val="Normal"/>
    <w:rsid w:val="0041175C"/>
    <w:pPr>
      <w:spacing w:before="100" w:beforeAutospacing="1" w:after="100" w:afterAutospacing="1"/>
      <w:jc w:val="center"/>
      <w:textAlignment w:val="top"/>
    </w:pPr>
    <w:rPr>
      <w:rFonts w:ascii="Arial" w:eastAsia="Times New Roman" w:hAnsi="Arial" w:cs="Arial"/>
      <w:b/>
      <w:bCs/>
      <w:color w:val="auto"/>
      <w:sz w:val="20"/>
      <w:szCs w:val="20"/>
    </w:rPr>
  </w:style>
  <w:style w:type="paragraph" w:customStyle="1" w:styleId="xl82">
    <w:name w:val="xl82"/>
    <w:basedOn w:val="Normal"/>
    <w:rsid w:val="0041175C"/>
    <w:pPr>
      <w:spacing w:before="100" w:beforeAutospacing="1" w:after="100" w:afterAutospacing="1"/>
      <w:textAlignment w:val="top"/>
    </w:pPr>
    <w:rPr>
      <w:rFonts w:ascii="Arial" w:eastAsia="Times New Roman" w:hAnsi="Arial" w:cs="Arial"/>
      <w:color w:val="auto"/>
      <w:sz w:val="20"/>
      <w:szCs w:val="20"/>
    </w:rPr>
  </w:style>
  <w:style w:type="paragraph" w:customStyle="1" w:styleId="xl83">
    <w:name w:val="xl83"/>
    <w:basedOn w:val="Normal"/>
    <w:rsid w:val="0041175C"/>
    <w:pPr>
      <w:spacing w:before="100" w:beforeAutospacing="1" w:after="100" w:afterAutospacing="1"/>
      <w:textAlignment w:val="top"/>
    </w:pPr>
    <w:rPr>
      <w:rFonts w:ascii="Arial" w:eastAsia="Times New Roman" w:hAnsi="Arial" w:cs="Arial"/>
      <w:color w:val="auto"/>
      <w:sz w:val="20"/>
      <w:szCs w:val="20"/>
    </w:rPr>
  </w:style>
  <w:style w:type="table" w:styleId="PlainTable4">
    <w:name w:val="Plain Table 4"/>
    <w:basedOn w:val="TableNormal"/>
    <w:uiPriority w:val="44"/>
    <w:rsid w:val="00165A5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lainLink1">
    <w:name w:val="Plain Link 1"/>
    <w:basedOn w:val="Normal"/>
    <w:link w:val="PlainLink1Char"/>
    <w:qFormat/>
    <w:rsid w:val="002603D6"/>
    <w:pPr>
      <w:spacing w:after="40"/>
      <w:ind w:left="317" w:right="-288"/>
    </w:pPr>
    <w:rPr>
      <w:rFonts w:ascii="Arial" w:hAnsi="Arial"/>
    </w:rPr>
  </w:style>
  <w:style w:type="paragraph" w:customStyle="1" w:styleId="PlainLink2">
    <w:name w:val="Plain Link 2"/>
    <w:basedOn w:val="PlainLink1"/>
    <w:link w:val="PlainLink2Char"/>
    <w:qFormat/>
    <w:rsid w:val="00326F7A"/>
    <w:rPr>
      <w:bCs/>
    </w:rPr>
  </w:style>
  <w:style w:type="character" w:customStyle="1" w:styleId="PlainLink1Char">
    <w:name w:val="Plain Link 1 Char"/>
    <w:basedOn w:val="DefaultParagraphFont"/>
    <w:link w:val="PlainLink1"/>
    <w:rsid w:val="002603D6"/>
    <w:rPr>
      <w:rFonts w:ascii="Arial" w:hAnsi="Arial" w:cstheme="minorHAnsi"/>
      <w:color w:val="53585F" w:themeColor="text2"/>
      <w:sz w:val="22"/>
      <w:szCs w:val="24"/>
    </w:rPr>
  </w:style>
  <w:style w:type="character" w:customStyle="1" w:styleId="PlainLink2Char">
    <w:name w:val="Plain Link 2 Char"/>
    <w:basedOn w:val="PlainLink1Char"/>
    <w:link w:val="PlainLink2"/>
    <w:rsid w:val="00326F7A"/>
    <w:rPr>
      <w:rFonts w:ascii="Arial" w:hAnsi="Arial" w:cstheme="minorHAnsi"/>
      <w:bCs/>
      <w:color w:val="53585F" w:themeColor="text2"/>
      <w:sz w:val="18"/>
      <w:szCs w:val="24"/>
    </w:rPr>
  </w:style>
  <w:style w:type="paragraph" w:styleId="TOCHeading">
    <w:name w:val="TOC Heading"/>
    <w:basedOn w:val="Heading1"/>
    <w:next w:val="Normal"/>
    <w:uiPriority w:val="39"/>
    <w:unhideWhenUsed/>
    <w:qFormat/>
    <w:rsid w:val="009129BA"/>
    <w:pPr>
      <w:keepNext/>
      <w:keepLines/>
      <w:spacing w:before="240" w:after="0" w:line="259" w:lineRule="auto"/>
      <w:outlineLvl w:val="9"/>
    </w:pPr>
    <w:rPr>
      <w:rFonts w:asciiTheme="majorHAnsi" w:eastAsiaTheme="majorEastAsia" w:hAnsiTheme="majorHAnsi" w:cstheme="majorBidi"/>
      <w:color w:val="85162E" w:themeColor="accent1" w:themeShade="BF"/>
      <w:szCs w:val="32"/>
    </w:rPr>
  </w:style>
  <w:style w:type="paragraph" w:customStyle="1" w:styleId="Heading15">
    <w:name w:val="Heading 1.5"/>
    <w:basedOn w:val="Normal"/>
    <w:next w:val="Normal"/>
    <w:link w:val="Heading15Char"/>
    <w:qFormat/>
    <w:rsid w:val="005A5470"/>
    <w:pPr>
      <w:keepNext/>
      <w:spacing w:before="240" w:after="120"/>
      <w:outlineLvl w:val="1"/>
    </w:pPr>
    <w:rPr>
      <w:rFonts w:ascii="Arial" w:hAnsi="Arial"/>
      <w:b/>
      <w:color w:val="B31D3F"/>
    </w:rPr>
  </w:style>
  <w:style w:type="character" w:customStyle="1" w:styleId="Heading15Char">
    <w:name w:val="Heading 1.5 Char"/>
    <w:basedOn w:val="Heading2Char"/>
    <w:link w:val="Heading15"/>
    <w:rsid w:val="005A5470"/>
    <w:rPr>
      <w:rFonts w:ascii="Arial" w:eastAsiaTheme="minorHAnsi" w:hAnsi="Arial" w:cstheme="minorHAnsi"/>
      <w:b w:val="0"/>
      <w:noProof/>
      <w:color w:val="B31D3F"/>
      <w:kern w:val="2"/>
      <w:sz w:val="22"/>
      <w:szCs w:val="24"/>
      <w14:ligatures w14:val="standardContextual"/>
    </w:rPr>
  </w:style>
  <w:style w:type="character" w:styleId="UnresolvedMention">
    <w:name w:val="Unresolved Mention"/>
    <w:basedOn w:val="DefaultParagraphFont"/>
    <w:uiPriority w:val="99"/>
    <w:semiHidden/>
    <w:unhideWhenUsed/>
    <w:rsid w:val="00E22E7D"/>
    <w:rPr>
      <w:color w:val="605E5C"/>
      <w:shd w:val="clear" w:color="auto" w:fill="E1DFDD"/>
    </w:rPr>
  </w:style>
  <w:style w:type="paragraph" w:styleId="Revision">
    <w:name w:val="Revision"/>
    <w:hidden/>
    <w:uiPriority w:val="99"/>
    <w:semiHidden/>
    <w:rsid w:val="00036F86"/>
    <w:rPr>
      <w:rFonts w:asciiTheme="minorHAnsi" w:hAnsiTheme="minorHAnsi" w:cstheme="minorHAnsi"/>
      <w:color w:val="53585F" w:themeColor="text2"/>
      <w:sz w:val="22"/>
      <w:szCs w:val="24"/>
    </w:rPr>
  </w:style>
  <w:style w:type="character" w:customStyle="1" w:styleId="ui-provider">
    <w:name w:val="ui-provider"/>
    <w:basedOn w:val="DefaultParagraphFont"/>
    <w:rsid w:val="00414E9D"/>
  </w:style>
  <w:style w:type="paragraph" w:customStyle="1" w:styleId="DS">
    <w:name w:val="DS"/>
    <w:basedOn w:val="BodyText"/>
    <w:qFormat/>
    <w:rsid w:val="00AB4132"/>
    <w:pPr>
      <w:keepNext/>
      <w:autoSpaceDE w:val="0"/>
      <w:autoSpaceDN w:val="0"/>
      <w:spacing w:before="240" w:line="276" w:lineRule="auto"/>
      <w:ind w:left="144"/>
    </w:pPr>
    <w:rPr>
      <w:rFonts w:ascii="Arial" w:eastAsia="Calibri" w:hAnsi="Arial" w:cs="Arial"/>
      <w:noProof/>
      <w:color w:val="FFFFFF" w:themeColor="background1"/>
      <w:szCs w:val="22"/>
    </w:rPr>
  </w:style>
  <w:style w:type="paragraph" w:styleId="BodyText">
    <w:name w:val="Body Text"/>
    <w:basedOn w:val="Normal"/>
    <w:link w:val="BodyTextChar0"/>
    <w:uiPriority w:val="99"/>
    <w:semiHidden/>
    <w:unhideWhenUsed/>
    <w:rsid w:val="00AB4132"/>
    <w:pPr>
      <w:spacing w:after="120"/>
    </w:pPr>
  </w:style>
  <w:style w:type="character" w:customStyle="1" w:styleId="BodyTextChar0">
    <w:name w:val="Body Text Char"/>
    <w:basedOn w:val="DefaultParagraphFont"/>
    <w:link w:val="BodyText"/>
    <w:uiPriority w:val="99"/>
    <w:semiHidden/>
    <w:rsid w:val="00AB4132"/>
    <w:rPr>
      <w:rFonts w:asciiTheme="minorHAnsi" w:hAnsiTheme="minorHAnsi" w:cstheme="minorHAnsi"/>
      <w:color w:val="53585F" w:themeColor="text2"/>
      <w:sz w:val="22"/>
      <w:szCs w:val="24"/>
    </w:rPr>
  </w:style>
  <w:style w:type="paragraph" w:customStyle="1" w:styleId="EEEH">
    <w:name w:val="EEEH"/>
    <w:basedOn w:val="Normal"/>
    <w:link w:val="EEEHChar"/>
    <w:qFormat/>
    <w:rsid w:val="00AB4132"/>
    <w:pPr>
      <w:keepNext/>
      <w:ind w:left="360"/>
    </w:pPr>
    <w:rPr>
      <w:rFonts w:ascii="Arial" w:eastAsiaTheme="minorHAnsi" w:hAnsi="Arial" w:cs="Arial"/>
      <w:b/>
      <w:bCs/>
      <w:noProof/>
      <w:color w:val="C00000"/>
      <w:kern w:val="2"/>
      <w:szCs w:val="22"/>
      <w14:ligatures w14:val="standardContextual"/>
    </w:rPr>
  </w:style>
  <w:style w:type="character" w:customStyle="1" w:styleId="EEEHChar">
    <w:name w:val="EEEH Char"/>
    <w:basedOn w:val="DefaultParagraphFont"/>
    <w:link w:val="EEEH"/>
    <w:rsid w:val="00AB4132"/>
    <w:rPr>
      <w:rFonts w:ascii="Arial" w:eastAsiaTheme="minorHAnsi" w:hAnsi="Arial" w:cs="Arial"/>
      <w:b/>
      <w:bCs/>
      <w:noProof/>
      <w:color w:val="C00000"/>
      <w:kern w:val="2"/>
      <w:sz w:val="22"/>
      <w:szCs w:val="22"/>
      <w14:ligatures w14:val="standardContextual"/>
    </w:rPr>
  </w:style>
  <w:style w:type="paragraph" w:customStyle="1" w:styleId="EEEL">
    <w:name w:val="EEEL"/>
    <w:basedOn w:val="ListParagraph"/>
    <w:link w:val="EEELChar"/>
    <w:qFormat/>
    <w:rsid w:val="00AB4132"/>
    <w:pPr>
      <w:numPr>
        <w:numId w:val="5"/>
      </w:numPr>
      <w:spacing w:line="278" w:lineRule="auto"/>
    </w:pPr>
    <w:rPr>
      <w:noProof/>
      <w:kern w:val="2"/>
      <w:szCs w:val="24"/>
      <w14:ligatures w14:val="standardContextual"/>
    </w:rPr>
  </w:style>
  <w:style w:type="character" w:customStyle="1" w:styleId="EEELChar">
    <w:name w:val="EEEL Char"/>
    <w:basedOn w:val="DefaultParagraphFont"/>
    <w:link w:val="EEEL"/>
    <w:rsid w:val="00AB4132"/>
    <w:rPr>
      <w:rFonts w:asciiTheme="minorHAnsi" w:eastAsiaTheme="minorHAnsi" w:hAnsiTheme="minorHAnsi" w:cstheme="minorBidi"/>
      <w:noProof/>
      <w:kern w:val="2"/>
      <w:sz w:val="22"/>
      <w:szCs w:val="24"/>
      <w14:ligatures w14:val="standardContextual"/>
    </w:rPr>
  </w:style>
  <w:style w:type="paragraph" w:customStyle="1" w:styleId="EEEP">
    <w:name w:val="EEEP"/>
    <w:basedOn w:val="Normal"/>
    <w:link w:val="EEEPChar"/>
    <w:qFormat/>
    <w:rsid w:val="00AB4132"/>
    <w:pPr>
      <w:keepNext/>
      <w:spacing w:before="120" w:after="120" w:line="278" w:lineRule="auto"/>
      <w:ind w:left="288"/>
    </w:pPr>
    <w:rPr>
      <w:rFonts w:eastAsiaTheme="minorHAnsi" w:cstheme="minorBidi"/>
      <w:b/>
      <w:noProof/>
      <w:color w:val="auto"/>
      <w:kern w:val="2"/>
      <w14:ligatures w14:val="standardContextual"/>
    </w:rPr>
  </w:style>
  <w:style w:type="character" w:customStyle="1" w:styleId="EEEPChar">
    <w:name w:val="EEEP Char"/>
    <w:basedOn w:val="DefaultParagraphFont"/>
    <w:link w:val="EEEP"/>
    <w:rsid w:val="00AB4132"/>
    <w:rPr>
      <w:rFonts w:asciiTheme="minorHAnsi" w:eastAsiaTheme="minorHAnsi" w:hAnsiTheme="minorHAnsi" w:cstheme="minorBidi"/>
      <w:b/>
      <w:noProof/>
      <w:kern w:val="2"/>
      <w:sz w:val="22"/>
      <w:szCs w:val="24"/>
      <w14:ligatures w14:val="standardContextual"/>
    </w:rPr>
  </w:style>
  <w:style w:type="paragraph" w:customStyle="1" w:styleId="MatLvl">
    <w:name w:val="Mat Lvl"/>
    <w:basedOn w:val="BodyText"/>
    <w:qFormat/>
    <w:rsid w:val="00AB4132"/>
    <w:pPr>
      <w:tabs>
        <w:tab w:val="right" w:pos="1872"/>
        <w:tab w:val="left" w:pos="2016"/>
      </w:tabs>
      <w:autoSpaceDE w:val="0"/>
      <w:autoSpaceDN w:val="0"/>
      <w:spacing w:line="276" w:lineRule="auto"/>
      <w:ind w:left="2016" w:hanging="2016"/>
    </w:pPr>
    <w:rPr>
      <w:rFonts w:ascii="Arial" w:eastAsia="Calibri" w:hAnsi="Arial" w:cs="Arial"/>
      <w:noProof/>
      <w:color w:val="404040"/>
      <w:szCs w:val="22"/>
    </w:rPr>
  </w:style>
  <w:style w:type="character" w:customStyle="1" w:styleId="CRIRed">
    <w:name w:val="CRI Red"/>
    <w:basedOn w:val="DefaultParagraphFont"/>
    <w:uiPriority w:val="1"/>
    <w:qFormat/>
    <w:rsid w:val="00A94D0E"/>
    <w:rPr>
      <w:b/>
      <w:bCs/>
      <w:color w:val="B31E3E" w:themeColor="accent1"/>
    </w:rPr>
  </w:style>
  <w:style w:type="table" w:customStyle="1" w:styleId="JGTable1">
    <w:name w:val="JG Table 1"/>
    <w:basedOn w:val="TableNormal"/>
    <w:uiPriority w:val="99"/>
    <w:rsid w:val="008E71A9"/>
    <w:rPr>
      <w:rFonts w:asciiTheme="minorHAnsi" w:eastAsiaTheme="minorHAnsi" w:hAnsiTheme="minorHAnsi" w:cstheme="minorBidi"/>
      <w:kern w:val="2"/>
      <w:sz w:val="24"/>
      <w:szCs w:val="24"/>
      <w14:ligatures w14:val="standardContextual"/>
    </w:rPr>
    <w:tblPr/>
    <w:tblStylePr w:type="firstRow">
      <w:tblPr/>
      <w:tcPr>
        <w:shd w:val="clear" w:color="auto" w:fill="1B567B" w:themeFill="accent5" w:themeFillShade="BF"/>
      </w:tcPr>
    </w:tblStylePr>
  </w:style>
  <w:style w:type="character" w:customStyle="1" w:styleId="Heading5Char">
    <w:name w:val="Heading 5 Char"/>
    <w:basedOn w:val="DefaultParagraphFont"/>
    <w:link w:val="Heading5"/>
    <w:uiPriority w:val="9"/>
    <w:semiHidden/>
    <w:rsid w:val="00D2460A"/>
    <w:rPr>
      <w:rFonts w:ascii="Arial" w:eastAsiaTheme="majorEastAsia" w:hAnsi="Arial" w:cstheme="majorBidi"/>
      <w:noProof/>
      <w:color w:val="85162E" w:themeColor="accent1" w:themeShade="BF"/>
      <w:kern w:val="2"/>
      <w:sz w:val="22"/>
      <w:szCs w:val="22"/>
      <w14:ligatures w14:val="standardContextual"/>
    </w:rPr>
  </w:style>
  <w:style w:type="character" w:customStyle="1" w:styleId="Heading6Char">
    <w:name w:val="Heading 6 Char"/>
    <w:basedOn w:val="DefaultParagraphFont"/>
    <w:link w:val="Heading6"/>
    <w:uiPriority w:val="9"/>
    <w:semiHidden/>
    <w:rsid w:val="00D2460A"/>
    <w:rPr>
      <w:rFonts w:ascii="Arial" w:eastAsiaTheme="majorEastAsia" w:hAnsi="Arial" w:cstheme="majorBidi"/>
      <w:i/>
      <w:iCs/>
      <w:noProof/>
      <w:color w:val="595959" w:themeColor="text1" w:themeTint="A6"/>
      <w:kern w:val="2"/>
      <w:sz w:val="22"/>
      <w:szCs w:val="22"/>
      <w14:ligatures w14:val="standardContextual"/>
    </w:rPr>
  </w:style>
  <w:style w:type="character" w:customStyle="1" w:styleId="Heading7Char">
    <w:name w:val="Heading 7 Char"/>
    <w:basedOn w:val="DefaultParagraphFont"/>
    <w:link w:val="Heading7"/>
    <w:uiPriority w:val="9"/>
    <w:semiHidden/>
    <w:rsid w:val="00D2460A"/>
    <w:rPr>
      <w:rFonts w:ascii="Arial" w:eastAsiaTheme="majorEastAsia" w:hAnsi="Arial" w:cstheme="majorBidi"/>
      <w:noProof/>
      <w:color w:val="595959" w:themeColor="text1" w:themeTint="A6"/>
      <w:kern w:val="2"/>
      <w:sz w:val="22"/>
      <w:szCs w:val="22"/>
      <w14:ligatures w14:val="standardContextual"/>
    </w:rPr>
  </w:style>
  <w:style w:type="paragraph" w:styleId="Quote">
    <w:name w:val="Quote"/>
    <w:basedOn w:val="Normal"/>
    <w:next w:val="Normal"/>
    <w:link w:val="QuoteChar"/>
    <w:uiPriority w:val="29"/>
    <w:qFormat/>
    <w:rsid w:val="00D2460A"/>
    <w:pPr>
      <w:spacing w:before="160" w:after="160" w:line="278" w:lineRule="auto"/>
      <w:ind w:left="360"/>
      <w:jc w:val="center"/>
    </w:pPr>
    <w:rPr>
      <w:rFonts w:ascii="Arial" w:eastAsiaTheme="minorHAnsi" w:hAnsi="Arial" w:cs="Arial"/>
      <w:i/>
      <w:iCs/>
      <w:noProof/>
      <w:color w:val="404040" w:themeColor="text1" w:themeTint="BF"/>
      <w:kern w:val="2"/>
      <w:szCs w:val="22"/>
      <w14:ligatures w14:val="standardContextual"/>
    </w:rPr>
  </w:style>
  <w:style w:type="character" w:customStyle="1" w:styleId="QuoteChar">
    <w:name w:val="Quote Char"/>
    <w:basedOn w:val="DefaultParagraphFont"/>
    <w:link w:val="Quote"/>
    <w:uiPriority w:val="29"/>
    <w:rsid w:val="00D2460A"/>
    <w:rPr>
      <w:rFonts w:ascii="Arial" w:eastAsiaTheme="minorHAnsi" w:hAnsi="Arial" w:cs="Arial"/>
      <w:i/>
      <w:iCs/>
      <w:noProof/>
      <w:color w:val="404040" w:themeColor="text1" w:themeTint="BF"/>
      <w:kern w:val="2"/>
      <w:sz w:val="22"/>
      <w:szCs w:val="22"/>
      <w14:ligatures w14:val="standardContextual"/>
    </w:rPr>
  </w:style>
  <w:style w:type="character" w:styleId="IntenseEmphasis">
    <w:name w:val="Intense Emphasis"/>
    <w:basedOn w:val="DefaultParagraphFont"/>
    <w:uiPriority w:val="21"/>
    <w:qFormat/>
    <w:rsid w:val="00D2460A"/>
    <w:rPr>
      <w:i/>
      <w:iCs/>
      <w:color w:val="85162E" w:themeColor="accent1" w:themeShade="BF"/>
    </w:rPr>
  </w:style>
  <w:style w:type="character" w:styleId="IntenseReference">
    <w:name w:val="Intense Reference"/>
    <w:basedOn w:val="DefaultParagraphFont"/>
    <w:uiPriority w:val="32"/>
    <w:qFormat/>
    <w:rsid w:val="00D2460A"/>
    <w:rPr>
      <w:b/>
      <w:bCs/>
      <w:smallCaps/>
      <w:color w:val="85162E" w:themeColor="accent1" w:themeShade="BF"/>
      <w:spacing w:val="5"/>
    </w:rPr>
  </w:style>
  <w:style w:type="paragraph" w:customStyle="1" w:styleId="RG">
    <w:name w:val="RG"/>
    <w:basedOn w:val="Normal"/>
    <w:link w:val="RGChar"/>
    <w:qFormat/>
    <w:rsid w:val="00D2460A"/>
    <w:pPr>
      <w:spacing w:before="120" w:after="120"/>
    </w:pPr>
    <w:rPr>
      <w:rFonts w:ascii="Arial" w:eastAsiaTheme="minorHAnsi" w:hAnsi="Arial" w:cs="Arial"/>
      <w:noProof/>
      <w:color w:val="auto"/>
      <w:kern w:val="2"/>
      <w:szCs w:val="22"/>
      <w14:ligatures w14:val="standardContextual"/>
    </w:rPr>
  </w:style>
  <w:style w:type="character" w:customStyle="1" w:styleId="RGChar">
    <w:name w:val="RG Char"/>
    <w:basedOn w:val="DefaultParagraphFont"/>
    <w:link w:val="RG"/>
    <w:rsid w:val="00D2460A"/>
    <w:rPr>
      <w:rFonts w:ascii="Arial" w:eastAsiaTheme="minorHAnsi" w:hAnsi="Arial" w:cs="Arial"/>
      <w:noProof/>
      <w:kern w:val="2"/>
      <w:sz w:val="22"/>
      <w:szCs w:val="22"/>
      <w14:ligatures w14:val="standardContextual"/>
    </w:rPr>
  </w:style>
  <w:style w:type="table" w:customStyle="1" w:styleId="TableGrid1">
    <w:name w:val="Table Grid1"/>
    <w:basedOn w:val="TableNormal"/>
    <w:next w:val="TableGrid"/>
    <w:uiPriority w:val="39"/>
    <w:rsid w:val="00D246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A72482"/>
    <w:pPr>
      <w:spacing w:before="100" w:beforeAutospacing="1" w:after="100" w:afterAutospacing="1"/>
    </w:pPr>
    <w:rPr>
      <w:rFonts w:ascii="Aptos" w:eastAsia="Times New Roman" w:hAnsi="Aptos" w:cs="Times New Roman"/>
      <w:color w:val="000000"/>
      <w:szCs w:val="22"/>
    </w:rPr>
  </w:style>
  <w:style w:type="paragraph" w:customStyle="1" w:styleId="xl84">
    <w:name w:val="xl84"/>
    <w:basedOn w:val="Normal"/>
    <w:rsid w:val="00A72482"/>
    <w:pPr>
      <w:pBdr>
        <w:top w:val="single" w:sz="4" w:space="0" w:color="auto"/>
        <w:left w:val="single" w:sz="4" w:space="0" w:color="auto"/>
        <w:bottom w:val="single" w:sz="4" w:space="0" w:color="auto"/>
        <w:right w:val="single" w:sz="4" w:space="0" w:color="auto"/>
      </w:pBdr>
      <w:shd w:val="clear" w:color="000000" w:fill="005B8E"/>
      <w:spacing w:before="100" w:beforeAutospacing="1" w:after="100" w:afterAutospacing="1"/>
      <w:textAlignment w:val="top"/>
    </w:pPr>
    <w:rPr>
      <w:rFonts w:ascii="Aptos" w:eastAsia="Times New Roman" w:hAnsi="Aptos" w:cs="Times New Roman"/>
      <w:b/>
      <w:bCs/>
      <w:color w:val="FFFFFF"/>
      <w:sz w:val="24"/>
    </w:rPr>
  </w:style>
  <w:style w:type="paragraph" w:customStyle="1" w:styleId="xl85">
    <w:name w:val="xl85"/>
    <w:basedOn w:val="Normal"/>
    <w:rsid w:val="00A72482"/>
    <w:pPr>
      <w:pBdr>
        <w:top w:val="single" w:sz="4" w:space="0" w:color="auto"/>
        <w:left w:val="single" w:sz="4" w:space="0" w:color="auto"/>
        <w:bottom w:val="single" w:sz="4" w:space="0" w:color="auto"/>
        <w:right w:val="single" w:sz="4" w:space="0" w:color="auto"/>
      </w:pBdr>
      <w:shd w:val="clear" w:color="000000" w:fill="005B8E"/>
      <w:spacing w:before="100" w:beforeAutospacing="1" w:after="100" w:afterAutospacing="1"/>
      <w:textAlignment w:val="top"/>
    </w:pPr>
    <w:rPr>
      <w:rFonts w:ascii="Aptos" w:eastAsia="Times New Roman" w:hAnsi="Aptos" w:cs="Times New Roman"/>
      <w:b/>
      <w:bCs/>
      <w:color w:val="FFFFFF"/>
      <w:sz w:val="24"/>
    </w:rPr>
  </w:style>
  <w:style w:type="paragraph" w:customStyle="1" w:styleId="xl86">
    <w:name w:val="xl86"/>
    <w:basedOn w:val="Normal"/>
    <w:rsid w:val="00A72482"/>
    <w:pPr>
      <w:spacing w:before="100" w:beforeAutospacing="1" w:after="100" w:afterAutospacing="1"/>
    </w:pPr>
    <w:rPr>
      <w:rFonts w:ascii="Times New Roman" w:eastAsia="Times New Roman" w:hAnsi="Times New Roman" w:cs="Times New Roman"/>
      <w:color w:val="auto"/>
      <w:sz w:val="24"/>
    </w:rPr>
  </w:style>
  <w:style w:type="paragraph" w:customStyle="1" w:styleId="xl87">
    <w:name w:val="xl87"/>
    <w:basedOn w:val="Normal"/>
    <w:rsid w:val="001D1E4C"/>
    <w:pPr>
      <w:pBdr>
        <w:bottom w:val="single" w:sz="4" w:space="0" w:color="auto"/>
      </w:pBdr>
      <w:spacing w:before="100" w:beforeAutospacing="1" w:after="100" w:afterAutospacing="1"/>
    </w:pPr>
    <w:rPr>
      <w:rFonts w:ascii="Times New Roman" w:eastAsia="Times New Roman" w:hAnsi="Times New Roman" w:cs="Times New Roman"/>
      <w:color w:val="auto"/>
      <w:sz w:val="24"/>
    </w:rPr>
  </w:style>
  <w:style w:type="numbering" w:customStyle="1" w:styleId="NoList1">
    <w:name w:val="No List1"/>
    <w:next w:val="NoList"/>
    <w:uiPriority w:val="99"/>
    <w:semiHidden/>
    <w:unhideWhenUsed/>
    <w:rsid w:val="004925F3"/>
  </w:style>
  <w:style w:type="numbering" w:customStyle="1" w:styleId="NoList2">
    <w:name w:val="No List2"/>
    <w:next w:val="NoList"/>
    <w:uiPriority w:val="99"/>
    <w:semiHidden/>
    <w:unhideWhenUsed/>
    <w:rsid w:val="00963E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45718">
      <w:bodyDiv w:val="1"/>
      <w:marLeft w:val="0"/>
      <w:marRight w:val="0"/>
      <w:marTop w:val="0"/>
      <w:marBottom w:val="0"/>
      <w:divBdr>
        <w:top w:val="none" w:sz="0" w:space="0" w:color="auto"/>
        <w:left w:val="none" w:sz="0" w:space="0" w:color="auto"/>
        <w:bottom w:val="none" w:sz="0" w:space="0" w:color="auto"/>
        <w:right w:val="none" w:sz="0" w:space="0" w:color="auto"/>
      </w:divBdr>
    </w:div>
    <w:div w:id="9918983">
      <w:bodyDiv w:val="1"/>
      <w:marLeft w:val="0"/>
      <w:marRight w:val="0"/>
      <w:marTop w:val="0"/>
      <w:marBottom w:val="0"/>
      <w:divBdr>
        <w:top w:val="none" w:sz="0" w:space="0" w:color="auto"/>
        <w:left w:val="none" w:sz="0" w:space="0" w:color="auto"/>
        <w:bottom w:val="none" w:sz="0" w:space="0" w:color="auto"/>
        <w:right w:val="none" w:sz="0" w:space="0" w:color="auto"/>
      </w:divBdr>
    </w:div>
    <w:div w:id="20934929">
      <w:bodyDiv w:val="1"/>
      <w:marLeft w:val="0"/>
      <w:marRight w:val="0"/>
      <w:marTop w:val="0"/>
      <w:marBottom w:val="0"/>
      <w:divBdr>
        <w:top w:val="none" w:sz="0" w:space="0" w:color="auto"/>
        <w:left w:val="none" w:sz="0" w:space="0" w:color="auto"/>
        <w:bottom w:val="none" w:sz="0" w:space="0" w:color="auto"/>
        <w:right w:val="none" w:sz="0" w:space="0" w:color="auto"/>
      </w:divBdr>
    </w:div>
    <w:div w:id="27804300">
      <w:bodyDiv w:val="1"/>
      <w:marLeft w:val="0"/>
      <w:marRight w:val="0"/>
      <w:marTop w:val="0"/>
      <w:marBottom w:val="0"/>
      <w:divBdr>
        <w:top w:val="none" w:sz="0" w:space="0" w:color="auto"/>
        <w:left w:val="none" w:sz="0" w:space="0" w:color="auto"/>
        <w:bottom w:val="none" w:sz="0" w:space="0" w:color="auto"/>
        <w:right w:val="none" w:sz="0" w:space="0" w:color="auto"/>
      </w:divBdr>
    </w:div>
    <w:div w:id="28922091">
      <w:bodyDiv w:val="1"/>
      <w:marLeft w:val="0"/>
      <w:marRight w:val="0"/>
      <w:marTop w:val="0"/>
      <w:marBottom w:val="0"/>
      <w:divBdr>
        <w:top w:val="none" w:sz="0" w:space="0" w:color="auto"/>
        <w:left w:val="none" w:sz="0" w:space="0" w:color="auto"/>
        <w:bottom w:val="none" w:sz="0" w:space="0" w:color="auto"/>
        <w:right w:val="none" w:sz="0" w:space="0" w:color="auto"/>
      </w:divBdr>
    </w:div>
    <w:div w:id="33972359">
      <w:bodyDiv w:val="1"/>
      <w:marLeft w:val="0"/>
      <w:marRight w:val="0"/>
      <w:marTop w:val="0"/>
      <w:marBottom w:val="0"/>
      <w:divBdr>
        <w:top w:val="none" w:sz="0" w:space="0" w:color="auto"/>
        <w:left w:val="none" w:sz="0" w:space="0" w:color="auto"/>
        <w:bottom w:val="none" w:sz="0" w:space="0" w:color="auto"/>
        <w:right w:val="none" w:sz="0" w:space="0" w:color="auto"/>
      </w:divBdr>
    </w:div>
    <w:div w:id="38172562">
      <w:bodyDiv w:val="1"/>
      <w:marLeft w:val="0"/>
      <w:marRight w:val="0"/>
      <w:marTop w:val="0"/>
      <w:marBottom w:val="0"/>
      <w:divBdr>
        <w:top w:val="none" w:sz="0" w:space="0" w:color="auto"/>
        <w:left w:val="none" w:sz="0" w:space="0" w:color="auto"/>
        <w:bottom w:val="none" w:sz="0" w:space="0" w:color="auto"/>
        <w:right w:val="none" w:sz="0" w:space="0" w:color="auto"/>
      </w:divBdr>
    </w:div>
    <w:div w:id="39088747">
      <w:bodyDiv w:val="1"/>
      <w:marLeft w:val="0"/>
      <w:marRight w:val="0"/>
      <w:marTop w:val="0"/>
      <w:marBottom w:val="0"/>
      <w:divBdr>
        <w:top w:val="none" w:sz="0" w:space="0" w:color="auto"/>
        <w:left w:val="none" w:sz="0" w:space="0" w:color="auto"/>
        <w:bottom w:val="none" w:sz="0" w:space="0" w:color="auto"/>
        <w:right w:val="none" w:sz="0" w:space="0" w:color="auto"/>
      </w:divBdr>
    </w:div>
    <w:div w:id="45105289">
      <w:bodyDiv w:val="1"/>
      <w:marLeft w:val="0"/>
      <w:marRight w:val="0"/>
      <w:marTop w:val="0"/>
      <w:marBottom w:val="0"/>
      <w:divBdr>
        <w:top w:val="none" w:sz="0" w:space="0" w:color="auto"/>
        <w:left w:val="none" w:sz="0" w:space="0" w:color="auto"/>
        <w:bottom w:val="none" w:sz="0" w:space="0" w:color="auto"/>
        <w:right w:val="none" w:sz="0" w:space="0" w:color="auto"/>
      </w:divBdr>
    </w:div>
    <w:div w:id="45497234">
      <w:bodyDiv w:val="1"/>
      <w:marLeft w:val="0"/>
      <w:marRight w:val="0"/>
      <w:marTop w:val="0"/>
      <w:marBottom w:val="0"/>
      <w:divBdr>
        <w:top w:val="none" w:sz="0" w:space="0" w:color="auto"/>
        <w:left w:val="none" w:sz="0" w:space="0" w:color="auto"/>
        <w:bottom w:val="none" w:sz="0" w:space="0" w:color="auto"/>
        <w:right w:val="none" w:sz="0" w:space="0" w:color="auto"/>
      </w:divBdr>
    </w:div>
    <w:div w:id="47605810">
      <w:bodyDiv w:val="1"/>
      <w:marLeft w:val="0"/>
      <w:marRight w:val="0"/>
      <w:marTop w:val="0"/>
      <w:marBottom w:val="0"/>
      <w:divBdr>
        <w:top w:val="none" w:sz="0" w:space="0" w:color="auto"/>
        <w:left w:val="none" w:sz="0" w:space="0" w:color="auto"/>
        <w:bottom w:val="none" w:sz="0" w:space="0" w:color="auto"/>
        <w:right w:val="none" w:sz="0" w:space="0" w:color="auto"/>
      </w:divBdr>
    </w:div>
    <w:div w:id="49111344">
      <w:bodyDiv w:val="1"/>
      <w:marLeft w:val="0"/>
      <w:marRight w:val="0"/>
      <w:marTop w:val="0"/>
      <w:marBottom w:val="0"/>
      <w:divBdr>
        <w:top w:val="none" w:sz="0" w:space="0" w:color="auto"/>
        <w:left w:val="none" w:sz="0" w:space="0" w:color="auto"/>
        <w:bottom w:val="none" w:sz="0" w:space="0" w:color="auto"/>
        <w:right w:val="none" w:sz="0" w:space="0" w:color="auto"/>
      </w:divBdr>
    </w:div>
    <w:div w:id="58603880">
      <w:bodyDiv w:val="1"/>
      <w:marLeft w:val="0"/>
      <w:marRight w:val="0"/>
      <w:marTop w:val="0"/>
      <w:marBottom w:val="0"/>
      <w:divBdr>
        <w:top w:val="none" w:sz="0" w:space="0" w:color="auto"/>
        <w:left w:val="none" w:sz="0" w:space="0" w:color="auto"/>
        <w:bottom w:val="none" w:sz="0" w:space="0" w:color="auto"/>
        <w:right w:val="none" w:sz="0" w:space="0" w:color="auto"/>
      </w:divBdr>
    </w:div>
    <w:div w:id="62267244">
      <w:bodyDiv w:val="1"/>
      <w:marLeft w:val="0"/>
      <w:marRight w:val="0"/>
      <w:marTop w:val="0"/>
      <w:marBottom w:val="0"/>
      <w:divBdr>
        <w:top w:val="none" w:sz="0" w:space="0" w:color="auto"/>
        <w:left w:val="none" w:sz="0" w:space="0" w:color="auto"/>
        <w:bottom w:val="none" w:sz="0" w:space="0" w:color="auto"/>
        <w:right w:val="none" w:sz="0" w:space="0" w:color="auto"/>
      </w:divBdr>
    </w:div>
    <w:div w:id="64841638">
      <w:bodyDiv w:val="1"/>
      <w:marLeft w:val="0"/>
      <w:marRight w:val="0"/>
      <w:marTop w:val="0"/>
      <w:marBottom w:val="0"/>
      <w:divBdr>
        <w:top w:val="none" w:sz="0" w:space="0" w:color="auto"/>
        <w:left w:val="none" w:sz="0" w:space="0" w:color="auto"/>
        <w:bottom w:val="none" w:sz="0" w:space="0" w:color="auto"/>
        <w:right w:val="none" w:sz="0" w:space="0" w:color="auto"/>
      </w:divBdr>
    </w:div>
    <w:div w:id="67461043">
      <w:bodyDiv w:val="1"/>
      <w:marLeft w:val="0"/>
      <w:marRight w:val="0"/>
      <w:marTop w:val="0"/>
      <w:marBottom w:val="0"/>
      <w:divBdr>
        <w:top w:val="none" w:sz="0" w:space="0" w:color="auto"/>
        <w:left w:val="none" w:sz="0" w:space="0" w:color="auto"/>
        <w:bottom w:val="none" w:sz="0" w:space="0" w:color="auto"/>
        <w:right w:val="none" w:sz="0" w:space="0" w:color="auto"/>
      </w:divBdr>
    </w:div>
    <w:div w:id="82410855">
      <w:bodyDiv w:val="1"/>
      <w:marLeft w:val="0"/>
      <w:marRight w:val="0"/>
      <w:marTop w:val="0"/>
      <w:marBottom w:val="0"/>
      <w:divBdr>
        <w:top w:val="none" w:sz="0" w:space="0" w:color="auto"/>
        <w:left w:val="none" w:sz="0" w:space="0" w:color="auto"/>
        <w:bottom w:val="none" w:sz="0" w:space="0" w:color="auto"/>
        <w:right w:val="none" w:sz="0" w:space="0" w:color="auto"/>
      </w:divBdr>
    </w:div>
    <w:div w:id="82605230">
      <w:bodyDiv w:val="1"/>
      <w:marLeft w:val="0"/>
      <w:marRight w:val="0"/>
      <w:marTop w:val="0"/>
      <w:marBottom w:val="0"/>
      <w:divBdr>
        <w:top w:val="none" w:sz="0" w:space="0" w:color="auto"/>
        <w:left w:val="none" w:sz="0" w:space="0" w:color="auto"/>
        <w:bottom w:val="none" w:sz="0" w:space="0" w:color="auto"/>
        <w:right w:val="none" w:sz="0" w:space="0" w:color="auto"/>
      </w:divBdr>
    </w:div>
    <w:div w:id="82918188">
      <w:bodyDiv w:val="1"/>
      <w:marLeft w:val="0"/>
      <w:marRight w:val="0"/>
      <w:marTop w:val="0"/>
      <w:marBottom w:val="0"/>
      <w:divBdr>
        <w:top w:val="none" w:sz="0" w:space="0" w:color="auto"/>
        <w:left w:val="none" w:sz="0" w:space="0" w:color="auto"/>
        <w:bottom w:val="none" w:sz="0" w:space="0" w:color="auto"/>
        <w:right w:val="none" w:sz="0" w:space="0" w:color="auto"/>
      </w:divBdr>
    </w:div>
    <w:div w:id="103430120">
      <w:bodyDiv w:val="1"/>
      <w:marLeft w:val="0"/>
      <w:marRight w:val="0"/>
      <w:marTop w:val="0"/>
      <w:marBottom w:val="0"/>
      <w:divBdr>
        <w:top w:val="none" w:sz="0" w:space="0" w:color="auto"/>
        <w:left w:val="none" w:sz="0" w:space="0" w:color="auto"/>
        <w:bottom w:val="none" w:sz="0" w:space="0" w:color="auto"/>
        <w:right w:val="none" w:sz="0" w:space="0" w:color="auto"/>
      </w:divBdr>
    </w:div>
    <w:div w:id="103767495">
      <w:bodyDiv w:val="1"/>
      <w:marLeft w:val="0"/>
      <w:marRight w:val="0"/>
      <w:marTop w:val="0"/>
      <w:marBottom w:val="0"/>
      <w:divBdr>
        <w:top w:val="none" w:sz="0" w:space="0" w:color="auto"/>
        <w:left w:val="none" w:sz="0" w:space="0" w:color="auto"/>
        <w:bottom w:val="none" w:sz="0" w:space="0" w:color="auto"/>
        <w:right w:val="none" w:sz="0" w:space="0" w:color="auto"/>
      </w:divBdr>
    </w:div>
    <w:div w:id="114954653">
      <w:bodyDiv w:val="1"/>
      <w:marLeft w:val="0"/>
      <w:marRight w:val="0"/>
      <w:marTop w:val="0"/>
      <w:marBottom w:val="0"/>
      <w:divBdr>
        <w:top w:val="none" w:sz="0" w:space="0" w:color="auto"/>
        <w:left w:val="none" w:sz="0" w:space="0" w:color="auto"/>
        <w:bottom w:val="none" w:sz="0" w:space="0" w:color="auto"/>
        <w:right w:val="none" w:sz="0" w:space="0" w:color="auto"/>
      </w:divBdr>
    </w:div>
    <w:div w:id="115025927">
      <w:bodyDiv w:val="1"/>
      <w:marLeft w:val="0"/>
      <w:marRight w:val="0"/>
      <w:marTop w:val="0"/>
      <w:marBottom w:val="0"/>
      <w:divBdr>
        <w:top w:val="none" w:sz="0" w:space="0" w:color="auto"/>
        <w:left w:val="none" w:sz="0" w:space="0" w:color="auto"/>
        <w:bottom w:val="none" w:sz="0" w:space="0" w:color="auto"/>
        <w:right w:val="none" w:sz="0" w:space="0" w:color="auto"/>
      </w:divBdr>
    </w:div>
    <w:div w:id="115299583">
      <w:bodyDiv w:val="1"/>
      <w:marLeft w:val="0"/>
      <w:marRight w:val="0"/>
      <w:marTop w:val="0"/>
      <w:marBottom w:val="0"/>
      <w:divBdr>
        <w:top w:val="none" w:sz="0" w:space="0" w:color="auto"/>
        <w:left w:val="none" w:sz="0" w:space="0" w:color="auto"/>
        <w:bottom w:val="none" w:sz="0" w:space="0" w:color="auto"/>
        <w:right w:val="none" w:sz="0" w:space="0" w:color="auto"/>
      </w:divBdr>
    </w:div>
    <w:div w:id="124472011">
      <w:bodyDiv w:val="1"/>
      <w:marLeft w:val="0"/>
      <w:marRight w:val="0"/>
      <w:marTop w:val="0"/>
      <w:marBottom w:val="0"/>
      <w:divBdr>
        <w:top w:val="none" w:sz="0" w:space="0" w:color="auto"/>
        <w:left w:val="none" w:sz="0" w:space="0" w:color="auto"/>
        <w:bottom w:val="none" w:sz="0" w:space="0" w:color="auto"/>
        <w:right w:val="none" w:sz="0" w:space="0" w:color="auto"/>
      </w:divBdr>
    </w:div>
    <w:div w:id="133955677">
      <w:bodyDiv w:val="1"/>
      <w:marLeft w:val="0"/>
      <w:marRight w:val="0"/>
      <w:marTop w:val="0"/>
      <w:marBottom w:val="0"/>
      <w:divBdr>
        <w:top w:val="none" w:sz="0" w:space="0" w:color="auto"/>
        <w:left w:val="none" w:sz="0" w:space="0" w:color="auto"/>
        <w:bottom w:val="none" w:sz="0" w:space="0" w:color="auto"/>
        <w:right w:val="none" w:sz="0" w:space="0" w:color="auto"/>
      </w:divBdr>
    </w:div>
    <w:div w:id="137577635">
      <w:bodyDiv w:val="1"/>
      <w:marLeft w:val="0"/>
      <w:marRight w:val="0"/>
      <w:marTop w:val="0"/>
      <w:marBottom w:val="0"/>
      <w:divBdr>
        <w:top w:val="none" w:sz="0" w:space="0" w:color="auto"/>
        <w:left w:val="none" w:sz="0" w:space="0" w:color="auto"/>
        <w:bottom w:val="none" w:sz="0" w:space="0" w:color="auto"/>
        <w:right w:val="none" w:sz="0" w:space="0" w:color="auto"/>
      </w:divBdr>
    </w:div>
    <w:div w:id="143400920">
      <w:bodyDiv w:val="1"/>
      <w:marLeft w:val="0"/>
      <w:marRight w:val="0"/>
      <w:marTop w:val="0"/>
      <w:marBottom w:val="0"/>
      <w:divBdr>
        <w:top w:val="none" w:sz="0" w:space="0" w:color="auto"/>
        <w:left w:val="none" w:sz="0" w:space="0" w:color="auto"/>
        <w:bottom w:val="none" w:sz="0" w:space="0" w:color="auto"/>
        <w:right w:val="none" w:sz="0" w:space="0" w:color="auto"/>
      </w:divBdr>
    </w:div>
    <w:div w:id="144319043">
      <w:bodyDiv w:val="1"/>
      <w:marLeft w:val="0"/>
      <w:marRight w:val="0"/>
      <w:marTop w:val="0"/>
      <w:marBottom w:val="0"/>
      <w:divBdr>
        <w:top w:val="none" w:sz="0" w:space="0" w:color="auto"/>
        <w:left w:val="none" w:sz="0" w:space="0" w:color="auto"/>
        <w:bottom w:val="none" w:sz="0" w:space="0" w:color="auto"/>
        <w:right w:val="none" w:sz="0" w:space="0" w:color="auto"/>
      </w:divBdr>
    </w:div>
    <w:div w:id="150879238">
      <w:bodyDiv w:val="1"/>
      <w:marLeft w:val="0"/>
      <w:marRight w:val="0"/>
      <w:marTop w:val="0"/>
      <w:marBottom w:val="0"/>
      <w:divBdr>
        <w:top w:val="none" w:sz="0" w:space="0" w:color="auto"/>
        <w:left w:val="none" w:sz="0" w:space="0" w:color="auto"/>
        <w:bottom w:val="none" w:sz="0" w:space="0" w:color="auto"/>
        <w:right w:val="none" w:sz="0" w:space="0" w:color="auto"/>
      </w:divBdr>
    </w:div>
    <w:div w:id="158739918">
      <w:bodyDiv w:val="1"/>
      <w:marLeft w:val="0"/>
      <w:marRight w:val="0"/>
      <w:marTop w:val="0"/>
      <w:marBottom w:val="0"/>
      <w:divBdr>
        <w:top w:val="none" w:sz="0" w:space="0" w:color="auto"/>
        <w:left w:val="none" w:sz="0" w:space="0" w:color="auto"/>
        <w:bottom w:val="none" w:sz="0" w:space="0" w:color="auto"/>
        <w:right w:val="none" w:sz="0" w:space="0" w:color="auto"/>
      </w:divBdr>
    </w:div>
    <w:div w:id="166752379">
      <w:bodyDiv w:val="1"/>
      <w:marLeft w:val="0"/>
      <w:marRight w:val="0"/>
      <w:marTop w:val="0"/>
      <w:marBottom w:val="0"/>
      <w:divBdr>
        <w:top w:val="none" w:sz="0" w:space="0" w:color="auto"/>
        <w:left w:val="none" w:sz="0" w:space="0" w:color="auto"/>
        <w:bottom w:val="none" w:sz="0" w:space="0" w:color="auto"/>
        <w:right w:val="none" w:sz="0" w:space="0" w:color="auto"/>
      </w:divBdr>
    </w:div>
    <w:div w:id="172764893">
      <w:bodyDiv w:val="1"/>
      <w:marLeft w:val="0"/>
      <w:marRight w:val="0"/>
      <w:marTop w:val="0"/>
      <w:marBottom w:val="0"/>
      <w:divBdr>
        <w:top w:val="none" w:sz="0" w:space="0" w:color="auto"/>
        <w:left w:val="none" w:sz="0" w:space="0" w:color="auto"/>
        <w:bottom w:val="none" w:sz="0" w:space="0" w:color="auto"/>
        <w:right w:val="none" w:sz="0" w:space="0" w:color="auto"/>
      </w:divBdr>
    </w:div>
    <w:div w:id="175847947">
      <w:bodyDiv w:val="1"/>
      <w:marLeft w:val="0"/>
      <w:marRight w:val="0"/>
      <w:marTop w:val="0"/>
      <w:marBottom w:val="0"/>
      <w:divBdr>
        <w:top w:val="none" w:sz="0" w:space="0" w:color="auto"/>
        <w:left w:val="none" w:sz="0" w:space="0" w:color="auto"/>
        <w:bottom w:val="none" w:sz="0" w:space="0" w:color="auto"/>
        <w:right w:val="none" w:sz="0" w:space="0" w:color="auto"/>
      </w:divBdr>
    </w:div>
    <w:div w:id="190413803">
      <w:bodyDiv w:val="1"/>
      <w:marLeft w:val="0"/>
      <w:marRight w:val="0"/>
      <w:marTop w:val="0"/>
      <w:marBottom w:val="0"/>
      <w:divBdr>
        <w:top w:val="none" w:sz="0" w:space="0" w:color="auto"/>
        <w:left w:val="none" w:sz="0" w:space="0" w:color="auto"/>
        <w:bottom w:val="none" w:sz="0" w:space="0" w:color="auto"/>
        <w:right w:val="none" w:sz="0" w:space="0" w:color="auto"/>
      </w:divBdr>
    </w:div>
    <w:div w:id="195506082">
      <w:bodyDiv w:val="1"/>
      <w:marLeft w:val="0"/>
      <w:marRight w:val="0"/>
      <w:marTop w:val="0"/>
      <w:marBottom w:val="0"/>
      <w:divBdr>
        <w:top w:val="none" w:sz="0" w:space="0" w:color="auto"/>
        <w:left w:val="none" w:sz="0" w:space="0" w:color="auto"/>
        <w:bottom w:val="none" w:sz="0" w:space="0" w:color="auto"/>
        <w:right w:val="none" w:sz="0" w:space="0" w:color="auto"/>
      </w:divBdr>
    </w:div>
    <w:div w:id="197932100">
      <w:bodyDiv w:val="1"/>
      <w:marLeft w:val="0"/>
      <w:marRight w:val="0"/>
      <w:marTop w:val="0"/>
      <w:marBottom w:val="0"/>
      <w:divBdr>
        <w:top w:val="none" w:sz="0" w:space="0" w:color="auto"/>
        <w:left w:val="none" w:sz="0" w:space="0" w:color="auto"/>
        <w:bottom w:val="none" w:sz="0" w:space="0" w:color="auto"/>
        <w:right w:val="none" w:sz="0" w:space="0" w:color="auto"/>
      </w:divBdr>
    </w:div>
    <w:div w:id="203446539">
      <w:bodyDiv w:val="1"/>
      <w:marLeft w:val="0"/>
      <w:marRight w:val="0"/>
      <w:marTop w:val="0"/>
      <w:marBottom w:val="0"/>
      <w:divBdr>
        <w:top w:val="none" w:sz="0" w:space="0" w:color="auto"/>
        <w:left w:val="none" w:sz="0" w:space="0" w:color="auto"/>
        <w:bottom w:val="none" w:sz="0" w:space="0" w:color="auto"/>
        <w:right w:val="none" w:sz="0" w:space="0" w:color="auto"/>
      </w:divBdr>
    </w:div>
    <w:div w:id="206840176">
      <w:bodyDiv w:val="1"/>
      <w:marLeft w:val="0"/>
      <w:marRight w:val="0"/>
      <w:marTop w:val="0"/>
      <w:marBottom w:val="0"/>
      <w:divBdr>
        <w:top w:val="none" w:sz="0" w:space="0" w:color="auto"/>
        <w:left w:val="none" w:sz="0" w:space="0" w:color="auto"/>
        <w:bottom w:val="none" w:sz="0" w:space="0" w:color="auto"/>
        <w:right w:val="none" w:sz="0" w:space="0" w:color="auto"/>
      </w:divBdr>
    </w:div>
    <w:div w:id="211699853">
      <w:bodyDiv w:val="1"/>
      <w:marLeft w:val="0"/>
      <w:marRight w:val="0"/>
      <w:marTop w:val="0"/>
      <w:marBottom w:val="0"/>
      <w:divBdr>
        <w:top w:val="none" w:sz="0" w:space="0" w:color="auto"/>
        <w:left w:val="none" w:sz="0" w:space="0" w:color="auto"/>
        <w:bottom w:val="none" w:sz="0" w:space="0" w:color="auto"/>
        <w:right w:val="none" w:sz="0" w:space="0" w:color="auto"/>
      </w:divBdr>
    </w:div>
    <w:div w:id="212547039">
      <w:bodyDiv w:val="1"/>
      <w:marLeft w:val="0"/>
      <w:marRight w:val="0"/>
      <w:marTop w:val="0"/>
      <w:marBottom w:val="0"/>
      <w:divBdr>
        <w:top w:val="none" w:sz="0" w:space="0" w:color="auto"/>
        <w:left w:val="none" w:sz="0" w:space="0" w:color="auto"/>
        <w:bottom w:val="none" w:sz="0" w:space="0" w:color="auto"/>
        <w:right w:val="none" w:sz="0" w:space="0" w:color="auto"/>
      </w:divBdr>
    </w:div>
    <w:div w:id="213544511">
      <w:bodyDiv w:val="1"/>
      <w:marLeft w:val="0"/>
      <w:marRight w:val="0"/>
      <w:marTop w:val="0"/>
      <w:marBottom w:val="0"/>
      <w:divBdr>
        <w:top w:val="none" w:sz="0" w:space="0" w:color="auto"/>
        <w:left w:val="none" w:sz="0" w:space="0" w:color="auto"/>
        <w:bottom w:val="none" w:sz="0" w:space="0" w:color="auto"/>
        <w:right w:val="none" w:sz="0" w:space="0" w:color="auto"/>
      </w:divBdr>
    </w:div>
    <w:div w:id="217014169">
      <w:bodyDiv w:val="1"/>
      <w:marLeft w:val="0"/>
      <w:marRight w:val="0"/>
      <w:marTop w:val="0"/>
      <w:marBottom w:val="0"/>
      <w:divBdr>
        <w:top w:val="none" w:sz="0" w:space="0" w:color="auto"/>
        <w:left w:val="none" w:sz="0" w:space="0" w:color="auto"/>
        <w:bottom w:val="none" w:sz="0" w:space="0" w:color="auto"/>
        <w:right w:val="none" w:sz="0" w:space="0" w:color="auto"/>
      </w:divBdr>
    </w:div>
    <w:div w:id="220411074">
      <w:bodyDiv w:val="1"/>
      <w:marLeft w:val="0"/>
      <w:marRight w:val="0"/>
      <w:marTop w:val="0"/>
      <w:marBottom w:val="0"/>
      <w:divBdr>
        <w:top w:val="none" w:sz="0" w:space="0" w:color="auto"/>
        <w:left w:val="none" w:sz="0" w:space="0" w:color="auto"/>
        <w:bottom w:val="none" w:sz="0" w:space="0" w:color="auto"/>
        <w:right w:val="none" w:sz="0" w:space="0" w:color="auto"/>
      </w:divBdr>
    </w:div>
    <w:div w:id="221449437">
      <w:bodyDiv w:val="1"/>
      <w:marLeft w:val="0"/>
      <w:marRight w:val="0"/>
      <w:marTop w:val="0"/>
      <w:marBottom w:val="0"/>
      <w:divBdr>
        <w:top w:val="none" w:sz="0" w:space="0" w:color="auto"/>
        <w:left w:val="none" w:sz="0" w:space="0" w:color="auto"/>
        <w:bottom w:val="none" w:sz="0" w:space="0" w:color="auto"/>
        <w:right w:val="none" w:sz="0" w:space="0" w:color="auto"/>
      </w:divBdr>
    </w:div>
    <w:div w:id="227040895">
      <w:bodyDiv w:val="1"/>
      <w:marLeft w:val="0"/>
      <w:marRight w:val="0"/>
      <w:marTop w:val="0"/>
      <w:marBottom w:val="0"/>
      <w:divBdr>
        <w:top w:val="none" w:sz="0" w:space="0" w:color="auto"/>
        <w:left w:val="none" w:sz="0" w:space="0" w:color="auto"/>
        <w:bottom w:val="none" w:sz="0" w:space="0" w:color="auto"/>
        <w:right w:val="none" w:sz="0" w:space="0" w:color="auto"/>
      </w:divBdr>
    </w:div>
    <w:div w:id="227958555">
      <w:bodyDiv w:val="1"/>
      <w:marLeft w:val="0"/>
      <w:marRight w:val="0"/>
      <w:marTop w:val="0"/>
      <w:marBottom w:val="0"/>
      <w:divBdr>
        <w:top w:val="none" w:sz="0" w:space="0" w:color="auto"/>
        <w:left w:val="none" w:sz="0" w:space="0" w:color="auto"/>
        <w:bottom w:val="none" w:sz="0" w:space="0" w:color="auto"/>
        <w:right w:val="none" w:sz="0" w:space="0" w:color="auto"/>
      </w:divBdr>
    </w:div>
    <w:div w:id="239759838">
      <w:bodyDiv w:val="1"/>
      <w:marLeft w:val="0"/>
      <w:marRight w:val="0"/>
      <w:marTop w:val="0"/>
      <w:marBottom w:val="0"/>
      <w:divBdr>
        <w:top w:val="none" w:sz="0" w:space="0" w:color="auto"/>
        <w:left w:val="none" w:sz="0" w:space="0" w:color="auto"/>
        <w:bottom w:val="none" w:sz="0" w:space="0" w:color="auto"/>
        <w:right w:val="none" w:sz="0" w:space="0" w:color="auto"/>
      </w:divBdr>
    </w:div>
    <w:div w:id="240917694">
      <w:bodyDiv w:val="1"/>
      <w:marLeft w:val="0"/>
      <w:marRight w:val="0"/>
      <w:marTop w:val="0"/>
      <w:marBottom w:val="0"/>
      <w:divBdr>
        <w:top w:val="none" w:sz="0" w:space="0" w:color="auto"/>
        <w:left w:val="none" w:sz="0" w:space="0" w:color="auto"/>
        <w:bottom w:val="none" w:sz="0" w:space="0" w:color="auto"/>
        <w:right w:val="none" w:sz="0" w:space="0" w:color="auto"/>
      </w:divBdr>
    </w:div>
    <w:div w:id="241139412">
      <w:bodyDiv w:val="1"/>
      <w:marLeft w:val="0"/>
      <w:marRight w:val="0"/>
      <w:marTop w:val="0"/>
      <w:marBottom w:val="0"/>
      <w:divBdr>
        <w:top w:val="none" w:sz="0" w:space="0" w:color="auto"/>
        <w:left w:val="none" w:sz="0" w:space="0" w:color="auto"/>
        <w:bottom w:val="none" w:sz="0" w:space="0" w:color="auto"/>
        <w:right w:val="none" w:sz="0" w:space="0" w:color="auto"/>
      </w:divBdr>
    </w:div>
    <w:div w:id="241566228">
      <w:bodyDiv w:val="1"/>
      <w:marLeft w:val="0"/>
      <w:marRight w:val="0"/>
      <w:marTop w:val="0"/>
      <w:marBottom w:val="0"/>
      <w:divBdr>
        <w:top w:val="none" w:sz="0" w:space="0" w:color="auto"/>
        <w:left w:val="none" w:sz="0" w:space="0" w:color="auto"/>
        <w:bottom w:val="none" w:sz="0" w:space="0" w:color="auto"/>
        <w:right w:val="none" w:sz="0" w:space="0" w:color="auto"/>
      </w:divBdr>
    </w:div>
    <w:div w:id="241792601">
      <w:bodyDiv w:val="1"/>
      <w:marLeft w:val="0"/>
      <w:marRight w:val="0"/>
      <w:marTop w:val="0"/>
      <w:marBottom w:val="0"/>
      <w:divBdr>
        <w:top w:val="none" w:sz="0" w:space="0" w:color="auto"/>
        <w:left w:val="none" w:sz="0" w:space="0" w:color="auto"/>
        <w:bottom w:val="none" w:sz="0" w:space="0" w:color="auto"/>
        <w:right w:val="none" w:sz="0" w:space="0" w:color="auto"/>
      </w:divBdr>
    </w:div>
    <w:div w:id="242223975">
      <w:bodyDiv w:val="1"/>
      <w:marLeft w:val="0"/>
      <w:marRight w:val="0"/>
      <w:marTop w:val="0"/>
      <w:marBottom w:val="0"/>
      <w:divBdr>
        <w:top w:val="none" w:sz="0" w:space="0" w:color="auto"/>
        <w:left w:val="none" w:sz="0" w:space="0" w:color="auto"/>
        <w:bottom w:val="none" w:sz="0" w:space="0" w:color="auto"/>
        <w:right w:val="none" w:sz="0" w:space="0" w:color="auto"/>
      </w:divBdr>
    </w:div>
    <w:div w:id="247424465">
      <w:bodyDiv w:val="1"/>
      <w:marLeft w:val="0"/>
      <w:marRight w:val="0"/>
      <w:marTop w:val="0"/>
      <w:marBottom w:val="0"/>
      <w:divBdr>
        <w:top w:val="none" w:sz="0" w:space="0" w:color="auto"/>
        <w:left w:val="none" w:sz="0" w:space="0" w:color="auto"/>
        <w:bottom w:val="none" w:sz="0" w:space="0" w:color="auto"/>
        <w:right w:val="none" w:sz="0" w:space="0" w:color="auto"/>
      </w:divBdr>
    </w:div>
    <w:div w:id="249042019">
      <w:bodyDiv w:val="1"/>
      <w:marLeft w:val="0"/>
      <w:marRight w:val="0"/>
      <w:marTop w:val="0"/>
      <w:marBottom w:val="0"/>
      <w:divBdr>
        <w:top w:val="none" w:sz="0" w:space="0" w:color="auto"/>
        <w:left w:val="none" w:sz="0" w:space="0" w:color="auto"/>
        <w:bottom w:val="none" w:sz="0" w:space="0" w:color="auto"/>
        <w:right w:val="none" w:sz="0" w:space="0" w:color="auto"/>
      </w:divBdr>
    </w:div>
    <w:div w:id="249893780">
      <w:bodyDiv w:val="1"/>
      <w:marLeft w:val="0"/>
      <w:marRight w:val="0"/>
      <w:marTop w:val="0"/>
      <w:marBottom w:val="0"/>
      <w:divBdr>
        <w:top w:val="none" w:sz="0" w:space="0" w:color="auto"/>
        <w:left w:val="none" w:sz="0" w:space="0" w:color="auto"/>
        <w:bottom w:val="none" w:sz="0" w:space="0" w:color="auto"/>
        <w:right w:val="none" w:sz="0" w:space="0" w:color="auto"/>
      </w:divBdr>
    </w:div>
    <w:div w:id="253366818">
      <w:bodyDiv w:val="1"/>
      <w:marLeft w:val="0"/>
      <w:marRight w:val="0"/>
      <w:marTop w:val="0"/>
      <w:marBottom w:val="0"/>
      <w:divBdr>
        <w:top w:val="none" w:sz="0" w:space="0" w:color="auto"/>
        <w:left w:val="none" w:sz="0" w:space="0" w:color="auto"/>
        <w:bottom w:val="none" w:sz="0" w:space="0" w:color="auto"/>
        <w:right w:val="none" w:sz="0" w:space="0" w:color="auto"/>
      </w:divBdr>
    </w:div>
    <w:div w:id="254244503">
      <w:bodyDiv w:val="1"/>
      <w:marLeft w:val="0"/>
      <w:marRight w:val="0"/>
      <w:marTop w:val="0"/>
      <w:marBottom w:val="0"/>
      <w:divBdr>
        <w:top w:val="none" w:sz="0" w:space="0" w:color="auto"/>
        <w:left w:val="none" w:sz="0" w:space="0" w:color="auto"/>
        <w:bottom w:val="none" w:sz="0" w:space="0" w:color="auto"/>
        <w:right w:val="none" w:sz="0" w:space="0" w:color="auto"/>
      </w:divBdr>
    </w:div>
    <w:div w:id="256014498">
      <w:bodyDiv w:val="1"/>
      <w:marLeft w:val="0"/>
      <w:marRight w:val="0"/>
      <w:marTop w:val="0"/>
      <w:marBottom w:val="0"/>
      <w:divBdr>
        <w:top w:val="none" w:sz="0" w:space="0" w:color="auto"/>
        <w:left w:val="none" w:sz="0" w:space="0" w:color="auto"/>
        <w:bottom w:val="none" w:sz="0" w:space="0" w:color="auto"/>
        <w:right w:val="none" w:sz="0" w:space="0" w:color="auto"/>
      </w:divBdr>
      <w:divsChild>
        <w:div w:id="460194313">
          <w:marLeft w:val="0"/>
          <w:marRight w:val="0"/>
          <w:marTop w:val="150"/>
          <w:marBottom w:val="300"/>
          <w:divBdr>
            <w:top w:val="none" w:sz="0" w:space="0" w:color="auto"/>
            <w:left w:val="none" w:sz="0" w:space="0" w:color="auto"/>
            <w:bottom w:val="none" w:sz="0" w:space="0" w:color="auto"/>
            <w:right w:val="none" w:sz="0" w:space="0" w:color="auto"/>
          </w:divBdr>
        </w:div>
        <w:div w:id="289485060">
          <w:marLeft w:val="0"/>
          <w:marRight w:val="0"/>
          <w:marTop w:val="150"/>
          <w:marBottom w:val="300"/>
          <w:divBdr>
            <w:top w:val="none" w:sz="0" w:space="0" w:color="auto"/>
            <w:left w:val="none" w:sz="0" w:space="0" w:color="auto"/>
            <w:bottom w:val="none" w:sz="0" w:space="0" w:color="auto"/>
            <w:right w:val="none" w:sz="0" w:space="0" w:color="auto"/>
          </w:divBdr>
        </w:div>
        <w:div w:id="1110275754">
          <w:marLeft w:val="0"/>
          <w:marRight w:val="0"/>
          <w:marTop w:val="150"/>
          <w:marBottom w:val="300"/>
          <w:divBdr>
            <w:top w:val="none" w:sz="0" w:space="0" w:color="auto"/>
            <w:left w:val="none" w:sz="0" w:space="0" w:color="auto"/>
            <w:bottom w:val="none" w:sz="0" w:space="0" w:color="auto"/>
            <w:right w:val="none" w:sz="0" w:space="0" w:color="auto"/>
          </w:divBdr>
        </w:div>
      </w:divsChild>
    </w:div>
    <w:div w:id="262420306">
      <w:bodyDiv w:val="1"/>
      <w:marLeft w:val="0"/>
      <w:marRight w:val="0"/>
      <w:marTop w:val="0"/>
      <w:marBottom w:val="0"/>
      <w:divBdr>
        <w:top w:val="none" w:sz="0" w:space="0" w:color="auto"/>
        <w:left w:val="none" w:sz="0" w:space="0" w:color="auto"/>
        <w:bottom w:val="none" w:sz="0" w:space="0" w:color="auto"/>
        <w:right w:val="none" w:sz="0" w:space="0" w:color="auto"/>
      </w:divBdr>
    </w:div>
    <w:div w:id="264389859">
      <w:bodyDiv w:val="1"/>
      <w:marLeft w:val="0"/>
      <w:marRight w:val="0"/>
      <w:marTop w:val="0"/>
      <w:marBottom w:val="0"/>
      <w:divBdr>
        <w:top w:val="none" w:sz="0" w:space="0" w:color="auto"/>
        <w:left w:val="none" w:sz="0" w:space="0" w:color="auto"/>
        <w:bottom w:val="none" w:sz="0" w:space="0" w:color="auto"/>
        <w:right w:val="none" w:sz="0" w:space="0" w:color="auto"/>
      </w:divBdr>
    </w:div>
    <w:div w:id="275064003">
      <w:bodyDiv w:val="1"/>
      <w:marLeft w:val="0"/>
      <w:marRight w:val="0"/>
      <w:marTop w:val="0"/>
      <w:marBottom w:val="0"/>
      <w:divBdr>
        <w:top w:val="none" w:sz="0" w:space="0" w:color="auto"/>
        <w:left w:val="none" w:sz="0" w:space="0" w:color="auto"/>
        <w:bottom w:val="none" w:sz="0" w:space="0" w:color="auto"/>
        <w:right w:val="none" w:sz="0" w:space="0" w:color="auto"/>
      </w:divBdr>
    </w:div>
    <w:div w:id="276765007">
      <w:bodyDiv w:val="1"/>
      <w:marLeft w:val="0"/>
      <w:marRight w:val="0"/>
      <w:marTop w:val="0"/>
      <w:marBottom w:val="0"/>
      <w:divBdr>
        <w:top w:val="none" w:sz="0" w:space="0" w:color="auto"/>
        <w:left w:val="none" w:sz="0" w:space="0" w:color="auto"/>
        <w:bottom w:val="none" w:sz="0" w:space="0" w:color="auto"/>
        <w:right w:val="none" w:sz="0" w:space="0" w:color="auto"/>
      </w:divBdr>
    </w:div>
    <w:div w:id="276832848">
      <w:bodyDiv w:val="1"/>
      <w:marLeft w:val="0"/>
      <w:marRight w:val="0"/>
      <w:marTop w:val="0"/>
      <w:marBottom w:val="0"/>
      <w:divBdr>
        <w:top w:val="none" w:sz="0" w:space="0" w:color="auto"/>
        <w:left w:val="none" w:sz="0" w:space="0" w:color="auto"/>
        <w:bottom w:val="none" w:sz="0" w:space="0" w:color="auto"/>
        <w:right w:val="none" w:sz="0" w:space="0" w:color="auto"/>
      </w:divBdr>
    </w:div>
    <w:div w:id="278729457">
      <w:bodyDiv w:val="1"/>
      <w:marLeft w:val="0"/>
      <w:marRight w:val="0"/>
      <w:marTop w:val="0"/>
      <w:marBottom w:val="0"/>
      <w:divBdr>
        <w:top w:val="none" w:sz="0" w:space="0" w:color="auto"/>
        <w:left w:val="none" w:sz="0" w:space="0" w:color="auto"/>
        <w:bottom w:val="none" w:sz="0" w:space="0" w:color="auto"/>
        <w:right w:val="none" w:sz="0" w:space="0" w:color="auto"/>
      </w:divBdr>
    </w:div>
    <w:div w:id="281497076">
      <w:bodyDiv w:val="1"/>
      <w:marLeft w:val="0"/>
      <w:marRight w:val="0"/>
      <w:marTop w:val="0"/>
      <w:marBottom w:val="0"/>
      <w:divBdr>
        <w:top w:val="none" w:sz="0" w:space="0" w:color="auto"/>
        <w:left w:val="none" w:sz="0" w:space="0" w:color="auto"/>
        <w:bottom w:val="none" w:sz="0" w:space="0" w:color="auto"/>
        <w:right w:val="none" w:sz="0" w:space="0" w:color="auto"/>
      </w:divBdr>
    </w:div>
    <w:div w:id="295917493">
      <w:bodyDiv w:val="1"/>
      <w:marLeft w:val="0"/>
      <w:marRight w:val="0"/>
      <w:marTop w:val="0"/>
      <w:marBottom w:val="0"/>
      <w:divBdr>
        <w:top w:val="none" w:sz="0" w:space="0" w:color="auto"/>
        <w:left w:val="none" w:sz="0" w:space="0" w:color="auto"/>
        <w:bottom w:val="none" w:sz="0" w:space="0" w:color="auto"/>
        <w:right w:val="none" w:sz="0" w:space="0" w:color="auto"/>
      </w:divBdr>
    </w:div>
    <w:div w:id="300691086">
      <w:bodyDiv w:val="1"/>
      <w:marLeft w:val="0"/>
      <w:marRight w:val="0"/>
      <w:marTop w:val="0"/>
      <w:marBottom w:val="0"/>
      <w:divBdr>
        <w:top w:val="none" w:sz="0" w:space="0" w:color="auto"/>
        <w:left w:val="none" w:sz="0" w:space="0" w:color="auto"/>
        <w:bottom w:val="none" w:sz="0" w:space="0" w:color="auto"/>
        <w:right w:val="none" w:sz="0" w:space="0" w:color="auto"/>
      </w:divBdr>
    </w:div>
    <w:div w:id="303705029">
      <w:bodyDiv w:val="1"/>
      <w:marLeft w:val="0"/>
      <w:marRight w:val="0"/>
      <w:marTop w:val="0"/>
      <w:marBottom w:val="0"/>
      <w:divBdr>
        <w:top w:val="none" w:sz="0" w:space="0" w:color="auto"/>
        <w:left w:val="none" w:sz="0" w:space="0" w:color="auto"/>
        <w:bottom w:val="none" w:sz="0" w:space="0" w:color="auto"/>
        <w:right w:val="none" w:sz="0" w:space="0" w:color="auto"/>
      </w:divBdr>
    </w:div>
    <w:div w:id="305164660">
      <w:bodyDiv w:val="1"/>
      <w:marLeft w:val="0"/>
      <w:marRight w:val="0"/>
      <w:marTop w:val="0"/>
      <w:marBottom w:val="0"/>
      <w:divBdr>
        <w:top w:val="none" w:sz="0" w:space="0" w:color="auto"/>
        <w:left w:val="none" w:sz="0" w:space="0" w:color="auto"/>
        <w:bottom w:val="none" w:sz="0" w:space="0" w:color="auto"/>
        <w:right w:val="none" w:sz="0" w:space="0" w:color="auto"/>
      </w:divBdr>
    </w:div>
    <w:div w:id="307440061">
      <w:bodyDiv w:val="1"/>
      <w:marLeft w:val="0"/>
      <w:marRight w:val="0"/>
      <w:marTop w:val="0"/>
      <w:marBottom w:val="0"/>
      <w:divBdr>
        <w:top w:val="none" w:sz="0" w:space="0" w:color="auto"/>
        <w:left w:val="none" w:sz="0" w:space="0" w:color="auto"/>
        <w:bottom w:val="none" w:sz="0" w:space="0" w:color="auto"/>
        <w:right w:val="none" w:sz="0" w:space="0" w:color="auto"/>
      </w:divBdr>
    </w:div>
    <w:div w:id="312373595">
      <w:bodyDiv w:val="1"/>
      <w:marLeft w:val="0"/>
      <w:marRight w:val="0"/>
      <w:marTop w:val="0"/>
      <w:marBottom w:val="0"/>
      <w:divBdr>
        <w:top w:val="none" w:sz="0" w:space="0" w:color="auto"/>
        <w:left w:val="none" w:sz="0" w:space="0" w:color="auto"/>
        <w:bottom w:val="none" w:sz="0" w:space="0" w:color="auto"/>
        <w:right w:val="none" w:sz="0" w:space="0" w:color="auto"/>
      </w:divBdr>
    </w:div>
    <w:div w:id="321470049">
      <w:bodyDiv w:val="1"/>
      <w:marLeft w:val="0"/>
      <w:marRight w:val="0"/>
      <w:marTop w:val="0"/>
      <w:marBottom w:val="0"/>
      <w:divBdr>
        <w:top w:val="none" w:sz="0" w:space="0" w:color="auto"/>
        <w:left w:val="none" w:sz="0" w:space="0" w:color="auto"/>
        <w:bottom w:val="none" w:sz="0" w:space="0" w:color="auto"/>
        <w:right w:val="none" w:sz="0" w:space="0" w:color="auto"/>
      </w:divBdr>
    </w:div>
    <w:div w:id="326179563">
      <w:bodyDiv w:val="1"/>
      <w:marLeft w:val="0"/>
      <w:marRight w:val="0"/>
      <w:marTop w:val="0"/>
      <w:marBottom w:val="0"/>
      <w:divBdr>
        <w:top w:val="none" w:sz="0" w:space="0" w:color="auto"/>
        <w:left w:val="none" w:sz="0" w:space="0" w:color="auto"/>
        <w:bottom w:val="none" w:sz="0" w:space="0" w:color="auto"/>
        <w:right w:val="none" w:sz="0" w:space="0" w:color="auto"/>
      </w:divBdr>
    </w:div>
    <w:div w:id="326715872">
      <w:bodyDiv w:val="1"/>
      <w:marLeft w:val="0"/>
      <w:marRight w:val="0"/>
      <w:marTop w:val="0"/>
      <w:marBottom w:val="0"/>
      <w:divBdr>
        <w:top w:val="none" w:sz="0" w:space="0" w:color="auto"/>
        <w:left w:val="none" w:sz="0" w:space="0" w:color="auto"/>
        <w:bottom w:val="none" w:sz="0" w:space="0" w:color="auto"/>
        <w:right w:val="none" w:sz="0" w:space="0" w:color="auto"/>
      </w:divBdr>
    </w:div>
    <w:div w:id="327753550">
      <w:bodyDiv w:val="1"/>
      <w:marLeft w:val="0"/>
      <w:marRight w:val="0"/>
      <w:marTop w:val="0"/>
      <w:marBottom w:val="0"/>
      <w:divBdr>
        <w:top w:val="none" w:sz="0" w:space="0" w:color="auto"/>
        <w:left w:val="none" w:sz="0" w:space="0" w:color="auto"/>
        <w:bottom w:val="none" w:sz="0" w:space="0" w:color="auto"/>
        <w:right w:val="none" w:sz="0" w:space="0" w:color="auto"/>
      </w:divBdr>
    </w:div>
    <w:div w:id="333072776">
      <w:bodyDiv w:val="1"/>
      <w:marLeft w:val="0"/>
      <w:marRight w:val="0"/>
      <w:marTop w:val="0"/>
      <w:marBottom w:val="0"/>
      <w:divBdr>
        <w:top w:val="none" w:sz="0" w:space="0" w:color="auto"/>
        <w:left w:val="none" w:sz="0" w:space="0" w:color="auto"/>
        <w:bottom w:val="none" w:sz="0" w:space="0" w:color="auto"/>
        <w:right w:val="none" w:sz="0" w:space="0" w:color="auto"/>
      </w:divBdr>
    </w:div>
    <w:div w:id="336227348">
      <w:bodyDiv w:val="1"/>
      <w:marLeft w:val="0"/>
      <w:marRight w:val="0"/>
      <w:marTop w:val="0"/>
      <w:marBottom w:val="0"/>
      <w:divBdr>
        <w:top w:val="none" w:sz="0" w:space="0" w:color="auto"/>
        <w:left w:val="none" w:sz="0" w:space="0" w:color="auto"/>
        <w:bottom w:val="none" w:sz="0" w:space="0" w:color="auto"/>
        <w:right w:val="none" w:sz="0" w:space="0" w:color="auto"/>
      </w:divBdr>
    </w:div>
    <w:div w:id="340740922">
      <w:bodyDiv w:val="1"/>
      <w:marLeft w:val="0"/>
      <w:marRight w:val="0"/>
      <w:marTop w:val="0"/>
      <w:marBottom w:val="0"/>
      <w:divBdr>
        <w:top w:val="none" w:sz="0" w:space="0" w:color="auto"/>
        <w:left w:val="none" w:sz="0" w:space="0" w:color="auto"/>
        <w:bottom w:val="none" w:sz="0" w:space="0" w:color="auto"/>
        <w:right w:val="none" w:sz="0" w:space="0" w:color="auto"/>
      </w:divBdr>
    </w:div>
    <w:div w:id="341393951">
      <w:bodyDiv w:val="1"/>
      <w:marLeft w:val="0"/>
      <w:marRight w:val="0"/>
      <w:marTop w:val="0"/>
      <w:marBottom w:val="0"/>
      <w:divBdr>
        <w:top w:val="none" w:sz="0" w:space="0" w:color="auto"/>
        <w:left w:val="none" w:sz="0" w:space="0" w:color="auto"/>
        <w:bottom w:val="none" w:sz="0" w:space="0" w:color="auto"/>
        <w:right w:val="none" w:sz="0" w:space="0" w:color="auto"/>
      </w:divBdr>
    </w:div>
    <w:div w:id="349993985">
      <w:bodyDiv w:val="1"/>
      <w:marLeft w:val="0"/>
      <w:marRight w:val="0"/>
      <w:marTop w:val="0"/>
      <w:marBottom w:val="0"/>
      <w:divBdr>
        <w:top w:val="none" w:sz="0" w:space="0" w:color="auto"/>
        <w:left w:val="none" w:sz="0" w:space="0" w:color="auto"/>
        <w:bottom w:val="none" w:sz="0" w:space="0" w:color="auto"/>
        <w:right w:val="none" w:sz="0" w:space="0" w:color="auto"/>
      </w:divBdr>
    </w:div>
    <w:div w:id="351345227">
      <w:bodyDiv w:val="1"/>
      <w:marLeft w:val="0"/>
      <w:marRight w:val="0"/>
      <w:marTop w:val="0"/>
      <w:marBottom w:val="0"/>
      <w:divBdr>
        <w:top w:val="none" w:sz="0" w:space="0" w:color="auto"/>
        <w:left w:val="none" w:sz="0" w:space="0" w:color="auto"/>
        <w:bottom w:val="none" w:sz="0" w:space="0" w:color="auto"/>
        <w:right w:val="none" w:sz="0" w:space="0" w:color="auto"/>
      </w:divBdr>
    </w:div>
    <w:div w:id="360010782">
      <w:bodyDiv w:val="1"/>
      <w:marLeft w:val="0"/>
      <w:marRight w:val="0"/>
      <w:marTop w:val="0"/>
      <w:marBottom w:val="0"/>
      <w:divBdr>
        <w:top w:val="none" w:sz="0" w:space="0" w:color="auto"/>
        <w:left w:val="none" w:sz="0" w:space="0" w:color="auto"/>
        <w:bottom w:val="none" w:sz="0" w:space="0" w:color="auto"/>
        <w:right w:val="none" w:sz="0" w:space="0" w:color="auto"/>
      </w:divBdr>
    </w:div>
    <w:div w:id="362170835">
      <w:bodyDiv w:val="1"/>
      <w:marLeft w:val="0"/>
      <w:marRight w:val="0"/>
      <w:marTop w:val="0"/>
      <w:marBottom w:val="0"/>
      <w:divBdr>
        <w:top w:val="none" w:sz="0" w:space="0" w:color="auto"/>
        <w:left w:val="none" w:sz="0" w:space="0" w:color="auto"/>
        <w:bottom w:val="none" w:sz="0" w:space="0" w:color="auto"/>
        <w:right w:val="none" w:sz="0" w:space="0" w:color="auto"/>
      </w:divBdr>
    </w:div>
    <w:div w:id="362368344">
      <w:bodyDiv w:val="1"/>
      <w:marLeft w:val="0"/>
      <w:marRight w:val="0"/>
      <w:marTop w:val="0"/>
      <w:marBottom w:val="0"/>
      <w:divBdr>
        <w:top w:val="none" w:sz="0" w:space="0" w:color="auto"/>
        <w:left w:val="none" w:sz="0" w:space="0" w:color="auto"/>
        <w:bottom w:val="none" w:sz="0" w:space="0" w:color="auto"/>
        <w:right w:val="none" w:sz="0" w:space="0" w:color="auto"/>
      </w:divBdr>
    </w:div>
    <w:div w:id="362483521">
      <w:bodyDiv w:val="1"/>
      <w:marLeft w:val="0"/>
      <w:marRight w:val="0"/>
      <w:marTop w:val="0"/>
      <w:marBottom w:val="0"/>
      <w:divBdr>
        <w:top w:val="none" w:sz="0" w:space="0" w:color="auto"/>
        <w:left w:val="none" w:sz="0" w:space="0" w:color="auto"/>
        <w:bottom w:val="none" w:sz="0" w:space="0" w:color="auto"/>
        <w:right w:val="none" w:sz="0" w:space="0" w:color="auto"/>
      </w:divBdr>
    </w:div>
    <w:div w:id="371349437">
      <w:bodyDiv w:val="1"/>
      <w:marLeft w:val="0"/>
      <w:marRight w:val="0"/>
      <w:marTop w:val="0"/>
      <w:marBottom w:val="0"/>
      <w:divBdr>
        <w:top w:val="none" w:sz="0" w:space="0" w:color="auto"/>
        <w:left w:val="none" w:sz="0" w:space="0" w:color="auto"/>
        <w:bottom w:val="none" w:sz="0" w:space="0" w:color="auto"/>
        <w:right w:val="none" w:sz="0" w:space="0" w:color="auto"/>
      </w:divBdr>
    </w:div>
    <w:div w:id="375087230">
      <w:bodyDiv w:val="1"/>
      <w:marLeft w:val="0"/>
      <w:marRight w:val="0"/>
      <w:marTop w:val="0"/>
      <w:marBottom w:val="0"/>
      <w:divBdr>
        <w:top w:val="none" w:sz="0" w:space="0" w:color="auto"/>
        <w:left w:val="none" w:sz="0" w:space="0" w:color="auto"/>
        <w:bottom w:val="none" w:sz="0" w:space="0" w:color="auto"/>
        <w:right w:val="none" w:sz="0" w:space="0" w:color="auto"/>
      </w:divBdr>
    </w:div>
    <w:div w:id="376127814">
      <w:bodyDiv w:val="1"/>
      <w:marLeft w:val="0"/>
      <w:marRight w:val="0"/>
      <w:marTop w:val="0"/>
      <w:marBottom w:val="0"/>
      <w:divBdr>
        <w:top w:val="none" w:sz="0" w:space="0" w:color="auto"/>
        <w:left w:val="none" w:sz="0" w:space="0" w:color="auto"/>
        <w:bottom w:val="none" w:sz="0" w:space="0" w:color="auto"/>
        <w:right w:val="none" w:sz="0" w:space="0" w:color="auto"/>
      </w:divBdr>
    </w:div>
    <w:div w:id="386539003">
      <w:bodyDiv w:val="1"/>
      <w:marLeft w:val="0"/>
      <w:marRight w:val="0"/>
      <w:marTop w:val="0"/>
      <w:marBottom w:val="0"/>
      <w:divBdr>
        <w:top w:val="none" w:sz="0" w:space="0" w:color="auto"/>
        <w:left w:val="none" w:sz="0" w:space="0" w:color="auto"/>
        <w:bottom w:val="none" w:sz="0" w:space="0" w:color="auto"/>
        <w:right w:val="none" w:sz="0" w:space="0" w:color="auto"/>
      </w:divBdr>
    </w:div>
    <w:div w:id="397750804">
      <w:bodyDiv w:val="1"/>
      <w:marLeft w:val="0"/>
      <w:marRight w:val="0"/>
      <w:marTop w:val="0"/>
      <w:marBottom w:val="0"/>
      <w:divBdr>
        <w:top w:val="none" w:sz="0" w:space="0" w:color="auto"/>
        <w:left w:val="none" w:sz="0" w:space="0" w:color="auto"/>
        <w:bottom w:val="none" w:sz="0" w:space="0" w:color="auto"/>
        <w:right w:val="none" w:sz="0" w:space="0" w:color="auto"/>
      </w:divBdr>
    </w:div>
    <w:div w:id="397900024">
      <w:bodyDiv w:val="1"/>
      <w:marLeft w:val="0"/>
      <w:marRight w:val="0"/>
      <w:marTop w:val="0"/>
      <w:marBottom w:val="0"/>
      <w:divBdr>
        <w:top w:val="none" w:sz="0" w:space="0" w:color="auto"/>
        <w:left w:val="none" w:sz="0" w:space="0" w:color="auto"/>
        <w:bottom w:val="none" w:sz="0" w:space="0" w:color="auto"/>
        <w:right w:val="none" w:sz="0" w:space="0" w:color="auto"/>
      </w:divBdr>
    </w:div>
    <w:div w:id="402990215">
      <w:bodyDiv w:val="1"/>
      <w:marLeft w:val="0"/>
      <w:marRight w:val="0"/>
      <w:marTop w:val="0"/>
      <w:marBottom w:val="0"/>
      <w:divBdr>
        <w:top w:val="none" w:sz="0" w:space="0" w:color="auto"/>
        <w:left w:val="none" w:sz="0" w:space="0" w:color="auto"/>
        <w:bottom w:val="none" w:sz="0" w:space="0" w:color="auto"/>
        <w:right w:val="none" w:sz="0" w:space="0" w:color="auto"/>
      </w:divBdr>
    </w:div>
    <w:div w:id="403256398">
      <w:bodyDiv w:val="1"/>
      <w:marLeft w:val="0"/>
      <w:marRight w:val="0"/>
      <w:marTop w:val="0"/>
      <w:marBottom w:val="0"/>
      <w:divBdr>
        <w:top w:val="none" w:sz="0" w:space="0" w:color="auto"/>
        <w:left w:val="none" w:sz="0" w:space="0" w:color="auto"/>
        <w:bottom w:val="none" w:sz="0" w:space="0" w:color="auto"/>
        <w:right w:val="none" w:sz="0" w:space="0" w:color="auto"/>
      </w:divBdr>
    </w:div>
    <w:div w:id="403651333">
      <w:bodyDiv w:val="1"/>
      <w:marLeft w:val="0"/>
      <w:marRight w:val="0"/>
      <w:marTop w:val="0"/>
      <w:marBottom w:val="0"/>
      <w:divBdr>
        <w:top w:val="none" w:sz="0" w:space="0" w:color="auto"/>
        <w:left w:val="none" w:sz="0" w:space="0" w:color="auto"/>
        <w:bottom w:val="none" w:sz="0" w:space="0" w:color="auto"/>
        <w:right w:val="none" w:sz="0" w:space="0" w:color="auto"/>
      </w:divBdr>
    </w:div>
    <w:div w:id="419328851">
      <w:bodyDiv w:val="1"/>
      <w:marLeft w:val="0"/>
      <w:marRight w:val="0"/>
      <w:marTop w:val="0"/>
      <w:marBottom w:val="0"/>
      <w:divBdr>
        <w:top w:val="none" w:sz="0" w:space="0" w:color="auto"/>
        <w:left w:val="none" w:sz="0" w:space="0" w:color="auto"/>
        <w:bottom w:val="none" w:sz="0" w:space="0" w:color="auto"/>
        <w:right w:val="none" w:sz="0" w:space="0" w:color="auto"/>
      </w:divBdr>
    </w:div>
    <w:div w:id="419720912">
      <w:bodyDiv w:val="1"/>
      <w:marLeft w:val="0"/>
      <w:marRight w:val="0"/>
      <w:marTop w:val="0"/>
      <w:marBottom w:val="0"/>
      <w:divBdr>
        <w:top w:val="none" w:sz="0" w:space="0" w:color="auto"/>
        <w:left w:val="none" w:sz="0" w:space="0" w:color="auto"/>
        <w:bottom w:val="none" w:sz="0" w:space="0" w:color="auto"/>
        <w:right w:val="none" w:sz="0" w:space="0" w:color="auto"/>
      </w:divBdr>
    </w:div>
    <w:div w:id="421027542">
      <w:bodyDiv w:val="1"/>
      <w:marLeft w:val="0"/>
      <w:marRight w:val="0"/>
      <w:marTop w:val="0"/>
      <w:marBottom w:val="0"/>
      <w:divBdr>
        <w:top w:val="none" w:sz="0" w:space="0" w:color="auto"/>
        <w:left w:val="none" w:sz="0" w:space="0" w:color="auto"/>
        <w:bottom w:val="none" w:sz="0" w:space="0" w:color="auto"/>
        <w:right w:val="none" w:sz="0" w:space="0" w:color="auto"/>
      </w:divBdr>
    </w:div>
    <w:div w:id="431820397">
      <w:bodyDiv w:val="1"/>
      <w:marLeft w:val="0"/>
      <w:marRight w:val="0"/>
      <w:marTop w:val="0"/>
      <w:marBottom w:val="0"/>
      <w:divBdr>
        <w:top w:val="none" w:sz="0" w:space="0" w:color="auto"/>
        <w:left w:val="none" w:sz="0" w:space="0" w:color="auto"/>
        <w:bottom w:val="none" w:sz="0" w:space="0" w:color="auto"/>
        <w:right w:val="none" w:sz="0" w:space="0" w:color="auto"/>
      </w:divBdr>
    </w:div>
    <w:div w:id="432476614">
      <w:bodyDiv w:val="1"/>
      <w:marLeft w:val="0"/>
      <w:marRight w:val="0"/>
      <w:marTop w:val="0"/>
      <w:marBottom w:val="0"/>
      <w:divBdr>
        <w:top w:val="none" w:sz="0" w:space="0" w:color="auto"/>
        <w:left w:val="none" w:sz="0" w:space="0" w:color="auto"/>
        <w:bottom w:val="none" w:sz="0" w:space="0" w:color="auto"/>
        <w:right w:val="none" w:sz="0" w:space="0" w:color="auto"/>
      </w:divBdr>
    </w:div>
    <w:div w:id="433986843">
      <w:bodyDiv w:val="1"/>
      <w:marLeft w:val="0"/>
      <w:marRight w:val="0"/>
      <w:marTop w:val="0"/>
      <w:marBottom w:val="0"/>
      <w:divBdr>
        <w:top w:val="none" w:sz="0" w:space="0" w:color="auto"/>
        <w:left w:val="none" w:sz="0" w:space="0" w:color="auto"/>
        <w:bottom w:val="none" w:sz="0" w:space="0" w:color="auto"/>
        <w:right w:val="none" w:sz="0" w:space="0" w:color="auto"/>
      </w:divBdr>
    </w:div>
    <w:div w:id="434713173">
      <w:bodyDiv w:val="1"/>
      <w:marLeft w:val="0"/>
      <w:marRight w:val="0"/>
      <w:marTop w:val="0"/>
      <w:marBottom w:val="0"/>
      <w:divBdr>
        <w:top w:val="none" w:sz="0" w:space="0" w:color="auto"/>
        <w:left w:val="none" w:sz="0" w:space="0" w:color="auto"/>
        <w:bottom w:val="none" w:sz="0" w:space="0" w:color="auto"/>
        <w:right w:val="none" w:sz="0" w:space="0" w:color="auto"/>
      </w:divBdr>
    </w:div>
    <w:div w:id="436147315">
      <w:bodyDiv w:val="1"/>
      <w:marLeft w:val="0"/>
      <w:marRight w:val="0"/>
      <w:marTop w:val="0"/>
      <w:marBottom w:val="0"/>
      <w:divBdr>
        <w:top w:val="none" w:sz="0" w:space="0" w:color="auto"/>
        <w:left w:val="none" w:sz="0" w:space="0" w:color="auto"/>
        <w:bottom w:val="none" w:sz="0" w:space="0" w:color="auto"/>
        <w:right w:val="none" w:sz="0" w:space="0" w:color="auto"/>
      </w:divBdr>
    </w:div>
    <w:div w:id="439419068">
      <w:bodyDiv w:val="1"/>
      <w:marLeft w:val="0"/>
      <w:marRight w:val="0"/>
      <w:marTop w:val="0"/>
      <w:marBottom w:val="0"/>
      <w:divBdr>
        <w:top w:val="none" w:sz="0" w:space="0" w:color="auto"/>
        <w:left w:val="none" w:sz="0" w:space="0" w:color="auto"/>
        <w:bottom w:val="none" w:sz="0" w:space="0" w:color="auto"/>
        <w:right w:val="none" w:sz="0" w:space="0" w:color="auto"/>
      </w:divBdr>
      <w:divsChild>
        <w:div w:id="1255481643">
          <w:marLeft w:val="274"/>
          <w:marRight w:val="0"/>
          <w:marTop w:val="0"/>
          <w:marBottom w:val="0"/>
          <w:divBdr>
            <w:top w:val="none" w:sz="0" w:space="0" w:color="auto"/>
            <w:left w:val="none" w:sz="0" w:space="0" w:color="auto"/>
            <w:bottom w:val="none" w:sz="0" w:space="0" w:color="auto"/>
            <w:right w:val="none" w:sz="0" w:space="0" w:color="auto"/>
          </w:divBdr>
        </w:div>
        <w:div w:id="705059609">
          <w:marLeft w:val="274"/>
          <w:marRight w:val="0"/>
          <w:marTop w:val="0"/>
          <w:marBottom w:val="0"/>
          <w:divBdr>
            <w:top w:val="none" w:sz="0" w:space="0" w:color="auto"/>
            <w:left w:val="none" w:sz="0" w:space="0" w:color="auto"/>
            <w:bottom w:val="none" w:sz="0" w:space="0" w:color="auto"/>
            <w:right w:val="none" w:sz="0" w:space="0" w:color="auto"/>
          </w:divBdr>
        </w:div>
        <w:div w:id="1484277951">
          <w:marLeft w:val="274"/>
          <w:marRight w:val="0"/>
          <w:marTop w:val="0"/>
          <w:marBottom w:val="0"/>
          <w:divBdr>
            <w:top w:val="none" w:sz="0" w:space="0" w:color="auto"/>
            <w:left w:val="none" w:sz="0" w:space="0" w:color="auto"/>
            <w:bottom w:val="none" w:sz="0" w:space="0" w:color="auto"/>
            <w:right w:val="none" w:sz="0" w:space="0" w:color="auto"/>
          </w:divBdr>
        </w:div>
        <w:div w:id="3631159">
          <w:marLeft w:val="274"/>
          <w:marRight w:val="0"/>
          <w:marTop w:val="0"/>
          <w:marBottom w:val="0"/>
          <w:divBdr>
            <w:top w:val="none" w:sz="0" w:space="0" w:color="auto"/>
            <w:left w:val="none" w:sz="0" w:space="0" w:color="auto"/>
            <w:bottom w:val="none" w:sz="0" w:space="0" w:color="auto"/>
            <w:right w:val="none" w:sz="0" w:space="0" w:color="auto"/>
          </w:divBdr>
        </w:div>
      </w:divsChild>
    </w:div>
    <w:div w:id="451748284">
      <w:bodyDiv w:val="1"/>
      <w:marLeft w:val="0"/>
      <w:marRight w:val="0"/>
      <w:marTop w:val="0"/>
      <w:marBottom w:val="0"/>
      <w:divBdr>
        <w:top w:val="none" w:sz="0" w:space="0" w:color="auto"/>
        <w:left w:val="none" w:sz="0" w:space="0" w:color="auto"/>
        <w:bottom w:val="none" w:sz="0" w:space="0" w:color="auto"/>
        <w:right w:val="none" w:sz="0" w:space="0" w:color="auto"/>
      </w:divBdr>
    </w:div>
    <w:div w:id="453522383">
      <w:bodyDiv w:val="1"/>
      <w:marLeft w:val="0"/>
      <w:marRight w:val="0"/>
      <w:marTop w:val="0"/>
      <w:marBottom w:val="0"/>
      <w:divBdr>
        <w:top w:val="none" w:sz="0" w:space="0" w:color="auto"/>
        <w:left w:val="none" w:sz="0" w:space="0" w:color="auto"/>
        <w:bottom w:val="none" w:sz="0" w:space="0" w:color="auto"/>
        <w:right w:val="none" w:sz="0" w:space="0" w:color="auto"/>
      </w:divBdr>
    </w:div>
    <w:div w:id="467627472">
      <w:bodyDiv w:val="1"/>
      <w:marLeft w:val="0"/>
      <w:marRight w:val="0"/>
      <w:marTop w:val="0"/>
      <w:marBottom w:val="0"/>
      <w:divBdr>
        <w:top w:val="none" w:sz="0" w:space="0" w:color="auto"/>
        <w:left w:val="none" w:sz="0" w:space="0" w:color="auto"/>
        <w:bottom w:val="none" w:sz="0" w:space="0" w:color="auto"/>
        <w:right w:val="none" w:sz="0" w:space="0" w:color="auto"/>
      </w:divBdr>
    </w:div>
    <w:div w:id="476148749">
      <w:bodyDiv w:val="1"/>
      <w:marLeft w:val="0"/>
      <w:marRight w:val="0"/>
      <w:marTop w:val="0"/>
      <w:marBottom w:val="0"/>
      <w:divBdr>
        <w:top w:val="none" w:sz="0" w:space="0" w:color="auto"/>
        <w:left w:val="none" w:sz="0" w:space="0" w:color="auto"/>
        <w:bottom w:val="none" w:sz="0" w:space="0" w:color="auto"/>
        <w:right w:val="none" w:sz="0" w:space="0" w:color="auto"/>
      </w:divBdr>
    </w:div>
    <w:div w:id="482966522">
      <w:bodyDiv w:val="1"/>
      <w:marLeft w:val="0"/>
      <w:marRight w:val="0"/>
      <w:marTop w:val="0"/>
      <w:marBottom w:val="0"/>
      <w:divBdr>
        <w:top w:val="none" w:sz="0" w:space="0" w:color="auto"/>
        <w:left w:val="none" w:sz="0" w:space="0" w:color="auto"/>
        <w:bottom w:val="none" w:sz="0" w:space="0" w:color="auto"/>
        <w:right w:val="none" w:sz="0" w:space="0" w:color="auto"/>
      </w:divBdr>
    </w:div>
    <w:div w:id="488446276">
      <w:bodyDiv w:val="1"/>
      <w:marLeft w:val="0"/>
      <w:marRight w:val="0"/>
      <w:marTop w:val="0"/>
      <w:marBottom w:val="0"/>
      <w:divBdr>
        <w:top w:val="none" w:sz="0" w:space="0" w:color="auto"/>
        <w:left w:val="none" w:sz="0" w:space="0" w:color="auto"/>
        <w:bottom w:val="none" w:sz="0" w:space="0" w:color="auto"/>
        <w:right w:val="none" w:sz="0" w:space="0" w:color="auto"/>
      </w:divBdr>
    </w:div>
    <w:div w:id="492794683">
      <w:bodyDiv w:val="1"/>
      <w:marLeft w:val="0"/>
      <w:marRight w:val="0"/>
      <w:marTop w:val="0"/>
      <w:marBottom w:val="0"/>
      <w:divBdr>
        <w:top w:val="none" w:sz="0" w:space="0" w:color="auto"/>
        <w:left w:val="none" w:sz="0" w:space="0" w:color="auto"/>
        <w:bottom w:val="none" w:sz="0" w:space="0" w:color="auto"/>
        <w:right w:val="none" w:sz="0" w:space="0" w:color="auto"/>
      </w:divBdr>
    </w:div>
    <w:div w:id="493961643">
      <w:bodyDiv w:val="1"/>
      <w:marLeft w:val="0"/>
      <w:marRight w:val="0"/>
      <w:marTop w:val="0"/>
      <w:marBottom w:val="0"/>
      <w:divBdr>
        <w:top w:val="none" w:sz="0" w:space="0" w:color="auto"/>
        <w:left w:val="none" w:sz="0" w:space="0" w:color="auto"/>
        <w:bottom w:val="none" w:sz="0" w:space="0" w:color="auto"/>
        <w:right w:val="none" w:sz="0" w:space="0" w:color="auto"/>
      </w:divBdr>
    </w:div>
    <w:div w:id="499974576">
      <w:bodyDiv w:val="1"/>
      <w:marLeft w:val="0"/>
      <w:marRight w:val="0"/>
      <w:marTop w:val="0"/>
      <w:marBottom w:val="0"/>
      <w:divBdr>
        <w:top w:val="none" w:sz="0" w:space="0" w:color="auto"/>
        <w:left w:val="none" w:sz="0" w:space="0" w:color="auto"/>
        <w:bottom w:val="none" w:sz="0" w:space="0" w:color="auto"/>
        <w:right w:val="none" w:sz="0" w:space="0" w:color="auto"/>
      </w:divBdr>
    </w:div>
    <w:div w:id="500583634">
      <w:bodyDiv w:val="1"/>
      <w:marLeft w:val="0"/>
      <w:marRight w:val="0"/>
      <w:marTop w:val="0"/>
      <w:marBottom w:val="0"/>
      <w:divBdr>
        <w:top w:val="none" w:sz="0" w:space="0" w:color="auto"/>
        <w:left w:val="none" w:sz="0" w:space="0" w:color="auto"/>
        <w:bottom w:val="none" w:sz="0" w:space="0" w:color="auto"/>
        <w:right w:val="none" w:sz="0" w:space="0" w:color="auto"/>
      </w:divBdr>
    </w:div>
    <w:div w:id="505370027">
      <w:bodyDiv w:val="1"/>
      <w:marLeft w:val="0"/>
      <w:marRight w:val="0"/>
      <w:marTop w:val="0"/>
      <w:marBottom w:val="0"/>
      <w:divBdr>
        <w:top w:val="none" w:sz="0" w:space="0" w:color="auto"/>
        <w:left w:val="none" w:sz="0" w:space="0" w:color="auto"/>
        <w:bottom w:val="none" w:sz="0" w:space="0" w:color="auto"/>
        <w:right w:val="none" w:sz="0" w:space="0" w:color="auto"/>
      </w:divBdr>
    </w:div>
    <w:div w:id="507259751">
      <w:bodyDiv w:val="1"/>
      <w:marLeft w:val="0"/>
      <w:marRight w:val="0"/>
      <w:marTop w:val="0"/>
      <w:marBottom w:val="0"/>
      <w:divBdr>
        <w:top w:val="none" w:sz="0" w:space="0" w:color="auto"/>
        <w:left w:val="none" w:sz="0" w:space="0" w:color="auto"/>
        <w:bottom w:val="none" w:sz="0" w:space="0" w:color="auto"/>
        <w:right w:val="none" w:sz="0" w:space="0" w:color="auto"/>
      </w:divBdr>
    </w:div>
    <w:div w:id="508327078">
      <w:bodyDiv w:val="1"/>
      <w:marLeft w:val="0"/>
      <w:marRight w:val="0"/>
      <w:marTop w:val="0"/>
      <w:marBottom w:val="0"/>
      <w:divBdr>
        <w:top w:val="none" w:sz="0" w:space="0" w:color="auto"/>
        <w:left w:val="none" w:sz="0" w:space="0" w:color="auto"/>
        <w:bottom w:val="none" w:sz="0" w:space="0" w:color="auto"/>
        <w:right w:val="none" w:sz="0" w:space="0" w:color="auto"/>
      </w:divBdr>
    </w:div>
    <w:div w:id="509102042">
      <w:bodyDiv w:val="1"/>
      <w:marLeft w:val="0"/>
      <w:marRight w:val="0"/>
      <w:marTop w:val="0"/>
      <w:marBottom w:val="0"/>
      <w:divBdr>
        <w:top w:val="none" w:sz="0" w:space="0" w:color="auto"/>
        <w:left w:val="none" w:sz="0" w:space="0" w:color="auto"/>
        <w:bottom w:val="none" w:sz="0" w:space="0" w:color="auto"/>
        <w:right w:val="none" w:sz="0" w:space="0" w:color="auto"/>
      </w:divBdr>
    </w:div>
    <w:div w:id="516623812">
      <w:bodyDiv w:val="1"/>
      <w:marLeft w:val="0"/>
      <w:marRight w:val="0"/>
      <w:marTop w:val="0"/>
      <w:marBottom w:val="0"/>
      <w:divBdr>
        <w:top w:val="none" w:sz="0" w:space="0" w:color="auto"/>
        <w:left w:val="none" w:sz="0" w:space="0" w:color="auto"/>
        <w:bottom w:val="none" w:sz="0" w:space="0" w:color="auto"/>
        <w:right w:val="none" w:sz="0" w:space="0" w:color="auto"/>
      </w:divBdr>
    </w:div>
    <w:div w:id="516844531">
      <w:bodyDiv w:val="1"/>
      <w:marLeft w:val="0"/>
      <w:marRight w:val="0"/>
      <w:marTop w:val="0"/>
      <w:marBottom w:val="0"/>
      <w:divBdr>
        <w:top w:val="none" w:sz="0" w:space="0" w:color="auto"/>
        <w:left w:val="none" w:sz="0" w:space="0" w:color="auto"/>
        <w:bottom w:val="none" w:sz="0" w:space="0" w:color="auto"/>
        <w:right w:val="none" w:sz="0" w:space="0" w:color="auto"/>
      </w:divBdr>
    </w:div>
    <w:div w:id="517617183">
      <w:bodyDiv w:val="1"/>
      <w:marLeft w:val="0"/>
      <w:marRight w:val="0"/>
      <w:marTop w:val="0"/>
      <w:marBottom w:val="0"/>
      <w:divBdr>
        <w:top w:val="none" w:sz="0" w:space="0" w:color="auto"/>
        <w:left w:val="none" w:sz="0" w:space="0" w:color="auto"/>
        <w:bottom w:val="none" w:sz="0" w:space="0" w:color="auto"/>
        <w:right w:val="none" w:sz="0" w:space="0" w:color="auto"/>
      </w:divBdr>
    </w:div>
    <w:div w:id="518275762">
      <w:bodyDiv w:val="1"/>
      <w:marLeft w:val="0"/>
      <w:marRight w:val="0"/>
      <w:marTop w:val="0"/>
      <w:marBottom w:val="0"/>
      <w:divBdr>
        <w:top w:val="none" w:sz="0" w:space="0" w:color="auto"/>
        <w:left w:val="none" w:sz="0" w:space="0" w:color="auto"/>
        <w:bottom w:val="none" w:sz="0" w:space="0" w:color="auto"/>
        <w:right w:val="none" w:sz="0" w:space="0" w:color="auto"/>
      </w:divBdr>
    </w:div>
    <w:div w:id="523251053">
      <w:bodyDiv w:val="1"/>
      <w:marLeft w:val="0"/>
      <w:marRight w:val="0"/>
      <w:marTop w:val="0"/>
      <w:marBottom w:val="0"/>
      <w:divBdr>
        <w:top w:val="none" w:sz="0" w:space="0" w:color="auto"/>
        <w:left w:val="none" w:sz="0" w:space="0" w:color="auto"/>
        <w:bottom w:val="none" w:sz="0" w:space="0" w:color="auto"/>
        <w:right w:val="none" w:sz="0" w:space="0" w:color="auto"/>
      </w:divBdr>
    </w:div>
    <w:div w:id="534586111">
      <w:bodyDiv w:val="1"/>
      <w:marLeft w:val="0"/>
      <w:marRight w:val="0"/>
      <w:marTop w:val="0"/>
      <w:marBottom w:val="0"/>
      <w:divBdr>
        <w:top w:val="none" w:sz="0" w:space="0" w:color="auto"/>
        <w:left w:val="none" w:sz="0" w:space="0" w:color="auto"/>
        <w:bottom w:val="none" w:sz="0" w:space="0" w:color="auto"/>
        <w:right w:val="none" w:sz="0" w:space="0" w:color="auto"/>
      </w:divBdr>
    </w:div>
    <w:div w:id="540365575">
      <w:bodyDiv w:val="1"/>
      <w:marLeft w:val="0"/>
      <w:marRight w:val="0"/>
      <w:marTop w:val="0"/>
      <w:marBottom w:val="0"/>
      <w:divBdr>
        <w:top w:val="none" w:sz="0" w:space="0" w:color="auto"/>
        <w:left w:val="none" w:sz="0" w:space="0" w:color="auto"/>
        <w:bottom w:val="none" w:sz="0" w:space="0" w:color="auto"/>
        <w:right w:val="none" w:sz="0" w:space="0" w:color="auto"/>
      </w:divBdr>
    </w:div>
    <w:div w:id="544022718">
      <w:bodyDiv w:val="1"/>
      <w:marLeft w:val="0"/>
      <w:marRight w:val="0"/>
      <w:marTop w:val="0"/>
      <w:marBottom w:val="0"/>
      <w:divBdr>
        <w:top w:val="none" w:sz="0" w:space="0" w:color="auto"/>
        <w:left w:val="none" w:sz="0" w:space="0" w:color="auto"/>
        <w:bottom w:val="none" w:sz="0" w:space="0" w:color="auto"/>
        <w:right w:val="none" w:sz="0" w:space="0" w:color="auto"/>
      </w:divBdr>
    </w:div>
    <w:div w:id="551694319">
      <w:bodyDiv w:val="1"/>
      <w:marLeft w:val="0"/>
      <w:marRight w:val="0"/>
      <w:marTop w:val="0"/>
      <w:marBottom w:val="0"/>
      <w:divBdr>
        <w:top w:val="none" w:sz="0" w:space="0" w:color="auto"/>
        <w:left w:val="none" w:sz="0" w:space="0" w:color="auto"/>
        <w:bottom w:val="none" w:sz="0" w:space="0" w:color="auto"/>
        <w:right w:val="none" w:sz="0" w:space="0" w:color="auto"/>
      </w:divBdr>
    </w:div>
    <w:div w:id="557203216">
      <w:bodyDiv w:val="1"/>
      <w:marLeft w:val="0"/>
      <w:marRight w:val="0"/>
      <w:marTop w:val="0"/>
      <w:marBottom w:val="0"/>
      <w:divBdr>
        <w:top w:val="none" w:sz="0" w:space="0" w:color="auto"/>
        <w:left w:val="none" w:sz="0" w:space="0" w:color="auto"/>
        <w:bottom w:val="none" w:sz="0" w:space="0" w:color="auto"/>
        <w:right w:val="none" w:sz="0" w:space="0" w:color="auto"/>
      </w:divBdr>
    </w:div>
    <w:div w:id="557933437">
      <w:bodyDiv w:val="1"/>
      <w:marLeft w:val="0"/>
      <w:marRight w:val="0"/>
      <w:marTop w:val="0"/>
      <w:marBottom w:val="0"/>
      <w:divBdr>
        <w:top w:val="none" w:sz="0" w:space="0" w:color="auto"/>
        <w:left w:val="none" w:sz="0" w:space="0" w:color="auto"/>
        <w:bottom w:val="none" w:sz="0" w:space="0" w:color="auto"/>
        <w:right w:val="none" w:sz="0" w:space="0" w:color="auto"/>
      </w:divBdr>
    </w:div>
    <w:div w:id="559826894">
      <w:bodyDiv w:val="1"/>
      <w:marLeft w:val="0"/>
      <w:marRight w:val="0"/>
      <w:marTop w:val="0"/>
      <w:marBottom w:val="0"/>
      <w:divBdr>
        <w:top w:val="none" w:sz="0" w:space="0" w:color="auto"/>
        <w:left w:val="none" w:sz="0" w:space="0" w:color="auto"/>
        <w:bottom w:val="none" w:sz="0" w:space="0" w:color="auto"/>
        <w:right w:val="none" w:sz="0" w:space="0" w:color="auto"/>
      </w:divBdr>
    </w:div>
    <w:div w:id="570041947">
      <w:bodyDiv w:val="1"/>
      <w:marLeft w:val="0"/>
      <w:marRight w:val="0"/>
      <w:marTop w:val="0"/>
      <w:marBottom w:val="0"/>
      <w:divBdr>
        <w:top w:val="none" w:sz="0" w:space="0" w:color="auto"/>
        <w:left w:val="none" w:sz="0" w:space="0" w:color="auto"/>
        <w:bottom w:val="none" w:sz="0" w:space="0" w:color="auto"/>
        <w:right w:val="none" w:sz="0" w:space="0" w:color="auto"/>
      </w:divBdr>
    </w:div>
    <w:div w:id="594365601">
      <w:bodyDiv w:val="1"/>
      <w:marLeft w:val="0"/>
      <w:marRight w:val="0"/>
      <w:marTop w:val="0"/>
      <w:marBottom w:val="0"/>
      <w:divBdr>
        <w:top w:val="none" w:sz="0" w:space="0" w:color="auto"/>
        <w:left w:val="none" w:sz="0" w:space="0" w:color="auto"/>
        <w:bottom w:val="none" w:sz="0" w:space="0" w:color="auto"/>
        <w:right w:val="none" w:sz="0" w:space="0" w:color="auto"/>
      </w:divBdr>
    </w:div>
    <w:div w:id="603345603">
      <w:bodyDiv w:val="1"/>
      <w:marLeft w:val="0"/>
      <w:marRight w:val="0"/>
      <w:marTop w:val="0"/>
      <w:marBottom w:val="0"/>
      <w:divBdr>
        <w:top w:val="none" w:sz="0" w:space="0" w:color="auto"/>
        <w:left w:val="none" w:sz="0" w:space="0" w:color="auto"/>
        <w:bottom w:val="none" w:sz="0" w:space="0" w:color="auto"/>
        <w:right w:val="none" w:sz="0" w:space="0" w:color="auto"/>
      </w:divBdr>
    </w:div>
    <w:div w:id="604847512">
      <w:bodyDiv w:val="1"/>
      <w:marLeft w:val="0"/>
      <w:marRight w:val="0"/>
      <w:marTop w:val="0"/>
      <w:marBottom w:val="0"/>
      <w:divBdr>
        <w:top w:val="none" w:sz="0" w:space="0" w:color="auto"/>
        <w:left w:val="none" w:sz="0" w:space="0" w:color="auto"/>
        <w:bottom w:val="none" w:sz="0" w:space="0" w:color="auto"/>
        <w:right w:val="none" w:sz="0" w:space="0" w:color="auto"/>
      </w:divBdr>
    </w:div>
    <w:div w:id="608971144">
      <w:bodyDiv w:val="1"/>
      <w:marLeft w:val="0"/>
      <w:marRight w:val="0"/>
      <w:marTop w:val="0"/>
      <w:marBottom w:val="0"/>
      <w:divBdr>
        <w:top w:val="none" w:sz="0" w:space="0" w:color="auto"/>
        <w:left w:val="none" w:sz="0" w:space="0" w:color="auto"/>
        <w:bottom w:val="none" w:sz="0" w:space="0" w:color="auto"/>
        <w:right w:val="none" w:sz="0" w:space="0" w:color="auto"/>
      </w:divBdr>
    </w:div>
    <w:div w:id="611860493">
      <w:bodyDiv w:val="1"/>
      <w:marLeft w:val="0"/>
      <w:marRight w:val="0"/>
      <w:marTop w:val="0"/>
      <w:marBottom w:val="0"/>
      <w:divBdr>
        <w:top w:val="none" w:sz="0" w:space="0" w:color="auto"/>
        <w:left w:val="none" w:sz="0" w:space="0" w:color="auto"/>
        <w:bottom w:val="none" w:sz="0" w:space="0" w:color="auto"/>
        <w:right w:val="none" w:sz="0" w:space="0" w:color="auto"/>
      </w:divBdr>
    </w:div>
    <w:div w:id="615916709">
      <w:bodyDiv w:val="1"/>
      <w:marLeft w:val="0"/>
      <w:marRight w:val="0"/>
      <w:marTop w:val="0"/>
      <w:marBottom w:val="0"/>
      <w:divBdr>
        <w:top w:val="none" w:sz="0" w:space="0" w:color="auto"/>
        <w:left w:val="none" w:sz="0" w:space="0" w:color="auto"/>
        <w:bottom w:val="none" w:sz="0" w:space="0" w:color="auto"/>
        <w:right w:val="none" w:sz="0" w:space="0" w:color="auto"/>
      </w:divBdr>
    </w:div>
    <w:div w:id="626742390">
      <w:bodyDiv w:val="1"/>
      <w:marLeft w:val="0"/>
      <w:marRight w:val="0"/>
      <w:marTop w:val="0"/>
      <w:marBottom w:val="0"/>
      <w:divBdr>
        <w:top w:val="none" w:sz="0" w:space="0" w:color="auto"/>
        <w:left w:val="none" w:sz="0" w:space="0" w:color="auto"/>
        <w:bottom w:val="none" w:sz="0" w:space="0" w:color="auto"/>
        <w:right w:val="none" w:sz="0" w:space="0" w:color="auto"/>
      </w:divBdr>
    </w:div>
    <w:div w:id="640574289">
      <w:bodyDiv w:val="1"/>
      <w:marLeft w:val="0"/>
      <w:marRight w:val="0"/>
      <w:marTop w:val="0"/>
      <w:marBottom w:val="0"/>
      <w:divBdr>
        <w:top w:val="none" w:sz="0" w:space="0" w:color="auto"/>
        <w:left w:val="none" w:sz="0" w:space="0" w:color="auto"/>
        <w:bottom w:val="none" w:sz="0" w:space="0" w:color="auto"/>
        <w:right w:val="none" w:sz="0" w:space="0" w:color="auto"/>
      </w:divBdr>
    </w:div>
    <w:div w:id="650326103">
      <w:bodyDiv w:val="1"/>
      <w:marLeft w:val="0"/>
      <w:marRight w:val="0"/>
      <w:marTop w:val="0"/>
      <w:marBottom w:val="0"/>
      <w:divBdr>
        <w:top w:val="none" w:sz="0" w:space="0" w:color="auto"/>
        <w:left w:val="none" w:sz="0" w:space="0" w:color="auto"/>
        <w:bottom w:val="none" w:sz="0" w:space="0" w:color="auto"/>
        <w:right w:val="none" w:sz="0" w:space="0" w:color="auto"/>
      </w:divBdr>
    </w:div>
    <w:div w:id="651107632">
      <w:bodyDiv w:val="1"/>
      <w:marLeft w:val="0"/>
      <w:marRight w:val="0"/>
      <w:marTop w:val="0"/>
      <w:marBottom w:val="0"/>
      <w:divBdr>
        <w:top w:val="none" w:sz="0" w:space="0" w:color="auto"/>
        <w:left w:val="none" w:sz="0" w:space="0" w:color="auto"/>
        <w:bottom w:val="none" w:sz="0" w:space="0" w:color="auto"/>
        <w:right w:val="none" w:sz="0" w:space="0" w:color="auto"/>
      </w:divBdr>
    </w:div>
    <w:div w:id="659430712">
      <w:bodyDiv w:val="1"/>
      <w:marLeft w:val="0"/>
      <w:marRight w:val="0"/>
      <w:marTop w:val="0"/>
      <w:marBottom w:val="0"/>
      <w:divBdr>
        <w:top w:val="none" w:sz="0" w:space="0" w:color="auto"/>
        <w:left w:val="none" w:sz="0" w:space="0" w:color="auto"/>
        <w:bottom w:val="none" w:sz="0" w:space="0" w:color="auto"/>
        <w:right w:val="none" w:sz="0" w:space="0" w:color="auto"/>
      </w:divBdr>
    </w:div>
    <w:div w:id="665595662">
      <w:bodyDiv w:val="1"/>
      <w:marLeft w:val="0"/>
      <w:marRight w:val="0"/>
      <w:marTop w:val="0"/>
      <w:marBottom w:val="0"/>
      <w:divBdr>
        <w:top w:val="none" w:sz="0" w:space="0" w:color="auto"/>
        <w:left w:val="none" w:sz="0" w:space="0" w:color="auto"/>
        <w:bottom w:val="none" w:sz="0" w:space="0" w:color="auto"/>
        <w:right w:val="none" w:sz="0" w:space="0" w:color="auto"/>
      </w:divBdr>
    </w:div>
    <w:div w:id="670567428">
      <w:bodyDiv w:val="1"/>
      <w:marLeft w:val="0"/>
      <w:marRight w:val="0"/>
      <w:marTop w:val="0"/>
      <w:marBottom w:val="0"/>
      <w:divBdr>
        <w:top w:val="none" w:sz="0" w:space="0" w:color="auto"/>
        <w:left w:val="none" w:sz="0" w:space="0" w:color="auto"/>
        <w:bottom w:val="none" w:sz="0" w:space="0" w:color="auto"/>
        <w:right w:val="none" w:sz="0" w:space="0" w:color="auto"/>
      </w:divBdr>
    </w:div>
    <w:div w:id="671640328">
      <w:bodyDiv w:val="1"/>
      <w:marLeft w:val="0"/>
      <w:marRight w:val="0"/>
      <w:marTop w:val="0"/>
      <w:marBottom w:val="0"/>
      <w:divBdr>
        <w:top w:val="none" w:sz="0" w:space="0" w:color="auto"/>
        <w:left w:val="none" w:sz="0" w:space="0" w:color="auto"/>
        <w:bottom w:val="none" w:sz="0" w:space="0" w:color="auto"/>
        <w:right w:val="none" w:sz="0" w:space="0" w:color="auto"/>
      </w:divBdr>
    </w:div>
    <w:div w:id="675308179">
      <w:bodyDiv w:val="1"/>
      <w:marLeft w:val="0"/>
      <w:marRight w:val="0"/>
      <w:marTop w:val="0"/>
      <w:marBottom w:val="0"/>
      <w:divBdr>
        <w:top w:val="none" w:sz="0" w:space="0" w:color="auto"/>
        <w:left w:val="none" w:sz="0" w:space="0" w:color="auto"/>
        <w:bottom w:val="none" w:sz="0" w:space="0" w:color="auto"/>
        <w:right w:val="none" w:sz="0" w:space="0" w:color="auto"/>
      </w:divBdr>
    </w:div>
    <w:div w:id="677123831">
      <w:bodyDiv w:val="1"/>
      <w:marLeft w:val="0"/>
      <w:marRight w:val="0"/>
      <w:marTop w:val="0"/>
      <w:marBottom w:val="0"/>
      <w:divBdr>
        <w:top w:val="none" w:sz="0" w:space="0" w:color="auto"/>
        <w:left w:val="none" w:sz="0" w:space="0" w:color="auto"/>
        <w:bottom w:val="none" w:sz="0" w:space="0" w:color="auto"/>
        <w:right w:val="none" w:sz="0" w:space="0" w:color="auto"/>
      </w:divBdr>
    </w:div>
    <w:div w:id="681518416">
      <w:bodyDiv w:val="1"/>
      <w:marLeft w:val="0"/>
      <w:marRight w:val="0"/>
      <w:marTop w:val="0"/>
      <w:marBottom w:val="0"/>
      <w:divBdr>
        <w:top w:val="none" w:sz="0" w:space="0" w:color="auto"/>
        <w:left w:val="none" w:sz="0" w:space="0" w:color="auto"/>
        <w:bottom w:val="none" w:sz="0" w:space="0" w:color="auto"/>
        <w:right w:val="none" w:sz="0" w:space="0" w:color="auto"/>
      </w:divBdr>
    </w:div>
    <w:div w:id="687096709">
      <w:bodyDiv w:val="1"/>
      <w:marLeft w:val="0"/>
      <w:marRight w:val="0"/>
      <w:marTop w:val="0"/>
      <w:marBottom w:val="0"/>
      <w:divBdr>
        <w:top w:val="none" w:sz="0" w:space="0" w:color="auto"/>
        <w:left w:val="none" w:sz="0" w:space="0" w:color="auto"/>
        <w:bottom w:val="none" w:sz="0" w:space="0" w:color="auto"/>
        <w:right w:val="none" w:sz="0" w:space="0" w:color="auto"/>
      </w:divBdr>
    </w:div>
    <w:div w:id="690491762">
      <w:bodyDiv w:val="1"/>
      <w:marLeft w:val="0"/>
      <w:marRight w:val="0"/>
      <w:marTop w:val="0"/>
      <w:marBottom w:val="0"/>
      <w:divBdr>
        <w:top w:val="none" w:sz="0" w:space="0" w:color="auto"/>
        <w:left w:val="none" w:sz="0" w:space="0" w:color="auto"/>
        <w:bottom w:val="none" w:sz="0" w:space="0" w:color="auto"/>
        <w:right w:val="none" w:sz="0" w:space="0" w:color="auto"/>
      </w:divBdr>
    </w:div>
    <w:div w:id="695693246">
      <w:bodyDiv w:val="1"/>
      <w:marLeft w:val="0"/>
      <w:marRight w:val="0"/>
      <w:marTop w:val="0"/>
      <w:marBottom w:val="0"/>
      <w:divBdr>
        <w:top w:val="none" w:sz="0" w:space="0" w:color="auto"/>
        <w:left w:val="none" w:sz="0" w:space="0" w:color="auto"/>
        <w:bottom w:val="none" w:sz="0" w:space="0" w:color="auto"/>
        <w:right w:val="none" w:sz="0" w:space="0" w:color="auto"/>
      </w:divBdr>
    </w:div>
    <w:div w:id="699207319">
      <w:bodyDiv w:val="1"/>
      <w:marLeft w:val="0"/>
      <w:marRight w:val="0"/>
      <w:marTop w:val="0"/>
      <w:marBottom w:val="0"/>
      <w:divBdr>
        <w:top w:val="none" w:sz="0" w:space="0" w:color="auto"/>
        <w:left w:val="none" w:sz="0" w:space="0" w:color="auto"/>
        <w:bottom w:val="none" w:sz="0" w:space="0" w:color="auto"/>
        <w:right w:val="none" w:sz="0" w:space="0" w:color="auto"/>
      </w:divBdr>
    </w:div>
    <w:div w:id="712653929">
      <w:bodyDiv w:val="1"/>
      <w:marLeft w:val="0"/>
      <w:marRight w:val="0"/>
      <w:marTop w:val="0"/>
      <w:marBottom w:val="0"/>
      <w:divBdr>
        <w:top w:val="none" w:sz="0" w:space="0" w:color="auto"/>
        <w:left w:val="none" w:sz="0" w:space="0" w:color="auto"/>
        <w:bottom w:val="none" w:sz="0" w:space="0" w:color="auto"/>
        <w:right w:val="none" w:sz="0" w:space="0" w:color="auto"/>
      </w:divBdr>
    </w:div>
    <w:div w:id="714735842">
      <w:bodyDiv w:val="1"/>
      <w:marLeft w:val="0"/>
      <w:marRight w:val="0"/>
      <w:marTop w:val="0"/>
      <w:marBottom w:val="0"/>
      <w:divBdr>
        <w:top w:val="none" w:sz="0" w:space="0" w:color="auto"/>
        <w:left w:val="none" w:sz="0" w:space="0" w:color="auto"/>
        <w:bottom w:val="none" w:sz="0" w:space="0" w:color="auto"/>
        <w:right w:val="none" w:sz="0" w:space="0" w:color="auto"/>
      </w:divBdr>
    </w:div>
    <w:div w:id="723067422">
      <w:bodyDiv w:val="1"/>
      <w:marLeft w:val="0"/>
      <w:marRight w:val="0"/>
      <w:marTop w:val="0"/>
      <w:marBottom w:val="0"/>
      <w:divBdr>
        <w:top w:val="none" w:sz="0" w:space="0" w:color="auto"/>
        <w:left w:val="none" w:sz="0" w:space="0" w:color="auto"/>
        <w:bottom w:val="none" w:sz="0" w:space="0" w:color="auto"/>
        <w:right w:val="none" w:sz="0" w:space="0" w:color="auto"/>
      </w:divBdr>
    </w:div>
    <w:div w:id="741441476">
      <w:bodyDiv w:val="1"/>
      <w:marLeft w:val="0"/>
      <w:marRight w:val="0"/>
      <w:marTop w:val="0"/>
      <w:marBottom w:val="0"/>
      <w:divBdr>
        <w:top w:val="none" w:sz="0" w:space="0" w:color="auto"/>
        <w:left w:val="none" w:sz="0" w:space="0" w:color="auto"/>
        <w:bottom w:val="none" w:sz="0" w:space="0" w:color="auto"/>
        <w:right w:val="none" w:sz="0" w:space="0" w:color="auto"/>
      </w:divBdr>
    </w:div>
    <w:div w:id="745612092">
      <w:bodyDiv w:val="1"/>
      <w:marLeft w:val="0"/>
      <w:marRight w:val="0"/>
      <w:marTop w:val="0"/>
      <w:marBottom w:val="0"/>
      <w:divBdr>
        <w:top w:val="none" w:sz="0" w:space="0" w:color="auto"/>
        <w:left w:val="none" w:sz="0" w:space="0" w:color="auto"/>
        <w:bottom w:val="none" w:sz="0" w:space="0" w:color="auto"/>
        <w:right w:val="none" w:sz="0" w:space="0" w:color="auto"/>
      </w:divBdr>
    </w:div>
    <w:div w:id="749275069">
      <w:bodyDiv w:val="1"/>
      <w:marLeft w:val="0"/>
      <w:marRight w:val="0"/>
      <w:marTop w:val="0"/>
      <w:marBottom w:val="0"/>
      <w:divBdr>
        <w:top w:val="none" w:sz="0" w:space="0" w:color="auto"/>
        <w:left w:val="none" w:sz="0" w:space="0" w:color="auto"/>
        <w:bottom w:val="none" w:sz="0" w:space="0" w:color="auto"/>
        <w:right w:val="none" w:sz="0" w:space="0" w:color="auto"/>
      </w:divBdr>
    </w:div>
    <w:div w:id="750128644">
      <w:bodyDiv w:val="1"/>
      <w:marLeft w:val="0"/>
      <w:marRight w:val="0"/>
      <w:marTop w:val="0"/>
      <w:marBottom w:val="0"/>
      <w:divBdr>
        <w:top w:val="none" w:sz="0" w:space="0" w:color="auto"/>
        <w:left w:val="none" w:sz="0" w:space="0" w:color="auto"/>
        <w:bottom w:val="none" w:sz="0" w:space="0" w:color="auto"/>
        <w:right w:val="none" w:sz="0" w:space="0" w:color="auto"/>
      </w:divBdr>
    </w:div>
    <w:div w:id="754673373">
      <w:bodyDiv w:val="1"/>
      <w:marLeft w:val="0"/>
      <w:marRight w:val="0"/>
      <w:marTop w:val="0"/>
      <w:marBottom w:val="0"/>
      <w:divBdr>
        <w:top w:val="none" w:sz="0" w:space="0" w:color="auto"/>
        <w:left w:val="none" w:sz="0" w:space="0" w:color="auto"/>
        <w:bottom w:val="none" w:sz="0" w:space="0" w:color="auto"/>
        <w:right w:val="none" w:sz="0" w:space="0" w:color="auto"/>
      </w:divBdr>
    </w:div>
    <w:div w:id="764573591">
      <w:bodyDiv w:val="1"/>
      <w:marLeft w:val="0"/>
      <w:marRight w:val="0"/>
      <w:marTop w:val="0"/>
      <w:marBottom w:val="0"/>
      <w:divBdr>
        <w:top w:val="none" w:sz="0" w:space="0" w:color="auto"/>
        <w:left w:val="none" w:sz="0" w:space="0" w:color="auto"/>
        <w:bottom w:val="none" w:sz="0" w:space="0" w:color="auto"/>
        <w:right w:val="none" w:sz="0" w:space="0" w:color="auto"/>
      </w:divBdr>
    </w:div>
    <w:div w:id="766999952">
      <w:bodyDiv w:val="1"/>
      <w:marLeft w:val="0"/>
      <w:marRight w:val="0"/>
      <w:marTop w:val="0"/>
      <w:marBottom w:val="0"/>
      <w:divBdr>
        <w:top w:val="none" w:sz="0" w:space="0" w:color="auto"/>
        <w:left w:val="none" w:sz="0" w:space="0" w:color="auto"/>
        <w:bottom w:val="none" w:sz="0" w:space="0" w:color="auto"/>
        <w:right w:val="none" w:sz="0" w:space="0" w:color="auto"/>
      </w:divBdr>
    </w:div>
    <w:div w:id="771124754">
      <w:bodyDiv w:val="1"/>
      <w:marLeft w:val="0"/>
      <w:marRight w:val="0"/>
      <w:marTop w:val="0"/>
      <w:marBottom w:val="0"/>
      <w:divBdr>
        <w:top w:val="none" w:sz="0" w:space="0" w:color="auto"/>
        <w:left w:val="none" w:sz="0" w:space="0" w:color="auto"/>
        <w:bottom w:val="none" w:sz="0" w:space="0" w:color="auto"/>
        <w:right w:val="none" w:sz="0" w:space="0" w:color="auto"/>
      </w:divBdr>
    </w:div>
    <w:div w:id="778791771">
      <w:bodyDiv w:val="1"/>
      <w:marLeft w:val="0"/>
      <w:marRight w:val="0"/>
      <w:marTop w:val="0"/>
      <w:marBottom w:val="0"/>
      <w:divBdr>
        <w:top w:val="none" w:sz="0" w:space="0" w:color="auto"/>
        <w:left w:val="none" w:sz="0" w:space="0" w:color="auto"/>
        <w:bottom w:val="none" w:sz="0" w:space="0" w:color="auto"/>
        <w:right w:val="none" w:sz="0" w:space="0" w:color="auto"/>
      </w:divBdr>
    </w:div>
    <w:div w:id="785195136">
      <w:bodyDiv w:val="1"/>
      <w:marLeft w:val="0"/>
      <w:marRight w:val="0"/>
      <w:marTop w:val="0"/>
      <w:marBottom w:val="0"/>
      <w:divBdr>
        <w:top w:val="none" w:sz="0" w:space="0" w:color="auto"/>
        <w:left w:val="none" w:sz="0" w:space="0" w:color="auto"/>
        <w:bottom w:val="none" w:sz="0" w:space="0" w:color="auto"/>
        <w:right w:val="none" w:sz="0" w:space="0" w:color="auto"/>
      </w:divBdr>
    </w:div>
    <w:div w:id="794906216">
      <w:bodyDiv w:val="1"/>
      <w:marLeft w:val="0"/>
      <w:marRight w:val="0"/>
      <w:marTop w:val="0"/>
      <w:marBottom w:val="0"/>
      <w:divBdr>
        <w:top w:val="none" w:sz="0" w:space="0" w:color="auto"/>
        <w:left w:val="none" w:sz="0" w:space="0" w:color="auto"/>
        <w:bottom w:val="none" w:sz="0" w:space="0" w:color="auto"/>
        <w:right w:val="none" w:sz="0" w:space="0" w:color="auto"/>
      </w:divBdr>
    </w:div>
    <w:div w:id="811672404">
      <w:bodyDiv w:val="1"/>
      <w:marLeft w:val="0"/>
      <w:marRight w:val="0"/>
      <w:marTop w:val="0"/>
      <w:marBottom w:val="0"/>
      <w:divBdr>
        <w:top w:val="none" w:sz="0" w:space="0" w:color="auto"/>
        <w:left w:val="none" w:sz="0" w:space="0" w:color="auto"/>
        <w:bottom w:val="none" w:sz="0" w:space="0" w:color="auto"/>
        <w:right w:val="none" w:sz="0" w:space="0" w:color="auto"/>
      </w:divBdr>
    </w:div>
    <w:div w:id="819274523">
      <w:bodyDiv w:val="1"/>
      <w:marLeft w:val="0"/>
      <w:marRight w:val="0"/>
      <w:marTop w:val="0"/>
      <w:marBottom w:val="0"/>
      <w:divBdr>
        <w:top w:val="none" w:sz="0" w:space="0" w:color="auto"/>
        <w:left w:val="none" w:sz="0" w:space="0" w:color="auto"/>
        <w:bottom w:val="none" w:sz="0" w:space="0" w:color="auto"/>
        <w:right w:val="none" w:sz="0" w:space="0" w:color="auto"/>
      </w:divBdr>
    </w:div>
    <w:div w:id="827019071">
      <w:bodyDiv w:val="1"/>
      <w:marLeft w:val="0"/>
      <w:marRight w:val="0"/>
      <w:marTop w:val="0"/>
      <w:marBottom w:val="0"/>
      <w:divBdr>
        <w:top w:val="none" w:sz="0" w:space="0" w:color="auto"/>
        <w:left w:val="none" w:sz="0" w:space="0" w:color="auto"/>
        <w:bottom w:val="none" w:sz="0" w:space="0" w:color="auto"/>
        <w:right w:val="none" w:sz="0" w:space="0" w:color="auto"/>
      </w:divBdr>
    </w:div>
    <w:div w:id="847135639">
      <w:bodyDiv w:val="1"/>
      <w:marLeft w:val="0"/>
      <w:marRight w:val="0"/>
      <w:marTop w:val="0"/>
      <w:marBottom w:val="0"/>
      <w:divBdr>
        <w:top w:val="none" w:sz="0" w:space="0" w:color="auto"/>
        <w:left w:val="none" w:sz="0" w:space="0" w:color="auto"/>
        <w:bottom w:val="none" w:sz="0" w:space="0" w:color="auto"/>
        <w:right w:val="none" w:sz="0" w:space="0" w:color="auto"/>
      </w:divBdr>
    </w:div>
    <w:div w:id="850995802">
      <w:bodyDiv w:val="1"/>
      <w:marLeft w:val="0"/>
      <w:marRight w:val="0"/>
      <w:marTop w:val="0"/>
      <w:marBottom w:val="0"/>
      <w:divBdr>
        <w:top w:val="none" w:sz="0" w:space="0" w:color="auto"/>
        <w:left w:val="none" w:sz="0" w:space="0" w:color="auto"/>
        <w:bottom w:val="none" w:sz="0" w:space="0" w:color="auto"/>
        <w:right w:val="none" w:sz="0" w:space="0" w:color="auto"/>
      </w:divBdr>
    </w:div>
    <w:div w:id="851068094">
      <w:bodyDiv w:val="1"/>
      <w:marLeft w:val="0"/>
      <w:marRight w:val="0"/>
      <w:marTop w:val="0"/>
      <w:marBottom w:val="0"/>
      <w:divBdr>
        <w:top w:val="none" w:sz="0" w:space="0" w:color="auto"/>
        <w:left w:val="none" w:sz="0" w:space="0" w:color="auto"/>
        <w:bottom w:val="none" w:sz="0" w:space="0" w:color="auto"/>
        <w:right w:val="none" w:sz="0" w:space="0" w:color="auto"/>
      </w:divBdr>
    </w:div>
    <w:div w:id="859855455">
      <w:bodyDiv w:val="1"/>
      <w:marLeft w:val="0"/>
      <w:marRight w:val="0"/>
      <w:marTop w:val="0"/>
      <w:marBottom w:val="0"/>
      <w:divBdr>
        <w:top w:val="none" w:sz="0" w:space="0" w:color="auto"/>
        <w:left w:val="none" w:sz="0" w:space="0" w:color="auto"/>
        <w:bottom w:val="none" w:sz="0" w:space="0" w:color="auto"/>
        <w:right w:val="none" w:sz="0" w:space="0" w:color="auto"/>
      </w:divBdr>
    </w:div>
    <w:div w:id="865799081">
      <w:bodyDiv w:val="1"/>
      <w:marLeft w:val="0"/>
      <w:marRight w:val="0"/>
      <w:marTop w:val="0"/>
      <w:marBottom w:val="0"/>
      <w:divBdr>
        <w:top w:val="none" w:sz="0" w:space="0" w:color="auto"/>
        <w:left w:val="none" w:sz="0" w:space="0" w:color="auto"/>
        <w:bottom w:val="none" w:sz="0" w:space="0" w:color="auto"/>
        <w:right w:val="none" w:sz="0" w:space="0" w:color="auto"/>
      </w:divBdr>
    </w:div>
    <w:div w:id="866141129">
      <w:bodyDiv w:val="1"/>
      <w:marLeft w:val="0"/>
      <w:marRight w:val="0"/>
      <w:marTop w:val="0"/>
      <w:marBottom w:val="0"/>
      <w:divBdr>
        <w:top w:val="none" w:sz="0" w:space="0" w:color="auto"/>
        <w:left w:val="none" w:sz="0" w:space="0" w:color="auto"/>
        <w:bottom w:val="none" w:sz="0" w:space="0" w:color="auto"/>
        <w:right w:val="none" w:sz="0" w:space="0" w:color="auto"/>
      </w:divBdr>
    </w:div>
    <w:div w:id="869878299">
      <w:bodyDiv w:val="1"/>
      <w:marLeft w:val="0"/>
      <w:marRight w:val="0"/>
      <w:marTop w:val="0"/>
      <w:marBottom w:val="0"/>
      <w:divBdr>
        <w:top w:val="none" w:sz="0" w:space="0" w:color="auto"/>
        <w:left w:val="none" w:sz="0" w:space="0" w:color="auto"/>
        <w:bottom w:val="none" w:sz="0" w:space="0" w:color="auto"/>
        <w:right w:val="none" w:sz="0" w:space="0" w:color="auto"/>
      </w:divBdr>
    </w:div>
    <w:div w:id="870073262">
      <w:bodyDiv w:val="1"/>
      <w:marLeft w:val="0"/>
      <w:marRight w:val="0"/>
      <w:marTop w:val="0"/>
      <w:marBottom w:val="0"/>
      <w:divBdr>
        <w:top w:val="none" w:sz="0" w:space="0" w:color="auto"/>
        <w:left w:val="none" w:sz="0" w:space="0" w:color="auto"/>
        <w:bottom w:val="none" w:sz="0" w:space="0" w:color="auto"/>
        <w:right w:val="none" w:sz="0" w:space="0" w:color="auto"/>
      </w:divBdr>
    </w:div>
    <w:div w:id="870149409">
      <w:bodyDiv w:val="1"/>
      <w:marLeft w:val="0"/>
      <w:marRight w:val="0"/>
      <w:marTop w:val="0"/>
      <w:marBottom w:val="0"/>
      <w:divBdr>
        <w:top w:val="none" w:sz="0" w:space="0" w:color="auto"/>
        <w:left w:val="none" w:sz="0" w:space="0" w:color="auto"/>
        <w:bottom w:val="none" w:sz="0" w:space="0" w:color="auto"/>
        <w:right w:val="none" w:sz="0" w:space="0" w:color="auto"/>
      </w:divBdr>
    </w:div>
    <w:div w:id="874347503">
      <w:bodyDiv w:val="1"/>
      <w:marLeft w:val="0"/>
      <w:marRight w:val="0"/>
      <w:marTop w:val="0"/>
      <w:marBottom w:val="0"/>
      <w:divBdr>
        <w:top w:val="none" w:sz="0" w:space="0" w:color="auto"/>
        <w:left w:val="none" w:sz="0" w:space="0" w:color="auto"/>
        <w:bottom w:val="none" w:sz="0" w:space="0" w:color="auto"/>
        <w:right w:val="none" w:sz="0" w:space="0" w:color="auto"/>
      </w:divBdr>
    </w:div>
    <w:div w:id="878662001">
      <w:bodyDiv w:val="1"/>
      <w:marLeft w:val="0"/>
      <w:marRight w:val="0"/>
      <w:marTop w:val="0"/>
      <w:marBottom w:val="0"/>
      <w:divBdr>
        <w:top w:val="none" w:sz="0" w:space="0" w:color="auto"/>
        <w:left w:val="none" w:sz="0" w:space="0" w:color="auto"/>
        <w:bottom w:val="none" w:sz="0" w:space="0" w:color="auto"/>
        <w:right w:val="none" w:sz="0" w:space="0" w:color="auto"/>
      </w:divBdr>
    </w:div>
    <w:div w:id="884607759">
      <w:bodyDiv w:val="1"/>
      <w:marLeft w:val="0"/>
      <w:marRight w:val="0"/>
      <w:marTop w:val="0"/>
      <w:marBottom w:val="0"/>
      <w:divBdr>
        <w:top w:val="none" w:sz="0" w:space="0" w:color="auto"/>
        <w:left w:val="none" w:sz="0" w:space="0" w:color="auto"/>
        <w:bottom w:val="none" w:sz="0" w:space="0" w:color="auto"/>
        <w:right w:val="none" w:sz="0" w:space="0" w:color="auto"/>
      </w:divBdr>
    </w:div>
    <w:div w:id="891843459">
      <w:bodyDiv w:val="1"/>
      <w:marLeft w:val="0"/>
      <w:marRight w:val="0"/>
      <w:marTop w:val="0"/>
      <w:marBottom w:val="0"/>
      <w:divBdr>
        <w:top w:val="none" w:sz="0" w:space="0" w:color="auto"/>
        <w:left w:val="none" w:sz="0" w:space="0" w:color="auto"/>
        <w:bottom w:val="none" w:sz="0" w:space="0" w:color="auto"/>
        <w:right w:val="none" w:sz="0" w:space="0" w:color="auto"/>
      </w:divBdr>
    </w:div>
    <w:div w:id="905578088">
      <w:bodyDiv w:val="1"/>
      <w:marLeft w:val="0"/>
      <w:marRight w:val="0"/>
      <w:marTop w:val="0"/>
      <w:marBottom w:val="0"/>
      <w:divBdr>
        <w:top w:val="none" w:sz="0" w:space="0" w:color="auto"/>
        <w:left w:val="none" w:sz="0" w:space="0" w:color="auto"/>
        <w:bottom w:val="none" w:sz="0" w:space="0" w:color="auto"/>
        <w:right w:val="none" w:sz="0" w:space="0" w:color="auto"/>
      </w:divBdr>
    </w:div>
    <w:div w:id="913205659">
      <w:bodyDiv w:val="1"/>
      <w:marLeft w:val="0"/>
      <w:marRight w:val="0"/>
      <w:marTop w:val="0"/>
      <w:marBottom w:val="0"/>
      <w:divBdr>
        <w:top w:val="none" w:sz="0" w:space="0" w:color="auto"/>
        <w:left w:val="none" w:sz="0" w:space="0" w:color="auto"/>
        <w:bottom w:val="none" w:sz="0" w:space="0" w:color="auto"/>
        <w:right w:val="none" w:sz="0" w:space="0" w:color="auto"/>
      </w:divBdr>
    </w:div>
    <w:div w:id="914893911">
      <w:bodyDiv w:val="1"/>
      <w:marLeft w:val="0"/>
      <w:marRight w:val="0"/>
      <w:marTop w:val="0"/>
      <w:marBottom w:val="0"/>
      <w:divBdr>
        <w:top w:val="none" w:sz="0" w:space="0" w:color="auto"/>
        <w:left w:val="none" w:sz="0" w:space="0" w:color="auto"/>
        <w:bottom w:val="none" w:sz="0" w:space="0" w:color="auto"/>
        <w:right w:val="none" w:sz="0" w:space="0" w:color="auto"/>
      </w:divBdr>
    </w:div>
    <w:div w:id="923612276">
      <w:bodyDiv w:val="1"/>
      <w:marLeft w:val="0"/>
      <w:marRight w:val="0"/>
      <w:marTop w:val="0"/>
      <w:marBottom w:val="0"/>
      <w:divBdr>
        <w:top w:val="none" w:sz="0" w:space="0" w:color="auto"/>
        <w:left w:val="none" w:sz="0" w:space="0" w:color="auto"/>
        <w:bottom w:val="none" w:sz="0" w:space="0" w:color="auto"/>
        <w:right w:val="none" w:sz="0" w:space="0" w:color="auto"/>
      </w:divBdr>
    </w:div>
    <w:div w:id="928074353">
      <w:bodyDiv w:val="1"/>
      <w:marLeft w:val="0"/>
      <w:marRight w:val="0"/>
      <w:marTop w:val="0"/>
      <w:marBottom w:val="0"/>
      <w:divBdr>
        <w:top w:val="none" w:sz="0" w:space="0" w:color="auto"/>
        <w:left w:val="none" w:sz="0" w:space="0" w:color="auto"/>
        <w:bottom w:val="none" w:sz="0" w:space="0" w:color="auto"/>
        <w:right w:val="none" w:sz="0" w:space="0" w:color="auto"/>
      </w:divBdr>
    </w:div>
    <w:div w:id="932979895">
      <w:bodyDiv w:val="1"/>
      <w:marLeft w:val="0"/>
      <w:marRight w:val="0"/>
      <w:marTop w:val="0"/>
      <w:marBottom w:val="0"/>
      <w:divBdr>
        <w:top w:val="none" w:sz="0" w:space="0" w:color="auto"/>
        <w:left w:val="none" w:sz="0" w:space="0" w:color="auto"/>
        <w:bottom w:val="none" w:sz="0" w:space="0" w:color="auto"/>
        <w:right w:val="none" w:sz="0" w:space="0" w:color="auto"/>
      </w:divBdr>
    </w:div>
    <w:div w:id="934020887">
      <w:bodyDiv w:val="1"/>
      <w:marLeft w:val="0"/>
      <w:marRight w:val="0"/>
      <w:marTop w:val="0"/>
      <w:marBottom w:val="0"/>
      <w:divBdr>
        <w:top w:val="none" w:sz="0" w:space="0" w:color="auto"/>
        <w:left w:val="none" w:sz="0" w:space="0" w:color="auto"/>
        <w:bottom w:val="none" w:sz="0" w:space="0" w:color="auto"/>
        <w:right w:val="none" w:sz="0" w:space="0" w:color="auto"/>
      </w:divBdr>
    </w:div>
    <w:div w:id="948120885">
      <w:bodyDiv w:val="1"/>
      <w:marLeft w:val="0"/>
      <w:marRight w:val="0"/>
      <w:marTop w:val="0"/>
      <w:marBottom w:val="0"/>
      <w:divBdr>
        <w:top w:val="none" w:sz="0" w:space="0" w:color="auto"/>
        <w:left w:val="none" w:sz="0" w:space="0" w:color="auto"/>
        <w:bottom w:val="none" w:sz="0" w:space="0" w:color="auto"/>
        <w:right w:val="none" w:sz="0" w:space="0" w:color="auto"/>
      </w:divBdr>
    </w:div>
    <w:div w:id="953288516">
      <w:bodyDiv w:val="1"/>
      <w:marLeft w:val="0"/>
      <w:marRight w:val="0"/>
      <w:marTop w:val="0"/>
      <w:marBottom w:val="0"/>
      <w:divBdr>
        <w:top w:val="none" w:sz="0" w:space="0" w:color="auto"/>
        <w:left w:val="none" w:sz="0" w:space="0" w:color="auto"/>
        <w:bottom w:val="none" w:sz="0" w:space="0" w:color="auto"/>
        <w:right w:val="none" w:sz="0" w:space="0" w:color="auto"/>
      </w:divBdr>
    </w:div>
    <w:div w:id="955789670">
      <w:bodyDiv w:val="1"/>
      <w:marLeft w:val="0"/>
      <w:marRight w:val="0"/>
      <w:marTop w:val="0"/>
      <w:marBottom w:val="0"/>
      <w:divBdr>
        <w:top w:val="none" w:sz="0" w:space="0" w:color="auto"/>
        <w:left w:val="none" w:sz="0" w:space="0" w:color="auto"/>
        <w:bottom w:val="none" w:sz="0" w:space="0" w:color="auto"/>
        <w:right w:val="none" w:sz="0" w:space="0" w:color="auto"/>
      </w:divBdr>
    </w:div>
    <w:div w:id="979263094">
      <w:bodyDiv w:val="1"/>
      <w:marLeft w:val="0"/>
      <w:marRight w:val="0"/>
      <w:marTop w:val="0"/>
      <w:marBottom w:val="0"/>
      <w:divBdr>
        <w:top w:val="none" w:sz="0" w:space="0" w:color="auto"/>
        <w:left w:val="none" w:sz="0" w:space="0" w:color="auto"/>
        <w:bottom w:val="none" w:sz="0" w:space="0" w:color="auto"/>
        <w:right w:val="none" w:sz="0" w:space="0" w:color="auto"/>
      </w:divBdr>
    </w:div>
    <w:div w:id="979457624">
      <w:bodyDiv w:val="1"/>
      <w:marLeft w:val="0"/>
      <w:marRight w:val="0"/>
      <w:marTop w:val="0"/>
      <w:marBottom w:val="0"/>
      <w:divBdr>
        <w:top w:val="none" w:sz="0" w:space="0" w:color="auto"/>
        <w:left w:val="none" w:sz="0" w:space="0" w:color="auto"/>
        <w:bottom w:val="none" w:sz="0" w:space="0" w:color="auto"/>
        <w:right w:val="none" w:sz="0" w:space="0" w:color="auto"/>
      </w:divBdr>
    </w:div>
    <w:div w:id="984314496">
      <w:bodyDiv w:val="1"/>
      <w:marLeft w:val="0"/>
      <w:marRight w:val="0"/>
      <w:marTop w:val="0"/>
      <w:marBottom w:val="0"/>
      <w:divBdr>
        <w:top w:val="none" w:sz="0" w:space="0" w:color="auto"/>
        <w:left w:val="none" w:sz="0" w:space="0" w:color="auto"/>
        <w:bottom w:val="none" w:sz="0" w:space="0" w:color="auto"/>
        <w:right w:val="none" w:sz="0" w:space="0" w:color="auto"/>
      </w:divBdr>
    </w:div>
    <w:div w:id="985473123">
      <w:bodyDiv w:val="1"/>
      <w:marLeft w:val="0"/>
      <w:marRight w:val="0"/>
      <w:marTop w:val="0"/>
      <w:marBottom w:val="0"/>
      <w:divBdr>
        <w:top w:val="none" w:sz="0" w:space="0" w:color="auto"/>
        <w:left w:val="none" w:sz="0" w:space="0" w:color="auto"/>
        <w:bottom w:val="none" w:sz="0" w:space="0" w:color="auto"/>
        <w:right w:val="none" w:sz="0" w:space="0" w:color="auto"/>
      </w:divBdr>
    </w:div>
    <w:div w:id="986669541">
      <w:bodyDiv w:val="1"/>
      <w:marLeft w:val="0"/>
      <w:marRight w:val="0"/>
      <w:marTop w:val="0"/>
      <w:marBottom w:val="0"/>
      <w:divBdr>
        <w:top w:val="none" w:sz="0" w:space="0" w:color="auto"/>
        <w:left w:val="none" w:sz="0" w:space="0" w:color="auto"/>
        <w:bottom w:val="none" w:sz="0" w:space="0" w:color="auto"/>
        <w:right w:val="none" w:sz="0" w:space="0" w:color="auto"/>
      </w:divBdr>
    </w:div>
    <w:div w:id="989748186">
      <w:bodyDiv w:val="1"/>
      <w:marLeft w:val="0"/>
      <w:marRight w:val="0"/>
      <w:marTop w:val="0"/>
      <w:marBottom w:val="0"/>
      <w:divBdr>
        <w:top w:val="none" w:sz="0" w:space="0" w:color="auto"/>
        <w:left w:val="none" w:sz="0" w:space="0" w:color="auto"/>
        <w:bottom w:val="none" w:sz="0" w:space="0" w:color="auto"/>
        <w:right w:val="none" w:sz="0" w:space="0" w:color="auto"/>
      </w:divBdr>
    </w:div>
    <w:div w:id="991526142">
      <w:bodyDiv w:val="1"/>
      <w:marLeft w:val="0"/>
      <w:marRight w:val="0"/>
      <w:marTop w:val="0"/>
      <w:marBottom w:val="0"/>
      <w:divBdr>
        <w:top w:val="none" w:sz="0" w:space="0" w:color="auto"/>
        <w:left w:val="none" w:sz="0" w:space="0" w:color="auto"/>
        <w:bottom w:val="none" w:sz="0" w:space="0" w:color="auto"/>
        <w:right w:val="none" w:sz="0" w:space="0" w:color="auto"/>
      </w:divBdr>
    </w:div>
    <w:div w:id="995456367">
      <w:bodyDiv w:val="1"/>
      <w:marLeft w:val="0"/>
      <w:marRight w:val="0"/>
      <w:marTop w:val="0"/>
      <w:marBottom w:val="0"/>
      <w:divBdr>
        <w:top w:val="none" w:sz="0" w:space="0" w:color="auto"/>
        <w:left w:val="none" w:sz="0" w:space="0" w:color="auto"/>
        <w:bottom w:val="none" w:sz="0" w:space="0" w:color="auto"/>
        <w:right w:val="none" w:sz="0" w:space="0" w:color="auto"/>
      </w:divBdr>
    </w:div>
    <w:div w:id="996418888">
      <w:bodyDiv w:val="1"/>
      <w:marLeft w:val="0"/>
      <w:marRight w:val="0"/>
      <w:marTop w:val="0"/>
      <w:marBottom w:val="0"/>
      <w:divBdr>
        <w:top w:val="none" w:sz="0" w:space="0" w:color="auto"/>
        <w:left w:val="none" w:sz="0" w:space="0" w:color="auto"/>
        <w:bottom w:val="none" w:sz="0" w:space="0" w:color="auto"/>
        <w:right w:val="none" w:sz="0" w:space="0" w:color="auto"/>
      </w:divBdr>
    </w:div>
    <w:div w:id="1006009098">
      <w:bodyDiv w:val="1"/>
      <w:marLeft w:val="0"/>
      <w:marRight w:val="0"/>
      <w:marTop w:val="0"/>
      <w:marBottom w:val="0"/>
      <w:divBdr>
        <w:top w:val="none" w:sz="0" w:space="0" w:color="auto"/>
        <w:left w:val="none" w:sz="0" w:space="0" w:color="auto"/>
        <w:bottom w:val="none" w:sz="0" w:space="0" w:color="auto"/>
        <w:right w:val="none" w:sz="0" w:space="0" w:color="auto"/>
      </w:divBdr>
    </w:div>
    <w:div w:id="1011102828">
      <w:bodyDiv w:val="1"/>
      <w:marLeft w:val="0"/>
      <w:marRight w:val="0"/>
      <w:marTop w:val="0"/>
      <w:marBottom w:val="0"/>
      <w:divBdr>
        <w:top w:val="none" w:sz="0" w:space="0" w:color="auto"/>
        <w:left w:val="none" w:sz="0" w:space="0" w:color="auto"/>
        <w:bottom w:val="none" w:sz="0" w:space="0" w:color="auto"/>
        <w:right w:val="none" w:sz="0" w:space="0" w:color="auto"/>
      </w:divBdr>
      <w:divsChild>
        <w:div w:id="1338844174">
          <w:marLeft w:val="0"/>
          <w:marRight w:val="0"/>
          <w:marTop w:val="0"/>
          <w:marBottom w:val="0"/>
          <w:divBdr>
            <w:top w:val="none" w:sz="0" w:space="0" w:color="auto"/>
            <w:left w:val="none" w:sz="0" w:space="0" w:color="auto"/>
            <w:bottom w:val="none" w:sz="0" w:space="0" w:color="auto"/>
            <w:right w:val="none" w:sz="0" w:space="0" w:color="auto"/>
          </w:divBdr>
        </w:div>
      </w:divsChild>
    </w:div>
    <w:div w:id="1016348901">
      <w:bodyDiv w:val="1"/>
      <w:marLeft w:val="0"/>
      <w:marRight w:val="0"/>
      <w:marTop w:val="0"/>
      <w:marBottom w:val="0"/>
      <w:divBdr>
        <w:top w:val="none" w:sz="0" w:space="0" w:color="auto"/>
        <w:left w:val="none" w:sz="0" w:space="0" w:color="auto"/>
        <w:bottom w:val="none" w:sz="0" w:space="0" w:color="auto"/>
        <w:right w:val="none" w:sz="0" w:space="0" w:color="auto"/>
      </w:divBdr>
    </w:div>
    <w:div w:id="1030229947">
      <w:bodyDiv w:val="1"/>
      <w:marLeft w:val="0"/>
      <w:marRight w:val="0"/>
      <w:marTop w:val="0"/>
      <w:marBottom w:val="0"/>
      <w:divBdr>
        <w:top w:val="none" w:sz="0" w:space="0" w:color="auto"/>
        <w:left w:val="none" w:sz="0" w:space="0" w:color="auto"/>
        <w:bottom w:val="none" w:sz="0" w:space="0" w:color="auto"/>
        <w:right w:val="none" w:sz="0" w:space="0" w:color="auto"/>
      </w:divBdr>
    </w:div>
    <w:div w:id="1044326727">
      <w:bodyDiv w:val="1"/>
      <w:marLeft w:val="0"/>
      <w:marRight w:val="0"/>
      <w:marTop w:val="0"/>
      <w:marBottom w:val="0"/>
      <w:divBdr>
        <w:top w:val="none" w:sz="0" w:space="0" w:color="auto"/>
        <w:left w:val="none" w:sz="0" w:space="0" w:color="auto"/>
        <w:bottom w:val="none" w:sz="0" w:space="0" w:color="auto"/>
        <w:right w:val="none" w:sz="0" w:space="0" w:color="auto"/>
      </w:divBdr>
    </w:div>
    <w:div w:id="1046952648">
      <w:bodyDiv w:val="1"/>
      <w:marLeft w:val="0"/>
      <w:marRight w:val="0"/>
      <w:marTop w:val="0"/>
      <w:marBottom w:val="0"/>
      <w:divBdr>
        <w:top w:val="none" w:sz="0" w:space="0" w:color="auto"/>
        <w:left w:val="none" w:sz="0" w:space="0" w:color="auto"/>
        <w:bottom w:val="none" w:sz="0" w:space="0" w:color="auto"/>
        <w:right w:val="none" w:sz="0" w:space="0" w:color="auto"/>
      </w:divBdr>
    </w:div>
    <w:div w:id="1052658798">
      <w:bodyDiv w:val="1"/>
      <w:marLeft w:val="0"/>
      <w:marRight w:val="0"/>
      <w:marTop w:val="0"/>
      <w:marBottom w:val="0"/>
      <w:divBdr>
        <w:top w:val="none" w:sz="0" w:space="0" w:color="auto"/>
        <w:left w:val="none" w:sz="0" w:space="0" w:color="auto"/>
        <w:bottom w:val="none" w:sz="0" w:space="0" w:color="auto"/>
        <w:right w:val="none" w:sz="0" w:space="0" w:color="auto"/>
      </w:divBdr>
    </w:div>
    <w:div w:id="1052920404">
      <w:bodyDiv w:val="1"/>
      <w:marLeft w:val="0"/>
      <w:marRight w:val="0"/>
      <w:marTop w:val="0"/>
      <w:marBottom w:val="0"/>
      <w:divBdr>
        <w:top w:val="none" w:sz="0" w:space="0" w:color="auto"/>
        <w:left w:val="none" w:sz="0" w:space="0" w:color="auto"/>
        <w:bottom w:val="none" w:sz="0" w:space="0" w:color="auto"/>
        <w:right w:val="none" w:sz="0" w:space="0" w:color="auto"/>
      </w:divBdr>
    </w:div>
    <w:div w:id="1054306087">
      <w:bodyDiv w:val="1"/>
      <w:marLeft w:val="0"/>
      <w:marRight w:val="0"/>
      <w:marTop w:val="0"/>
      <w:marBottom w:val="0"/>
      <w:divBdr>
        <w:top w:val="none" w:sz="0" w:space="0" w:color="auto"/>
        <w:left w:val="none" w:sz="0" w:space="0" w:color="auto"/>
        <w:bottom w:val="none" w:sz="0" w:space="0" w:color="auto"/>
        <w:right w:val="none" w:sz="0" w:space="0" w:color="auto"/>
      </w:divBdr>
      <w:divsChild>
        <w:div w:id="813760596">
          <w:marLeft w:val="0"/>
          <w:marRight w:val="0"/>
          <w:marTop w:val="150"/>
          <w:marBottom w:val="300"/>
          <w:divBdr>
            <w:top w:val="none" w:sz="0" w:space="0" w:color="auto"/>
            <w:left w:val="none" w:sz="0" w:space="0" w:color="auto"/>
            <w:bottom w:val="none" w:sz="0" w:space="0" w:color="auto"/>
            <w:right w:val="none" w:sz="0" w:space="0" w:color="auto"/>
          </w:divBdr>
        </w:div>
        <w:div w:id="681205888">
          <w:marLeft w:val="0"/>
          <w:marRight w:val="0"/>
          <w:marTop w:val="150"/>
          <w:marBottom w:val="300"/>
          <w:divBdr>
            <w:top w:val="none" w:sz="0" w:space="0" w:color="auto"/>
            <w:left w:val="none" w:sz="0" w:space="0" w:color="auto"/>
            <w:bottom w:val="none" w:sz="0" w:space="0" w:color="auto"/>
            <w:right w:val="none" w:sz="0" w:space="0" w:color="auto"/>
          </w:divBdr>
        </w:div>
        <w:div w:id="1872649154">
          <w:marLeft w:val="0"/>
          <w:marRight w:val="0"/>
          <w:marTop w:val="150"/>
          <w:marBottom w:val="300"/>
          <w:divBdr>
            <w:top w:val="none" w:sz="0" w:space="0" w:color="auto"/>
            <w:left w:val="none" w:sz="0" w:space="0" w:color="auto"/>
            <w:bottom w:val="none" w:sz="0" w:space="0" w:color="auto"/>
            <w:right w:val="none" w:sz="0" w:space="0" w:color="auto"/>
          </w:divBdr>
        </w:div>
      </w:divsChild>
    </w:div>
    <w:div w:id="1060054475">
      <w:bodyDiv w:val="1"/>
      <w:marLeft w:val="0"/>
      <w:marRight w:val="0"/>
      <w:marTop w:val="0"/>
      <w:marBottom w:val="0"/>
      <w:divBdr>
        <w:top w:val="none" w:sz="0" w:space="0" w:color="auto"/>
        <w:left w:val="none" w:sz="0" w:space="0" w:color="auto"/>
        <w:bottom w:val="none" w:sz="0" w:space="0" w:color="auto"/>
        <w:right w:val="none" w:sz="0" w:space="0" w:color="auto"/>
      </w:divBdr>
    </w:div>
    <w:div w:id="1060590529">
      <w:bodyDiv w:val="1"/>
      <w:marLeft w:val="0"/>
      <w:marRight w:val="0"/>
      <w:marTop w:val="0"/>
      <w:marBottom w:val="0"/>
      <w:divBdr>
        <w:top w:val="none" w:sz="0" w:space="0" w:color="auto"/>
        <w:left w:val="none" w:sz="0" w:space="0" w:color="auto"/>
        <w:bottom w:val="none" w:sz="0" w:space="0" w:color="auto"/>
        <w:right w:val="none" w:sz="0" w:space="0" w:color="auto"/>
      </w:divBdr>
    </w:div>
    <w:div w:id="1064138532">
      <w:bodyDiv w:val="1"/>
      <w:marLeft w:val="0"/>
      <w:marRight w:val="0"/>
      <w:marTop w:val="0"/>
      <w:marBottom w:val="0"/>
      <w:divBdr>
        <w:top w:val="none" w:sz="0" w:space="0" w:color="auto"/>
        <w:left w:val="none" w:sz="0" w:space="0" w:color="auto"/>
        <w:bottom w:val="none" w:sz="0" w:space="0" w:color="auto"/>
        <w:right w:val="none" w:sz="0" w:space="0" w:color="auto"/>
      </w:divBdr>
    </w:div>
    <w:div w:id="1064840648">
      <w:bodyDiv w:val="1"/>
      <w:marLeft w:val="0"/>
      <w:marRight w:val="0"/>
      <w:marTop w:val="0"/>
      <w:marBottom w:val="0"/>
      <w:divBdr>
        <w:top w:val="none" w:sz="0" w:space="0" w:color="auto"/>
        <w:left w:val="none" w:sz="0" w:space="0" w:color="auto"/>
        <w:bottom w:val="none" w:sz="0" w:space="0" w:color="auto"/>
        <w:right w:val="none" w:sz="0" w:space="0" w:color="auto"/>
      </w:divBdr>
    </w:div>
    <w:div w:id="1071150145">
      <w:bodyDiv w:val="1"/>
      <w:marLeft w:val="0"/>
      <w:marRight w:val="0"/>
      <w:marTop w:val="0"/>
      <w:marBottom w:val="0"/>
      <w:divBdr>
        <w:top w:val="none" w:sz="0" w:space="0" w:color="auto"/>
        <w:left w:val="none" w:sz="0" w:space="0" w:color="auto"/>
        <w:bottom w:val="none" w:sz="0" w:space="0" w:color="auto"/>
        <w:right w:val="none" w:sz="0" w:space="0" w:color="auto"/>
      </w:divBdr>
    </w:div>
    <w:div w:id="1076629282">
      <w:bodyDiv w:val="1"/>
      <w:marLeft w:val="0"/>
      <w:marRight w:val="0"/>
      <w:marTop w:val="0"/>
      <w:marBottom w:val="0"/>
      <w:divBdr>
        <w:top w:val="none" w:sz="0" w:space="0" w:color="auto"/>
        <w:left w:val="none" w:sz="0" w:space="0" w:color="auto"/>
        <w:bottom w:val="none" w:sz="0" w:space="0" w:color="auto"/>
        <w:right w:val="none" w:sz="0" w:space="0" w:color="auto"/>
      </w:divBdr>
    </w:div>
    <w:div w:id="1086272492">
      <w:bodyDiv w:val="1"/>
      <w:marLeft w:val="0"/>
      <w:marRight w:val="0"/>
      <w:marTop w:val="0"/>
      <w:marBottom w:val="0"/>
      <w:divBdr>
        <w:top w:val="none" w:sz="0" w:space="0" w:color="auto"/>
        <w:left w:val="none" w:sz="0" w:space="0" w:color="auto"/>
        <w:bottom w:val="none" w:sz="0" w:space="0" w:color="auto"/>
        <w:right w:val="none" w:sz="0" w:space="0" w:color="auto"/>
      </w:divBdr>
    </w:div>
    <w:div w:id="1089733016">
      <w:bodyDiv w:val="1"/>
      <w:marLeft w:val="0"/>
      <w:marRight w:val="0"/>
      <w:marTop w:val="0"/>
      <w:marBottom w:val="0"/>
      <w:divBdr>
        <w:top w:val="none" w:sz="0" w:space="0" w:color="auto"/>
        <w:left w:val="none" w:sz="0" w:space="0" w:color="auto"/>
        <w:bottom w:val="none" w:sz="0" w:space="0" w:color="auto"/>
        <w:right w:val="none" w:sz="0" w:space="0" w:color="auto"/>
      </w:divBdr>
    </w:div>
    <w:div w:id="1098915484">
      <w:bodyDiv w:val="1"/>
      <w:marLeft w:val="0"/>
      <w:marRight w:val="0"/>
      <w:marTop w:val="0"/>
      <w:marBottom w:val="0"/>
      <w:divBdr>
        <w:top w:val="none" w:sz="0" w:space="0" w:color="auto"/>
        <w:left w:val="none" w:sz="0" w:space="0" w:color="auto"/>
        <w:bottom w:val="none" w:sz="0" w:space="0" w:color="auto"/>
        <w:right w:val="none" w:sz="0" w:space="0" w:color="auto"/>
      </w:divBdr>
    </w:div>
    <w:div w:id="1105005262">
      <w:bodyDiv w:val="1"/>
      <w:marLeft w:val="0"/>
      <w:marRight w:val="0"/>
      <w:marTop w:val="0"/>
      <w:marBottom w:val="0"/>
      <w:divBdr>
        <w:top w:val="none" w:sz="0" w:space="0" w:color="auto"/>
        <w:left w:val="none" w:sz="0" w:space="0" w:color="auto"/>
        <w:bottom w:val="none" w:sz="0" w:space="0" w:color="auto"/>
        <w:right w:val="none" w:sz="0" w:space="0" w:color="auto"/>
      </w:divBdr>
    </w:div>
    <w:div w:id="1114521324">
      <w:bodyDiv w:val="1"/>
      <w:marLeft w:val="0"/>
      <w:marRight w:val="0"/>
      <w:marTop w:val="0"/>
      <w:marBottom w:val="0"/>
      <w:divBdr>
        <w:top w:val="none" w:sz="0" w:space="0" w:color="auto"/>
        <w:left w:val="none" w:sz="0" w:space="0" w:color="auto"/>
        <w:bottom w:val="none" w:sz="0" w:space="0" w:color="auto"/>
        <w:right w:val="none" w:sz="0" w:space="0" w:color="auto"/>
      </w:divBdr>
    </w:div>
    <w:div w:id="1116825528">
      <w:bodyDiv w:val="1"/>
      <w:marLeft w:val="0"/>
      <w:marRight w:val="0"/>
      <w:marTop w:val="0"/>
      <w:marBottom w:val="0"/>
      <w:divBdr>
        <w:top w:val="none" w:sz="0" w:space="0" w:color="auto"/>
        <w:left w:val="none" w:sz="0" w:space="0" w:color="auto"/>
        <w:bottom w:val="none" w:sz="0" w:space="0" w:color="auto"/>
        <w:right w:val="none" w:sz="0" w:space="0" w:color="auto"/>
      </w:divBdr>
    </w:div>
    <w:div w:id="1117868558">
      <w:bodyDiv w:val="1"/>
      <w:marLeft w:val="0"/>
      <w:marRight w:val="0"/>
      <w:marTop w:val="0"/>
      <w:marBottom w:val="0"/>
      <w:divBdr>
        <w:top w:val="none" w:sz="0" w:space="0" w:color="auto"/>
        <w:left w:val="none" w:sz="0" w:space="0" w:color="auto"/>
        <w:bottom w:val="none" w:sz="0" w:space="0" w:color="auto"/>
        <w:right w:val="none" w:sz="0" w:space="0" w:color="auto"/>
      </w:divBdr>
    </w:div>
    <w:div w:id="1120415107">
      <w:bodyDiv w:val="1"/>
      <w:marLeft w:val="0"/>
      <w:marRight w:val="0"/>
      <w:marTop w:val="0"/>
      <w:marBottom w:val="0"/>
      <w:divBdr>
        <w:top w:val="none" w:sz="0" w:space="0" w:color="auto"/>
        <w:left w:val="none" w:sz="0" w:space="0" w:color="auto"/>
        <w:bottom w:val="none" w:sz="0" w:space="0" w:color="auto"/>
        <w:right w:val="none" w:sz="0" w:space="0" w:color="auto"/>
      </w:divBdr>
    </w:div>
    <w:div w:id="1125004018">
      <w:bodyDiv w:val="1"/>
      <w:marLeft w:val="0"/>
      <w:marRight w:val="0"/>
      <w:marTop w:val="0"/>
      <w:marBottom w:val="0"/>
      <w:divBdr>
        <w:top w:val="none" w:sz="0" w:space="0" w:color="auto"/>
        <w:left w:val="none" w:sz="0" w:space="0" w:color="auto"/>
        <w:bottom w:val="none" w:sz="0" w:space="0" w:color="auto"/>
        <w:right w:val="none" w:sz="0" w:space="0" w:color="auto"/>
      </w:divBdr>
    </w:div>
    <w:div w:id="1128161573">
      <w:bodyDiv w:val="1"/>
      <w:marLeft w:val="0"/>
      <w:marRight w:val="0"/>
      <w:marTop w:val="0"/>
      <w:marBottom w:val="0"/>
      <w:divBdr>
        <w:top w:val="none" w:sz="0" w:space="0" w:color="auto"/>
        <w:left w:val="none" w:sz="0" w:space="0" w:color="auto"/>
        <w:bottom w:val="none" w:sz="0" w:space="0" w:color="auto"/>
        <w:right w:val="none" w:sz="0" w:space="0" w:color="auto"/>
      </w:divBdr>
    </w:div>
    <w:div w:id="1132672425">
      <w:bodyDiv w:val="1"/>
      <w:marLeft w:val="0"/>
      <w:marRight w:val="0"/>
      <w:marTop w:val="0"/>
      <w:marBottom w:val="0"/>
      <w:divBdr>
        <w:top w:val="none" w:sz="0" w:space="0" w:color="auto"/>
        <w:left w:val="none" w:sz="0" w:space="0" w:color="auto"/>
        <w:bottom w:val="none" w:sz="0" w:space="0" w:color="auto"/>
        <w:right w:val="none" w:sz="0" w:space="0" w:color="auto"/>
      </w:divBdr>
    </w:div>
    <w:div w:id="1145005079">
      <w:bodyDiv w:val="1"/>
      <w:marLeft w:val="0"/>
      <w:marRight w:val="0"/>
      <w:marTop w:val="0"/>
      <w:marBottom w:val="0"/>
      <w:divBdr>
        <w:top w:val="none" w:sz="0" w:space="0" w:color="auto"/>
        <w:left w:val="none" w:sz="0" w:space="0" w:color="auto"/>
        <w:bottom w:val="none" w:sz="0" w:space="0" w:color="auto"/>
        <w:right w:val="none" w:sz="0" w:space="0" w:color="auto"/>
      </w:divBdr>
    </w:div>
    <w:div w:id="1147014574">
      <w:bodyDiv w:val="1"/>
      <w:marLeft w:val="0"/>
      <w:marRight w:val="0"/>
      <w:marTop w:val="0"/>
      <w:marBottom w:val="0"/>
      <w:divBdr>
        <w:top w:val="none" w:sz="0" w:space="0" w:color="auto"/>
        <w:left w:val="none" w:sz="0" w:space="0" w:color="auto"/>
        <w:bottom w:val="none" w:sz="0" w:space="0" w:color="auto"/>
        <w:right w:val="none" w:sz="0" w:space="0" w:color="auto"/>
      </w:divBdr>
    </w:div>
    <w:div w:id="1147168368">
      <w:bodyDiv w:val="1"/>
      <w:marLeft w:val="0"/>
      <w:marRight w:val="0"/>
      <w:marTop w:val="0"/>
      <w:marBottom w:val="0"/>
      <w:divBdr>
        <w:top w:val="none" w:sz="0" w:space="0" w:color="auto"/>
        <w:left w:val="none" w:sz="0" w:space="0" w:color="auto"/>
        <w:bottom w:val="none" w:sz="0" w:space="0" w:color="auto"/>
        <w:right w:val="none" w:sz="0" w:space="0" w:color="auto"/>
      </w:divBdr>
    </w:div>
    <w:div w:id="1147238241">
      <w:bodyDiv w:val="1"/>
      <w:marLeft w:val="0"/>
      <w:marRight w:val="0"/>
      <w:marTop w:val="0"/>
      <w:marBottom w:val="0"/>
      <w:divBdr>
        <w:top w:val="none" w:sz="0" w:space="0" w:color="auto"/>
        <w:left w:val="none" w:sz="0" w:space="0" w:color="auto"/>
        <w:bottom w:val="none" w:sz="0" w:space="0" w:color="auto"/>
        <w:right w:val="none" w:sz="0" w:space="0" w:color="auto"/>
      </w:divBdr>
    </w:div>
    <w:div w:id="1149400858">
      <w:bodyDiv w:val="1"/>
      <w:marLeft w:val="0"/>
      <w:marRight w:val="0"/>
      <w:marTop w:val="0"/>
      <w:marBottom w:val="0"/>
      <w:divBdr>
        <w:top w:val="none" w:sz="0" w:space="0" w:color="auto"/>
        <w:left w:val="none" w:sz="0" w:space="0" w:color="auto"/>
        <w:bottom w:val="none" w:sz="0" w:space="0" w:color="auto"/>
        <w:right w:val="none" w:sz="0" w:space="0" w:color="auto"/>
      </w:divBdr>
    </w:div>
    <w:div w:id="1161190147">
      <w:bodyDiv w:val="1"/>
      <w:marLeft w:val="0"/>
      <w:marRight w:val="0"/>
      <w:marTop w:val="0"/>
      <w:marBottom w:val="0"/>
      <w:divBdr>
        <w:top w:val="none" w:sz="0" w:space="0" w:color="auto"/>
        <w:left w:val="none" w:sz="0" w:space="0" w:color="auto"/>
        <w:bottom w:val="none" w:sz="0" w:space="0" w:color="auto"/>
        <w:right w:val="none" w:sz="0" w:space="0" w:color="auto"/>
      </w:divBdr>
    </w:div>
    <w:div w:id="1162816723">
      <w:bodyDiv w:val="1"/>
      <w:marLeft w:val="0"/>
      <w:marRight w:val="0"/>
      <w:marTop w:val="0"/>
      <w:marBottom w:val="0"/>
      <w:divBdr>
        <w:top w:val="none" w:sz="0" w:space="0" w:color="auto"/>
        <w:left w:val="none" w:sz="0" w:space="0" w:color="auto"/>
        <w:bottom w:val="none" w:sz="0" w:space="0" w:color="auto"/>
        <w:right w:val="none" w:sz="0" w:space="0" w:color="auto"/>
      </w:divBdr>
    </w:div>
    <w:div w:id="1172335420">
      <w:bodyDiv w:val="1"/>
      <w:marLeft w:val="0"/>
      <w:marRight w:val="0"/>
      <w:marTop w:val="0"/>
      <w:marBottom w:val="0"/>
      <w:divBdr>
        <w:top w:val="none" w:sz="0" w:space="0" w:color="auto"/>
        <w:left w:val="none" w:sz="0" w:space="0" w:color="auto"/>
        <w:bottom w:val="none" w:sz="0" w:space="0" w:color="auto"/>
        <w:right w:val="none" w:sz="0" w:space="0" w:color="auto"/>
      </w:divBdr>
    </w:div>
    <w:div w:id="1181623648">
      <w:bodyDiv w:val="1"/>
      <w:marLeft w:val="0"/>
      <w:marRight w:val="0"/>
      <w:marTop w:val="0"/>
      <w:marBottom w:val="0"/>
      <w:divBdr>
        <w:top w:val="none" w:sz="0" w:space="0" w:color="auto"/>
        <w:left w:val="none" w:sz="0" w:space="0" w:color="auto"/>
        <w:bottom w:val="none" w:sz="0" w:space="0" w:color="auto"/>
        <w:right w:val="none" w:sz="0" w:space="0" w:color="auto"/>
      </w:divBdr>
    </w:div>
    <w:div w:id="1184440189">
      <w:bodyDiv w:val="1"/>
      <w:marLeft w:val="0"/>
      <w:marRight w:val="0"/>
      <w:marTop w:val="0"/>
      <w:marBottom w:val="0"/>
      <w:divBdr>
        <w:top w:val="none" w:sz="0" w:space="0" w:color="auto"/>
        <w:left w:val="none" w:sz="0" w:space="0" w:color="auto"/>
        <w:bottom w:val="none" w:sz="0" w:space="0" w:color="auto"/>
        <w:right w:val="none" w:sz="0" w:space="0" w:color="auto"/>
      </w:divBdr>
    </w:div>
    <w:div w:id="1184713605">
      <w:bodyDiv w:val="1"/>
      <w:marLeft w:val="0"/>
      <w:marRight w:val="0"/>
      <w:marTop w:val="0"/>
      <w:marBottom w:val="0"/>
      <w:divBdr>
        <w:top w:val="none" w:sz="0" w:space="0" w:color="auto"/>
        <w:left w:val="none" w:sz="0" w:space="0" w:color="auto"/>
        <w:bottom w:val="none" w:sz="0" w:space="0" w:color="auto"/>
        <w:right w:val="none" w:sz="0" w:space="0" w:color="auto"/>
      </w:divBdr>
    </w:div>
    <w:div w:id="1189903436">
      <w:bodyDiv w:val="1"/>
      <w:marLeft w:val="0"/>
      <w:marRight w:val="0"/>
      <w:marTop w:val="0"/>
      <w:marBottom w:val="0"/>
      <w:divBdr>
        <w:top w:val="none" w:sz="0" w:space="0" w:color="auto"/>
        <w:left w:val="none" w:sz="0" w:space="0" w:color="auto"/>
        <w:bottom w:val="none" w:sz="0" w:space="0" w:color="auto"/>
        <w:right w:val="none" w:sz="0" w:space="0" w:color="auto"/>
      </w:divBdr>
    </w:div>
    <w:div w:id="1193609889">
      <w:bodyDiv w:val="1"/>
      <w:marLeft w:val="0"/>
      <w:marRight w:val="0"/>
      <w:marTop w:val="0"/>
      <w:marBottom w:val="0"/>
      <w:divBdr>
        <w:top w:val="none" w:sz="0" w:space="0" w:color="auto"/>
        <w:left w:val="none" w:sz="0" w:space="0" w:color="auto"/>
        <w:bottom w:val="none" w:sz="0" w:space="0" w:color="auto"/>
        <w:right w:val="none" w:sz="0" w:space="0" w:color="auto"/>
      </w:divBdr>
    </w:div>
    <w:div w:id="1204710188">
      <w:bodyDiv w:val="1"/>
      <w:marLeft w:val="0"/>
      <w:marRight w:val="0"/>
      <w:marTop w:val="0"/>
      <w:marBottom w:val="0"/>
      <w:divBdr>
        <w:top w:val="none" w:sz="0" w:space="0" w:color="auto"/>
        <w:left w:val="none" w:sz="0" w:space="0" w:color="auto"/>
        <w:bottom w:val="none" w:sz="0" w:space="0" w:color="auto"/>
        <w:right w:val="none" w:sz="0" w:space="0" w:color="auto"/>
      </w:divBdr>
    </w:div>
    <w:div w:id="1206983556">
      <w:bodyDiv w:val="1"/>
      <w:marLeft w:val="0"/>
      <w:marRight w:val="0"/>
      <w:marTop w:val="0"/>
      <w:marBottom w:val="0"/>
      <w:divBdr>
        <w:top w:val="none" w:sz="0" w:space="0" w:color="auto"/>
        <w:left w:val="none" w:sz="0" w:space="0" w:color="auto"/>
        <w:bottom w:val="none" w:sz="0" w:space="0" w:color="auto"/>
        <w:right w:val="none" w:sz="0" w:space="0" w:color="auto"/>
      </w:divBdr>
    </w:div>
    <w:div w:id="1207378273">
      <w:bodyDiv w:val="1"/>
      <w:marLeft w:val="0"/>
      <w:marRight w:val="0"/>
      <w:marTop w:val="0"/>
      <w:marBottom w:val="0"/>
      <w:divBdr>
        <w:top w:val="none" w:sz="0" w:space="0" w:color="auto"/>
        <w:left w:val="none" w:sz="0" w:space="0" w:color="auto"/>
        <w:bottom w:val="none" w:sz="0" w:space="0" w:color="auto"/>
        <w:right w:val="none" w:sz="0" w:space="0" w:color="auto"/>
      </w:divBdr>
    </w:div>
    <w:div w:id="1209684191">
      <w:bodyDiv w:val="1"/>
      <w:marLeft w:val="0"/>
      <w:marRight w:val="0"/>
      <w:marTop w:val="0"/>
      <w:marBottom w:val="0"/>
      <w:divBdr>
        <w:top w:val="none" w:sz="0" w:space="0" w:color="auto"/>
        <w:left w:val="none" w:sz="0" w:space="0" w:color="auto"/>
        <w:bottom w:val="none" w:sz="0" w:space="0" w:color="auto"/>
        <w:right w:val="none" w:sz="0" w:space="0" w:color="auto"/>
      </w:divBdr>
    </w:div>
    <w:div w:id="1211072273">
      <w:bodyDiv w:val="1"/>
      <w:marLeft w:val="0"/>
      <w:marRight w:val="0"/>
      <w:marTop w:val="0"/>
      <w:marBottom w:val="0"/>
      <w:divBdr>
        <w:top w:val="none" w:sz="0" w:space="0" w:color="auto"/>
        <w:left w:val="none" w:sz="0" w:space="0" w:color="auto"/>
        <w:bottom w:val="none" w:sz="0" w:space="0" w:color="auto"/>
        <w:right w:val="none" w:sz="0" w:space="0" w:color="auto"/>
      </w:divBdr>
    </w:div>
    <w:div w:id="1215387713">
      <w:bodyDiv w:val="1"/>
      <w:marLeft w:val="0"/>
      <w:marRight w:val="0"/>
      <w:marTop w:val="0"/>
      <w:marBottom w:val="0"/>
      <w:divBdr>
        <w:top w:val="none" w:sz="0" w:space="0" w:color="auto"/>
        <w:left w:val="none" w:sz="0" w:space="0" w:color="auto"/>
        <w:bottom w:val="none" w:sz="0" w:space="0" w:color="auto"/>
        <w:right w:val="none" w:sz="0" w:space="0" w:color="auto"/>
      </w:divBdr>
    </w:div>
    <w:div w:id="1222981809">
      <w:bodyDiv w:val="1"/>
      <w:marLeft w:val="0"/>
      <w:marRight w:val="0"/>
      <w:marTop w:val="0"/>
      <w:marBottom w:val="0"/>
      <w:divBdr>
        <w:top w:val="none" w:sz="0" w:space="0" w:color="auto"/>
        <w:left w:val="none" w:sz="0" w:space="0" w:color="auto"/>
        <w:bottom w:val="none" w:sz="0" w:space="0" w:color="auto"/>
        <w:right w:val="none" w:sz="0" w:space="0" w:color="auto"/>
      </w:divBdr>
    </w:div>
    <w:div w:id="1227567823">
      <w:bodyDiv w:val="1"/>
      <w:marLeft w:val="0"/>
      <w:marRight w:val="0"/>
      <w:marTop w:val="0"/>
      <w:marBottom w:val="0"/>
      <w:divBdr>
        <w:top w:val="none" w:sz="0" w:space="0" w:color="auto"/>
        <w:left w:val="none" w:sz="0" w:space="0" w:color="auto"/>
        <w:bottom w:val="none" w:sz="0" w:space="0" w:color="auto"/>
        <w:right w:val="none" w:sz="0" w:space="0" w:color="auto"/>
      </w:divBdr>
    </w:div>
    <w:div w:id="1229806400">
      <w:bodyDiv w:val="1"/>
      <w:marLeft w:val="0"/>
      <w:marRight w:val="0"/>
      <w:marTop w:val="0"/>
      <w:marBottom w:val="0"/>
      <w:divBdr>
        <w:top w:val="none" w:sz="0" w:space="0" w:color="auto"/>
        <w:left w:val="none" w:sz="0" w:space="0" w:color="auto"/>
        <w:bottom w:val="none" w:sz="0" w:space="0" w:color="auto"/>
        <w:right w:val="none" w:sz="0" w:space="0" w:color="auto"/>
      </w:divBdr>
    </w:div>
    <w:div w:id="1230920157">
      <w:bodyDiv w:val="1"/>
      <w:marLeft w:val="0"/>
      <w:marRight w:val="0"/>
      <w:marTop w:val="0"/>
      <w:marBottom w:val="0"/>
      <w:divBdr>
        <w:top w:val="none" w:sz="0" w:space="0" w:color="auto"/>
        <w:left w:val="none" w:sz="0" w:space="0" w:color="auto"/>
        <w:bottom w:val="none" w:sz="0" w:space="0" w:color="auto"/>
        <w:right w:val="none" w:sz="0" w:space="0" w:color="auto"/>
      </w:divBdr>
    </w:div>
    <w:div w:id="1233808698">
      <w:bodyDiv w:val="1"/>
      <w:marLeft w:val="0"/>
      <w:marRight w:val="0"/>
      <w:marTop w:val="0"/>
      <w:marBottom w:val="0"/>
      <w:divBdr>
        <w:top w:val="none" w:sz="0" w:space="0" w:color="auto"/>
        <w:left w:val="none" w:sz="0" w:space="0" w:color="auto"/>
        <w:bottom w:val="none" w:sz="0" w:space="0" w:color="auto"/>
        <w:right w:val="none" w:sz="0" w:space="0" w:color="auto"/>
      </w:divBdr>
    </w:div>
    <w:div w:id="1234122742">
      <w:bodyDiv w:val="1"/>
      <w:marLeft w:val="0"/>
      <w:marRight w:val="0"/>
      <w:marTop w:val="0"/>
      <w:marBottom w:val="0"/>
      <w:divBdr>
        <w:top w:val="none" w:sz="0" w:space="0" w:color="auto"/>
        <w:left w:val="none" w:sz="0" w:space="0" w:color="auto"/>
        <w:bottom w:val="none" w:sz="0" w:space="0" w:color="auto"/>
        <w:right w:val="none" w:sz="0" w:space="0" w:color="auto"/>
      </w:divBdr>
    </w:div>
    <w:div w:id="1239092485">
      <w:bodyDiv w:val="1"/>
      <w:marLeft w:val="0"/>
      <w:marRight w:val="0"/>
      <w:marTop w:val="0"/>
      <w:marBottom w:val="0"/>
      <w:divBdr>
        <w:top w:val="none" w:sz="0" w:space="0" w:color="auto"/>
        <w:left w:val="none" w:sz="0" w:space="0" w:color="auto"/>
        <w:bottom w:val="none" w:sz="0" w:space="0" w:color="auto"/>
        <w:right w:val="none" w:sz="0" w:space="0" w:color="auto"/>
      </w:divBdr>
    </w:div>
    <w:div w:id="1239637857">
      <w:bodyDiv w:val="1"/>
      <w:marLeft w:val="0"/>
      <w:marRight w:val="0"/>
      <w:marTop w:val="0"/>
      <w:marBottom w:val="0"/>
      <w:divBdr>
        <w:top w:val="none" w:sz="0" w:space="0" w:color="auto"/>
        <w:left w:val="none" w:sz="0" w:space="0" w:color="auto"/>
        <w:bottom w:val="none" w:sz="0" w:space="0" w:color="auto"/>
        <w:right w:val="none" w:sz="0" w:space="0" w:color="auto"/>
      </w:divBdr>
    </w:div>
    <w:div w:id="1243874440">
      <w:bodyDiv w:val="1"/>
      <w:marLeft w:val="0"/>
      <w:marRight w:val="0"/>
      <w:marTop w:val="0"/>
      <w:marBottom w:val="0"/>
      <w:divBdr>
        <w:top w:val="none" w:sz="0" w:space="0" w:color="auto"/>
        <w:left w:val="none" w:sz="0" w:space="0" w:color="auto"/>
        <w:bottom w:val="none" w:sz="0" w:space="0" w:color="auto"/>
        <w:right w:val="none" w:sz="0" w:space="0" w:color="auto"/>
      </w:divBdr>
    </w:div>
    <w:div w:id="1246766438">
      <w:bodyDiv w:val="1"/>
      <w:marLeft w:val="0"/>
      <w:marRight w:val="0"/>
      <w:marTop w:val="0"/>
      <w:marBottom w:val="0"/>
      <w:divBdr>
        <w:top w:val="none" w:sz="0" w:space="0" w:color="auto"/>
        <w:left w:val="none" w:sz="0" w:space="0" w:color="auto"/>
        <w:bottom w:val="none" w:sz="0" w:space="0" w:color="auto"/>
        <w:right w:val="none" w:sz="0" w:space="0" w:color="auto"/>
      </w:divBdr>
    </w:div>
    <w:div w:id="1248885063">
      <w:bodyDiv w:val="1"/>
      <w:marLeft w:val="0"/>
      <w:marRight w:val="0"/>
      <w:marTop w:val="0"/>
      <w:marBottom w:val="0"/>
      <w:divBdr>
        <w:top w:val="none" w:sz="0" w:space="0" w:color="auto"/>
        <w:left w:val="none" w:sz="0" w:space="0" w:color="auto"/>
        <w:bottom w:val="none" w:sz="0" w:space="0" w:color="auto"/>
        <w:right w:val="none" w:sz="0" w:space="0" w:color="auto"/>
      </w:divBdr>
    </w:div>
    <w:div w:id="1262567234">
      <w:bodyDiv w:val="1"/>
      <w:marLeft w:val="0"/>
      <w:marRight w:val="0"/>
      <w:marTop w:val="0"/>
      <w:marBottom w:val="0"/>
      <w:divBdr>
        <w:top w:val="none" w:sz="0" w:space="0" w:color="auto"/>
        <w:left w:val="none" w:sz="0" w:space="0" w:color="auto"/>
        <w:bottom w:val="none" w:sz="0" w:space="0" w:color="auto"/>
        <w:right w:val="none" w:sz="0" w:space="0" w:color="auto"/>
      </w:divBdr>
    </w:div>
    <w:div w:id="1268080386">
      <w:bodyDiv w:val="1"/>
      <w:marLeft w:val="0"/>
      <w:marRight w:val="0"/>
      <w:marTop w:val="0"/>
      <w:marBottom w:val="0"/>
      <w:divBdr>
        <w:top w:val="none" w:sz="0" w:space="0" w:color="auto"/>
        <w:left w:val="none" w:sz="0" w:space="0" w:color="auto"/>
        <w:bottom w:val="none" w:sz="0" w:space="0" w:color="auto"/>
        <w:right w:val="none" w:sz="0" w:space="0" w:color="auto"/>
      </w:divBdr>
    </w:div>
    <w:div w:id="1269972276">
      <w:bodyDiv w:val="1"/>
      <w:marLeft w:val="0"/>
      <w:marRight w:val="0"/>
      <w:marTop w:val="0"/>
      <w:marBottom w:val="0"/>
      <w:divBdr>
        <w:top w:val="none" w:sz="0" w:space="0" w:color="auto"/>
        <w:left w:val="none" w:sz="0" w:space="0" w:color="auto"/>
        <w:bottom w:val="none" w:sz="0" w:space="0" w:color="auto"/>
        <w:right w:val="none" w:sz="0" w:space="0" w:color="auto"/>
      </w:divBdr>
    </w:div>
    <w:div w:id="1277759275">
      <w:bodyDiv w:val="1"/>
      <w:marLeft w:val="0"/>
      <w:marRight w:val="0"/>
      <w:marTop w:val="0"/>
      <w:marBottom w:val="0"/>
      <w:divBdr>
        <w:top w:val="none" w:sz="0" w:space="0" w:color="auto"/>
        <w:left w:val="none" w:sz="0" w:space="0" w:color="auto"/>
        <w:bottom w:val="none" w:sz="0" w:space="0" w:color="auto"/>
        <w:right w:val="none" w:sz="0" w:space="0" w:color="auto"/>
      </w:divBdr>
    </w:div>
    <w:div w:id="1278953836">
      <w:bodyDiv w:val="1"/>
      <w:marLeft w:val="0"/>
      <w:marRight w:val="0"/>
      <w:marTop w:val="0"/>
      <w:marBottom w:val="0"/>
      <w:divBdr>
        <w:top w:val="none" w:sz="0" w:space="0" w:color="auto"/>
        <w:left w:val="none" w:sz="0" w:space="0" w:color="auto"/>
        <w:bottom w:val="none" w:sz="0" w:space="0" w:color="auto"/>
        <w:right w:val="none" w:sz="0" w:space="0" w:color="auto"/>
      </w:divBdr>
    </w:div>
    <w:div w:id="1282878628">
      <w:bodyDiv w:val="1"/>
      <w:marLeft w:val="0"/>
      <w:marRight w:val="0"/>
      <w:marTop w:val="0"/>
      <w:marBottom w:val="0"/>
      <w:divBdr>
        <w:top w:val="none" w:sz="0" w:space="0" w:color="auto"/>
        <w:left w:val="none" w:sz="0" w:space="0" w:color="auto"/>
        <w:bottom w:val="none" w:sz="0" w:space="0" w:color="auto"/>
        <w:right w:val="none" w:sz="0" w:space="0" w:color="auto"/>
      </w:divBdr>
    </w:div>
    <w:div w:id="1284849203">
      <w:bodyDiv w:val="1"/>
      <w:marLeft w:val="0"/>
      <w:marRight w:val="0"/>
      <w:marTop w:val="0"/>
      <w:marBottom w:val="0"/>
      <w:divBdr>
        <w:top w:val="none" w:sz="0" w:space="0" w:color="auto"/>
        <w:left w:val="none" w:sz="0" w:space="0" w:color="auto"/>
        <w:bottom w:val="none" w:sz="0" w:space="0" w:color="auto"/>
        <w:right w:val="none" w:sz="0" w:space="0" w:color="auto"/>
      </w:divBdr>
    </w:div>
    <w:div w:id="1290016913">
      <w:bodyDiv w:val="1"/>
      <w:marLeft w:val="0"/>
      <w:marRight w:val="0"/>
      <w:marTop w:val="0"/>
      <w:marBottom w:val="0"/>
      <w:divBdr>
        <w:top w:val="none" w:sz="0" w:space="0" w:color="auto"/>
        <w:left w:val="none" w:sz="0" w:space="0" w:color="auto"/>
        <w:bottom w:val="none" w:sz="0" w:space="0" w:color="auto"/>
        <w:right w:val="none" w:sz="0" w:space="0" w:color="auto"/>
      </w:divBdr>
    </w:div>
    <w:div w:id="1291596657">
      <w:bodyDiv w:val="1"/>
      <w:marLeft w:val="0"/>
      <w:marRight w:val="0"/>
      <w:marTop w:val="0"/>
      <w:marBottom w:val="0"/>
      <w:divBdr>
        <w:top w:val="none" w:sz="0" w:space="0" w:color="auto"/>
        <w:left w:val="none" w:sz="0" w:space="0" w:color="auto"/>
        <w:bottom w:val="none" w:sz="0" w:space="0" w:color="auto"/>
        <w:right w:val="none" w:sz="0" w:space="0" w:color="auto"/>
      </w:divBdr>
    </w:div>
    <w:div w:id="1296132413">
      <w:bodyDiv w:val="1"/>
      <w:marLeft w:val="0"/>
      <w:marRight w:val="0"/>
      <w:marTop w:val="0"/>
      <w:marBottom w:val="0"/>
      <w:divBdr>
        <w:top w:val="none" w:sz="0" w:space="0" w:color="auto"/>
        <w:left w:val="none" w:sz="0" w:space="0" w:color="auto"/>
        <w:bottom w:val="none" w:sz="0" w:space="0" w:color="auto"/>
        <w:right w:val="none" w:sz="0" w:space="0" w:color="auto"/>
      </w:divBdr>
    </w:div>
    <w:div w:id="1297948220">
      <w:bodyDiv w:val="1"/>
      <w:marLeft w:val="0"/>
      <w:marRight w:val="0"/>
      <w:marTop w:val="0"/>
      <w:marBottom w:val="0"/>
      <w:divBdr>
        <w:top w:val="none" w:sz="0" w:space="0" w:color="auto"/>
        <w:left w:val="none" w:sz="0" w:space="0" w:color="auto"/>
        <w:bottom w:val="none" w:sz="0" w:space="0" w:color="auto"/>
        <w:right w:val="none" w:sz="0" w:space="0" w:color="auto"/>
      </w:divBdr>
    </w:div>
    <w:div w:id="1300384193">
      <w:bodyDiv w:val="1"/>
      <w:marLeft w:val="0"/>
      <w:marRight w:val="0"/>
      <w:marTop w:val="0"/>
      <w:marBottom w:val="0"/>
      <w:divBdr>
        <w:top w:val="none" w:sz="0" w:space="0" w:color="auto"/>
        <w:left w:val="none" w:sz="0" w:space="0" w:color="auto"/>
        <w:bottom w:val="none" w:sz="0" w:space="0" w:color="auto"/>
        <w:right w:val="none" w:sz="0" w:space="0" w:color="auto"/>
      </w:divBdr>
    </w:div>
    <w:div w:id="1314068412">
      <w:bodyDiv w:val="1"/>
      <w:marLeft w:val="0"/>
      <w:marRight w:val="0"/>
      <w:marTop w:val="0"/>
      <w:marBottom w:val="0"/>
      <w:divBdr>
        <w:top w:val="none" w:sz="0" w:space="0" w:color="auto"/>
        <w:left w:val="none" w:sz="0" w:space="0" w:color="auto"/>
        <w:bottom w:val="none" w:sz="0" w:space="0" w:color="auto"/>
        <w:right w:val="none" w:sz="0" w:space="0" w:color="auto"/>
      </w:divBdr>
    </w:div>
    <w:div w:id="1329357885">
      <w:bodyDiv w:val="1"/>
      <w:marLeft w:val="0"/>
      <w:marRight w:val="0"/>
      <w:marTop w:val="0"/>
      <w:marBottom w:val="0"/>
      <w:divBdr>
        <w:top w:val="none" w:sz="0" w:space="0" w:color="auto"/>
        <w:left w:val="none" w:sz="0" w:space="0" w:color="auto"/>
        <w:bottom w:val="none" w:sz="0" w:space="0" w:color="auto"/>
        <w:right w:val="none" w:sz="0" w:space="0" w:color="auto"/>
      </w:divBdr>
    </w:div>
    <w:div w:id="1330672503">
      <w:bodyDiv w:val="1"/>
      <w:marLeft w:val="0"/>
      <w:marRight w:val="0"/>
      <w:marTop w:val="0"/>
      <w:marBottom w:val="0"/>
      <w:divBdr>
        <w:top w:val="none" w:sz="0" w:space="0" w:color="auto"/>
        <w:left w:val="none" w:sz="0" w:space="0" w:color="auto"/>
        <w:bottom w:val="none" w:sz="0" w:space="0" w:color="auto"/>
        <w:right w:val="none" w:sz="0" w:space="0" w:color="auto"/>
      </w:divBdr>
    </w:div>
    <w:div w:id="1332367436">
      <w:bodyDiv w:val="1"/>
      <w:marLeft w:val="0"/>
      <w:marRight w:val="0"/>
      <w:marTop w:val="0"/>
      <w:marBottom w:val="0"/>
      <w:divBdr>
        <w:top w:val="none" w:sz="0" w:space="0" w:color="auto"/>
        <w:left w:val="none" w:sz="0" w:space="0" w:color="auto"/>
        <w:bottom w:val="none" w:sz="0" w:space="0" w:color="auto"/>
        <w:right w:val="none" w:sz="0" w:space="0" w:color="auto"/>
      </w:divBdr>
    </w:div>
    <w:div w:id="1332683859">
      <w:bodyDiv w:val="1"/>
      <w:marLeft w:val="0"/>
      <w:marRight w:val="0"/>
      <w:marTop w:val="0"/>
      <w:marBottom w:val="0"/>
      <w:divBdr>
        <w:top w:val="none" w:sz="0" w:space="0" w:color="auto"/>
        <w:left w:val="none" w:sz="0" w:space="0" w:color="auto"/>
        <w:bottom w:val="none" w:sz="0" w:space="0" w:color="auto"/>
        <w:right w:val="none" w:sz="0" w:space="0" w:color="auto"/>
      </w:divBdr>
    </w:div>
    <w:div w:id="1333290219">
      <w:bodyDiv w:val="1"/>
      <w:marLeft w:val="0"/>
      <w:marRight w:val="0"/>
      <w:marTop w:val="0"/>
      <w:marBottom w:val="0"/>
      <w:divBdr>
        <w:top w:val="none" w:sz="0" w:space="0" w:color="auto"/>
        <w:left w:val="none" w:sz="0" w:space="0" w:color="auto"/>
        <w:bottom w:val="none" w:sz="0" w:space="0" w:color="auto"/>
        <w:right w:val="none" w:sz="0" w:space="0" w:color="auto"/>
      </w:divBdr>
    </w:div>
    <w:div w:id="1335718866">
      <w:bodyDiv w:val="1"/>
      <w:marLeft w:val="0"/>
      <w:marRight w:val="0"/>
      <w:marTop w:val="0"/>
      <w:marBottom w:val="0"/>
      <w:divBdr>
        <w:top w:val="none" w:sz="0" w:space="0" w:color="auto"/>
        <w:left w:val="none" w:sz="0" w:space="0" w:color="auto"/>
        <w:bottom w:val="none" w:sz="0" w:space="0" w:color="auto"/>
        <w:right w:val="none" w:sz="0" w:space="0" w:color="auto"/>
      </w:divBdr>
    </w:div>
    <w:div w:id="1344937177">
      <w:bodyDiv w:val="1"/>
      <w:marLeft w:val="0"/>
      <w:marRight w:val="0"/>
      <w:marTop w:val="0"/>
      <w:marBottom w:val="0"/>
      <w:divBdr>
        <w:top w:val="none" w:sz="0" w:space="0" w:color="auto"/>
        <w:left w:val="none" w:sz="0" w:space="0" w:color="auto"/>
        <w:bottom w:val="none" w:sz="0" w:space="0" w:color="auto"/>
        <w:right w:val="none" w:sz="0" w:space="0" w:color="auto"/>
      </w:divBdr>
    </w:div>
    <w:div w:id="1349141005">
      <w:bodyDiv w:val="1"/>
      <w:marLeft w:val="0"/>
      <w:marRight w:val="0"/>
      <w:marTop w:val="0"/>
      <w:marBottom w:val="0"/>
      <w:divBdr>
        <w:top w:val="none" w:sz="0" w:space="0" w:color="auto"/>
        <w:left w:val="none" w:sz="0" w:space="0" w:color="auto"/>
        <w:bottom w:val="none" w:sz="0" w:space="0" w:color="auto"/>
        <w:right w:val="none" w:sz="0" w:space="0" w:color="auto"/>
      </w:divBdr>
    </w:div>
    <w:div w:id="1351641264">
      <w:bodyDiv w:val="1"/>
      <w:marLeft w:val="0"/>
      <w:marRight w:val="0"/>
      <w:marTop w:val="0"/>
      <w:marBottom w:val="0"/>
      <w:divBdr>
        <w:top w:val="none" w:sz="0" w:space="0" w:color="auto"/>
        <w:left w:val="none" w:sz="0" w:space="0" w:color="auto"/>
        <w:bottom w:val="none" w:sz="0" w:space="0" w:color="auto"/>
        <w:right w:val="none" w:sz="0" w:space="0" w:color="auto"/>
      </w:divBdr>
    </w:div>
    <w:div w:id="1351877535">
      <w:bodyDiv w:val="1"/>
      <w:marLeft w:val="0"/>
      <w:marRight w:val="0"/>
      <w:marTop w:val="0"/>
      <w:marBottom w:val="0"/>
      <w:divBdr>
        <w:top w:val="none" w:sz="0" w:space="0" w:color="auto"/>
        <w:left w:val="none" w:sz="0" w:space="0" w:color="auto"/>
        <w:bottom w:val="none" w:sz="0" w:space="0" w:color="auto"/>
        <w:right w:val="none" w:sz="0" w:space="0" w:color="auto"/>
      </w:divBdr>
    </w:div>
    <w:div w:id="1352802643">
      <w:bodyDiv w:val="1"/>
      <w:marLeft w:val="0"/>
      <w:marRight w:val="0"/>
      <w:marTop w:val="0"/>
      <w:marBottom w:val="0"/>
      <w:divBdr>
        <w:top w:val="none" w:sz="0" w:space="0" w:color="auto"/>
        <w:left w:val="none" w:sz="0" w:space="0" w:color="auto"/>
        <w:bottom w:val="none" w:sz="0" w:space="0" w:color="auto"/>
        <w:right w:val="none" w:sz="0" w:space="0" w:color="auto"/>
      </w:divBdr>
    </w:div>
    <w:div w:id="1355880207">
      <w:bodyDiv w:val="1"/>
      <w:marLeft w:val="0"/>
      <w:marRight w:val="0"/>
      <w:marTop w:val="0"/>
      <w:marBottom w:val="0"/>
      <w:divBdr>
        <w:top w:val="none" w:sz="0" w:space="0" w:color="auto"/>
        <w:left w:val="none" w:sz="0" w:space="0" w:color="auto"/>
        <w:bottom w:val="none" w:sz="0" w:space="0" w:color="auto"/>
        <w:right w:val="none" w:sz="0" w:space="0" w:color="auto"/>
      </w:divBdr>
    </w:div>
    <w:div w:id="1355963385">
      <w:bodyDiv w:val="1"/>
      <w:marLeft w:val="0"/>
      <w:marRight w:val="0"/>
      <w:marTop w:val="0"/>
      <w:marBottom w:val="0"/>
      <w:divBdr>
        <w:top w:val="none" w:sz="0" w:space="0" w:color="auto"/>
        <w:left w:val="none" w:sz="0" w:space="0" w:color="auto"/>
        <w:bottom w:val="none" w:sz="0" w:space="0" w:color="auto"/>
        <w:right w:val="none" w:sz="0" w:space="0" w:color="auto"/>
      </w:divBdr>
    </w:div>
    <w:div w:id="1360354312">
      <w:bodyDiv w:val="1"/>
      <w:marLeft w:val="0"/>
      <w:marRight w:val="0"/>
      <w:marTop w:val="0"/>
      <w:marBottom w:val="0"/>
      <w:divBdr>
        <w:top w:val="none" w:sz="0" w:space="0" w:color="auto"/>
        <w:left w:val="none" w:sz="0" w:space="0" w:color="auto"/>
        <w:bottom w:val="none" w:sz="0" w:space="0" w:color="auto"/>
        <w:right w:val="none" w:sz="0" w:space="0" w:color="auto"/>
      </w:divBdr>
    </w:div>
    <w:div w:id="1360425877">
      <w:bodyDiv w:val="1"/>
      <w:marLeft w:val="0"/>
      <w:marRight w:val="0"/>
      <w:marTop w:val="0"/>
      <w:marBottom w:val="0"/>
      <w:divBdr>
        <w:top w:val="none" w:sz="0" w:space="0" w:color="auto"/>
        <w:left w:val="none" w:sz="0" w:space="0" w:color="auto"/>
        <w:bottom w:val="none" w:sz="0" w:space="0" w:color="auto"/>
        <w:right w:val="none" w:sz="0" w:space="0" w:color="auto"/>
      </w:divBdr>
    </w:div>
    <w:div w:id="1370882455">
      <w:bodyDiv w:val="1"/>
      <w:marLeft w:val="0"/>
      <w:marRight w:val="0"/>
      <w:marTop w:val="0"/>
      <w:marBottom w:val="0"/>
      <w:divBdr>
        <w:top w:val="none" w:sz="0" w:space="0" w:color="auto"/>
        <w:left w:val="none" w:sz="0" w:space="0" w:color="auto"/>
        <w:bottom w:val="none" w:sz="0" w:space="0" w:color="auto"/>
        <w:right w:val="none" w:sz="0" w:space="0" w:color="auto"/>
      </w:divBdr>
    </w:div>
    <w:div w:id="1373918335">
      <w:bodyDiv w:val="1"/>
      <w:marLeft w:val="0"/>
      <w:marRight w:val="0"/>
      <w:marTop w:val="0"/>
      <w:marBottom w:val="0"/>
      <w:divBdr>
        <w:top w:val="none" w:sz="0" w:space="0" w:color="auto"/>
        <w:left w:val="none" w:sz="0" w:space="0" w:color="auto"/>
        <w:bottom w:val="none" w:sz="0" w:space="0" w:color="auto"/>
        <w:right w:val="none" w:sz="0" w:space="0" w:color="auto"/>
      </w:divBdr>
    </w:div>
    <w:div w:id="1375884736">
      <w:bodyDiv w:val="1"/>
      <w:marLeft w:val="0"/>
      <w:marRight w:val="0"/>
      <w:marTop w:val="0"/>
      <w:marBottom w:val="0"/>
      <w:divBdr>
        <w:top w:val="none" w:sz="0" w:space="0" w:color="auto"/>
        <w:left w:val="none" w:sz="0" w:space="0" w:color="auto"/>
        <w:bottom w:val="none" w:sz="0" w:space="0" w:color="auto"/>
        <w:right w:val="none" w:sz="0" w:space="0" w:color="auto"/>
      </w:divBdr>
    </w:div>
    <w:div w:id="1378551236">
      <w:bodyDiv w:val="1"/>
      <w:marLeft w:val="0"/>
      <w:marRight w:val="0"/>
      <w:marTop w:val="0"/>
      <w:marBottom w:val="0"/>
      <w:divBdr>
        <w:top w:val="none" w:sz="0" w:space="0" w:color="auto"/>
        <w:left w:val="none" w:sz="0" w:space="0" w:color="auto"/>
        <w:bottom w:val="none" w:sz="0" w:space="0" w:color="auto"/>
        <w:right w:val="none" w:sz="0" w:space="0" w:color="auto"/>
      </w:divBdr>
    </w:div>
    <w:div w:id="1380279188">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401832901">
      <w:bodyDiv w:val="1"/>
      <w:marLeft w:val="0"/>
      <w:marRight w:val="0"/>
      <w:marTop w:val="0"/>
      <w:marBottom w:val="0"/>
      <w:divBdr>
        <w:top w:val="none" w:sz="0" w:space="0" w:color="auto"/>
        <w:left w:val="none" w:sz="0" w:space="0" w:color="auto"/>
        <w:bottom w:val="none" w:sz="0" w:space="0" w:color="auto"/>
        <w:right w:val="none" w:sz="0" w:space="0" w:color="auto"/>
      </w:divBdr>
    </w:div>
    <w:div w:id="1402943882">
      <w:bodyDiv w:val="1"/>
      <w:marLeft w:val="0"/>
      <w:marRight w:val="0"/>
      <w:marTop w:val="0"/>
      <w:marBottom w:val="0"/>
      <w:divBdr>
        <w:top w:val="none" w:sz="0" w:space="0" w:color="auto"/>
        <w:left w:val="none" w:sz="0" w:space="0" w:color="auto"/>
        <w:bottom w:val="none" w:sz="0" w:space="0" w:color="auto"/>
        <w:right w:val="none" w:sz="0" w:space="0" w:color="auto"/>
      </w:divBdr>
    </w:div>
    <w:div w:id="1409768132">
      <w:bodyDiv w:val="1"/>
      <w:marLeft w:val="0"/>
      <w:marRight w:val="0"/>
      <w:marTop w:val="0"/>
      <w:marBottom w:val="0"/>
      <w:divBdr>
        <w:top w:val="none" w:sz="0" w:space="0" w:color="auto"/>
        <w:left w:val="none" w:sz="0" w:space="0" w:color="auto"/>
        <w:bottom w:val="none" w:sz="0" w:space="0" w:color="auto"/>
        <w:right w:val="none" w:sz="0" w:space="0" w:color="auto"/>
      </w:divBdr>
    </w:div>
    <w:div w:id="1411002195">
      <w:bodyDiv w:val="1"/>
      <w:marLeft w:val="0"/>
      <w:marRight w:val="0"/>
      <w:marTop w:val="0"/>
      <w:marBottom w:val="0"/>
      <w:divBdr>
        <w:top w:val="none" w:sz="0" w:space="0" w:color="auto"/>
        <w:left w:val="none" w:sz="0" w:space="0" w:color="auto"/>
        <w:bottom w:val="none" w:sz="0" w:space="0" w:color="auto"/>
        <w:right w:val="none" w:sz="0" w:space="0" w:color="auto"/>
      </w:divBdr>
    </w:div>
    <w:div w:id="1414158901">
      <w:bodyDiv w:val="1"/>
      <w:marLeft w:val="0"/>
      <w:marRight w:val="0"/>
      <w:marTop w:val="0"/>
      <w:marBottom w:val="0"/>
      <w:divBdr>
        <w:top w:val="none" w:sz="0" w:space="0" w:color="auto"/>
        <w:left w:val="none" w:sz="0" w:space="0" w:color="auto"/>
        <w:bottom w:val="none" w:sz="0" w:space="0" w:color="auto"/>
        <w:right w:val="none" w:sz="0" w:space="0" w:color="auto"/>
      </w:divBdr>
    </w:div>
    <w:div w:id="1414164255">
      <w:bodyDiv w:val="1"/>
      <w:marLeft w:val="0"/>
      <w:marRight w:val="0"/>
      <w:marTop w:val="0"/>
      <w:marBottom w:val="0"/>
      <w:divBdr>
        <w:top w:val="none" w:sz="0" w:space="0" w:color="auto"/>
        <w:left w:val="none" w:sz="0" w:space="0" w:color="auto"/>
        <w:bottom w:val="none" w:sz="0" w:space="0" w:color="auto"/>
        <w:right w:val="none" w:sz="0" w:space="0" w:color="auto"/>
      </w:divBdr>
    </w:div>
    <w:div w:id="1417484780">
      <w:bodyDiv w:val="1"/>
      <w:marLeft w:val="0"/>
      <w:marRight w:val="0"/>
      <w:marTop w:val="0"/>
      <w:marBottom w:val="0"/>
      <w:divBdr>
        <w:top w:val="none" w:sz="0" w:space="0" w:color="auto"/>
        <w:left w:val="none" w:sz="0" w:space="0" w:color="auto"/>
        <w:bottom w:val="none" w:sz="0" w:space="0" w:color="auto"/>
        <w:right w:val="none" w:sz="0" w:space="0" w:color="auto"/>
      </w:divBdr>
    </w:div>
    <w:div w:id="1425801236">
      <w:bodyDiv w:val="1"/>
      <w:marLeft w:val="0"/>
      <w:marRight w:val="0"/>
      <w:marTop w:val="0"/>
      <w:marBottom w:val="0"/>
      <w:divBdr>
        <w:top w:val="none" w:sz="0" w:space="0" w:color="auto"/>
        <w:left w:val="none" w:sz="0" w:space="0" w:color="auto"/>
        <w:bottom w:val="none" w:sz="0" w:space="0" w:color="auto"/>
        <w:right w:val="none" w:sz="0" w:space="0" w:color="auto"/>
      </w:divBdr>
    </w:div>
    <w:div w:id="1431119905">
      <w:bodyDiv w:val="1"/>
      <w:marLeft w:val="0"/>
      <w:marRight w:val="0"/>
      <w:marTop w:val="0"/>
      <w:marBottom w:val="0"/>
      <w:divBdr>
        <w:top w:val="none" w:sz="0" w:space="0" w:color="auto"/>
        <w:left w:val="none" w:sz="0" w:space="0" w:color="auto"/>
        <w:bottom w:val="none" w:sz="0" w:space="0" w:color="auto"/>
        <w:right w:val="none" w:sz="0" w:space="0" w:color="auto"/>
      </w:divBdr>
    </w:div>
    <w:div w:id="1431700156">
      <w:bodyDiv w:val="1"/>
      <w:marLeft w:val="0"/>
      <w:marRight w:val="0"/>
      <w:marTop w:val="0"/>
      <w:marBottom w:val="0"/>
      <w:divBdr>
        <w:top w:val="none" w:sz="0" w:space="0" w:color="auto"/>
        <w:left w:val="none" w:sz="0" w:space="0" w:color="auto"/>
        <w:bottom w:val="none" w:sz="0" w:space="0" w:color="auto"/>
        <w:right w:val="none" w:sz="0" w:space="0" w:color="auto"/>
      </w:divBdr>
    </w:div>
    <w:div w:id="1434592932">
      <w:bodyDiv w:val="1"/>
      <w:marLeft w:val="0"/>
      <w:marRight w:val="0"/>
      <w:marTop w:val="0"/>
      <w:marBottom w:val="0"/>
      <w:divBdr>
        <w:top w:val="none" w:sz="0" w:space="0" w:color="auto"/>
        <w:left w:val="none" w:sz="0" w:space="0" w:color="auto"/>
        <w:bottom w:val="none" w:sz="0" w:space="0" w:color="auto"/>
        <w:right w:val="none" w:sz="0" w:space="0" w:color="auto"/>
      </w:divBdr>
    </w:div>
    <w:div w:id="1434743668">
      <w:bodyDiv w:val="1"/>
      <w:marLeft w:val="0"/>
      <w:marRight w:val="0"/>
      <w:marTop w:val="0"/>
      <w:marBottom w:val="0"/>
      <w:divBdr>
        <w:top w:val="none" w:sz="0" w:space="0" w:color="auto"/>
        <w:left w:val="none" w:sz="0" w:space="0" w:color="auto"/>
        <w:bottom w:val="none" w:sz="0" w:space="0" w:color="auto"/>
        <w:right w:val="none" w:sz="0" w:space="0" w:color="auto"/>
      </w:divBdr>
    </w:div>
    <w:div w:id="1435511453">
      <w:bodyDiv w:val="1"/>
      <w:marLeft w:val="0"/>
      <w:marRight w:val="0"/>
      <w:marTop w:val="0"/>
      <w:marBottom w:val="0"/>
      <w:divBdr>
        <w:top w:val="none" w:sz="0" w:space="0" w:color="auto"/>
        <w:left w:val="none" w:sz="0" w:space="0" w:color="auto"/>
        <w:bottom w:val="none" w:sz="0" w:space="0" w:color="auto"/>
        <w:right w:val="none" w:sz="0" w:space="0" w:color="auto"/>
      </w:divBdr>
    </w:div>
    <w:div w:id="1437599161">
      <w:bodyDiv w:val="1"/>
      <w:marLeft w:val="0"/>
      <w:marRight w:val="0"/>
      <w:marTop w:val="0"/>
      <w:marBottom w:val="0"/>
      <w:divBdr>
        <w:top w:val="none" w:sz="0" w:space="0" w:color="auto"/>
        <w:left w:val="none" w:sz="0" w:space="0" w:color="auto"/>
        <w:bottom w:val="none" w:sz="0" w:space="0" w:color="auto"/>
        <w:right w:val="none" w:sz="0" w:space="0" w:color="auto"/>
      </w:divBdr>
    </w:div>
    <w:div w:id="1451120716">
      <w:bodyDiv w:val="1"/>
      <w:marLeft w:val="0"/>
      <w:marRight w:val="0"/>
      <w:marTop w:val="0"/>
      <w:marBottom w:val="0"/>
      <w:divBdr>
        <w:top w:val="none" w:sz="0" w:space="0" w:color="auto"/>
        <w:left w:val="none" w:sz="0" w:space="0" w:color="auto"/>
        <w:bottom w:val="none" w:sz="0" w:space="0" w:color="auto"/>
        <w:right w:val="none" w:sz="0" w:space="0" w:color="auto"/>
      </w:divBdr>
    </w:div>
    <w:div w:id="1456800212">
      <w:bodyDiv w:val="1"/>
      <w:marLeft w:val="0"/>
      <w:marRight w:val="0"/>
      <w:marTop w:val="0"/>
      <w:marBottom w:val="0"/>
      <w:divBdr>
        <w:top w:val="none" w:sz="0" w:space="0" w:color="auto"/>
        <w:left w:val="none" w:sz="0" w:space="0" w:color="auto"/>
        <w:bottom w:val="none" w:sz="0" w:space="0" w:color="auto"/>
        <w:right w:val="none" w:sz="0" w:space="0" w:color="auto"/>
      </w:divBdr>
    </w:div>
    <w:div w:id="1474564925">
      <w:bodyDiv w:val="1"/>
      <w:marLeft w:val="0"/>
      <w:marRight w:val="0"/>
      <w:marTop w:val="0"/>
      <w:marBottom w:val="0"/>
      <w:divBdr>
        <w:top w:val="none" w:sz="0" w:space="0" w:color="auto"/>
        <w:left w:val="none" w:sz="0" w:space="0" w:color="auto"/>
        <w:bottom w:val="none" w:sz="0" w:space="0" w:color="auto"/>
        <w:right w:val="none" w:sz="0" w:space="0" w:color="auto"/>
      </w:divBdr>
    </w:div>
    <w:div w:id="1485050603">
      <w:bodyDiv w:val="1"/>
      <w:marLeft w:val="0"/>
      <w:marRight w:val="0"/>
      <w:marTop w:val="0"/>
      <w:marBottom w:val="0"/>
      <w:divBdr>
        <w:top w:val="none" w:sz="0" w:space="0" w:color="auto"/>
        <w:left w:val="none" w:sz="0" w:space="0" w:color="auto"/>
        <w:bottom w:val="none" w:sz="0" w:space="0" w:color="auto"/>
        <w:right w:val="none" w:sz="0" w:space="0" w:color="auto"/>
      </w:divBdr>
    </w:div>
    <w:div w:id="1490245430">
      <w:bodyDiv w:val="1"/>
      <w:marLeft w:val="0"/>
      <w:marRight w:val="0"/>
      <w:marTop w:val="0"/>
      <w:marBottom w:val="0"/>
      <w:divBdr>
        <w:top w:val="none" w:sz="0" w:space="0" w:color="auto"/>
        <w:left w:val="none" w:sz="0" w:space="0" w:color="auto"/>
        <w:bottom w:val="none" w:sz="0" w:space="0" w:color="auto"/>
        <w:right w:val="none" w:sz="0" w:space="0" w:color="auto"/>
      </w:divBdr>
    </w:div>
    <w:div w:id="1492255259">
      <w:bodyDiv w:val="1"/>
      <w:marLeft w:val="0"/>
      <w:marRight w:val="0"/>
      <w:marTop w:val="0"/>
      <w:marBottom w:val="0"/>
      <w:divBdr>
        <w:top w:val="none" w:sz="0" w:space="0" w:color="auto"/>
        <w:left w:val="none" w:sz="0" w:space="0" w:color="auto"/>
        <w:bottom w:val="none" w:sz="0" w:space="0" w:color="auto"/>
        <w:right w:val="none" w:sz="0" w:space="0" w:color="auto"/>
      </w:divBdr>
    </w:div>
    <w:div w:id="1499492187">
      <w:bodyDiv w:val="1"/>
      <w:marLeft w:val="0"/>
      <w:marRight w:val="0"/>
      <w:marTop w:val="0"/>
      <w:marBottom w:val="0"/>
      <w:divBdr>
        <w:top w:val="none" w:sz="0" w:space="0" w:color="auto"/>
        <w:left w:val="none" w:sz="0" w:space="0" w:color="auto"/>
        <w:bottom w:val="none" w:sz="0" w:space="0" w:color="auto"/>
        <w:right w:val="none" w:sz="0" w:space="0" w:color="auto"/>
      </w:divBdr>
    </w:div>
    <w:div w:id="1505363570">
      <w:bodyDiv w:val="1"/>
      <w:marLeft w:val="0"/>
      <w:marRight w:val="0"/>
      <w:marTop w:val="0"/>
      <w:marBottom w:val="0"/>
      <w:divBdr>
        <w:top w:val="none" w:sz="0" w:space="0" w:color="auto"/>
        <w:left w:val="none" w:sz="0" w:space="0" w:color="auto"/>
        <w:bottom w:val="none" w:sz="0" w:space="0" w:color="auto"/>
        <w:right w:val="none" w:sz="0" w:space="0" w:color="auto"/>
      </w:divBdr>
    </w:div>
    <w:div w:id="1510103017">
      <w:bodyDiv w:val="1"/>
      <w:marLeft w:val="0"/>
      <w:marRight w:val="0"/>
      <w:marTop w:val="0"/>
      <w:marBottom w:val="0"/>
      <w:divBdr>
        <w:top w:val="none" w:sz="0" w:space="0" w:color="auto"/>
        <w:left w:val="none" w:sz="0" w:space="0" w:color="auto"/>
        <w:bottom w:val="none" w:sz="0" w:space="0" w:color="auto"/>
        <w:right w:val="none" w:sz="0" w:space="0" w:color="auto"/>
      </w:divBdr>
    </w:div>
    <w:div w:id="1512140797">
      <w:bodyDiv w:val="1"/>
      <w:marLeft w:val="0"/>
      <w:marRight w:val="0"/>
      <w:marTop w:val="0"/>
      <w:marBottom w:val="0"/>
      <w:divBdr>
        <w:top w:val="none" w:sz="0" w:space="0" w:color="auto"/>
        <w:left w:val="none" w:sz="0" w:space="0" w:color="auto"/>
        <w:bottom w:val="none" w:sz="0" w:space="0" w:color="auto"/>
        <w:right w:val="none" w:sz="0" w:space="0" w:color="auto"/>
      </w:divBdr>
    </w:div>
    <w:div w:id="1518234610">
      <w:bodyDiv w:val="1"/>
      <w:marLeft w:val="0"/>
      <w:marRight w:val="0"/>
      <w:marTop w:val="0"/>
      <w:marBottom w:val="0"/>
      <w:divBdr>
        <w:top w:val="none" w:sz="0" w:space="0" w:color="auto"/>
        <w:left w:val="none" w:sz="0" w:space="0" w:color="auto"/>
        <w:bottom w:val="none" w:sz="0" w:space="0" w:color="auto"/>
        <w:right w:val="none" w:sz="0" w:space="0" w:color="auto"/>
      </w:divBdr>
    </w:div>
    <w:div w:id="1519080608">
      <w:bodyDiv w:val="1"/>
      <w:marLeft w:val="0"/>
      <w:marRight w:val="0"/>
      <w:marTop w:val="0"/>
      <w:marBottom w:val="0"/>
      <w:divBdr>
        <w:top w:val="none" w:sz="0" w:space="0" w:color="auto"/>
        <w:left w:val="none" w:sz="0" w:space="0" w:color="auto"/>
        <w:bottom w:val="none" w:sz="0" w:space="0" w:color="auto"/>
        <w:right w:val="none" w:sz="0" w:space="0" w:color="auto"/>
      </w:divBdr>
    </w:div>
    <w:div w:id="1530147634">
      <w:bodyDiv w:val="1"/>
      <w:marLeft w:val="0"/>
      <w:marRight w:val="0"/>
      <w:marTop w:val="0"/>
      <w:marBottom w:val="0"/>
      <w:divBdr>
        <w:top w:val="none" w:sz="0" w:space="0" w:color="auto"/>
        <w:left w:val="none" w:sz="0" w:space="0" w:color="auto"/>
        <w:bottom w:val="none" w:sz="0" w:space="0" w:color="auto"/>
        <w:right w:val="none" w:sz="0" w:space="0" w:color="auto"/>
      </w:divBdr>
    </w:div>
    <w:div w:id="1532649885">
      <w:bodyDiv w:val="1"/>
      <w:marLeft w:val="0"/>
      <w:marRight w:val="0"/>
      <w:marTop w:val="0"/>
      <w:marBottom w:val="0"/>
      <w:divBdr>
        <w:top w:val="none" w:sz="0" w:space="0" w:color="auto"/>
        <w:left w:val="none" w:sz="0" w:space="0" w:color="auto"/>
        <w:bottom w:val="none" w:sz="0" w:space="0" w:color="auto"/>
        <w:right w:val="none" w:sz="0" w:space="0" w:color="auto"/>
      </w:divBdr>
    </w:div>
    <w:div w:id="1533611422">
      <w:bodyDiv w:val="1"/>
      <w:marLeft w:val="0"/>
      <w:marRight w:val="0"/>
      <w:marTop w:val="0"/>
      <w:marBottom w:val="0"/>
      <w:divBdr>
        <w:top w:val="none" w:sz="0" w:space="0" w:color="auto"/>
        <w:left w:val="none" w:sz="0" w:space="0" w:color="auto"/>
        <w:bottom w:val="none" w:sz="0" w:space="0" w:color="auto"/>
        <w:right w:val="none" w:sz="0" w:space="0" w:color="auto"/>
      </w:divBdr>
    </w:div>
    <w:div w:id="1542093090">
      <w:bodyDiv w:val="1"/>
      <w:marLeft w:val="0"/>
      <w:marRight w:val="0"/>
      <w:marTop w:val="0"/>
      <w:marBottom w:val="0"/>
      <w:divBdr>
        <w:top w:val="none" w:sz="0" w:space="0" w:color="auto"/>
        <w:left w:val="none" w:sz="0" w:space="0" w:color="auto"/>
        <w:bottom w:val="none" w:sz="0" w:space="0" w:color="auto"/>
        <w:right w:val="none" w:sz="0" w:space="0" w:color="auto"/>
      </w:divBdr>
    </w:div>
    <w:div w:id="1542743179">
      <w:bodyDiv w:val="1"/>
      <w:marLeft w:val="0"/>
      <w:marRight w:val="0"/>
      <w:marTop w:val="0"/>
      <w:marBottom w:val="0"/>
      <w:divBdr>
        <w:top w:val="none" w:sz="0" w:space="0" w:color="auto"/>
        <w:left w:val="none" w:sz="0" w:space="0" w:color="auto"/>
        <w:bottom w:val="none" w:sz="0" w:space="0" w:color="auto"/>
        <w:right w:val="none" w:sz="0" w:space="0" w:color="auto"/>
      </w:divBdr>
    </w:div>
    <w:div w:id="1543057352">
      <w:bodyDiv w:val="1"/>
      <w:marLeft w:val="0"/>
      <w:marRight w:val="0"/>
      <w:marTop w:val="0"/>
      <w:marBottom w:val="0"/>
      <w:divBdr>
        <w:top w:val="none" w:sz="0" w:space="0" w:color="auto"/>
        <w:left w:val="none" w:sz="0" w:space="0" w:color="auto"/>
        <w:bottom w:val="none" w:sz="0" w:space="0" w:color="auto"/>
        <w:right w:val="none" w:sz="0" w:space="0" w:color="auto"/>
      </w:divBdr>
    </w:div>
    <w:div w:id="1548570439">
      <w:bodyDiv w:val="1"/>
      <w:marLeft w:val="0"/>
      <w:marRight w:val="0"/>
      <w:marTop w:val="0"/>
      <w:marBottom w:val="0"/>
      <w:divBdr>
        <w:top w:val="none" w:sz="0" w:space="0" w:color="auto"/>
        <w:left w:val="none" w:sz="0" w:space="0" w:color="auto"/>
        <w:bottom w:val="none" w:sz="0" w:space="0" w:color="auto"/>
        <w:right w:val="none" w:sz="0" w:space="0" w:color="auto"/>
      </w:divBdr>
    </w:div>
    <w:div w:id="1552229298">
      <w:bodyDiv w:val="1"/>
      <w:marLeft w:val="0"/>
      <w:marRight w:val="0"/>
      <w:marTop w:val="0"/>
      <w:marBottom w:val="0"/>
      <w:divBdr>
        <w:top w:val="none" w:sz="0" w:space="0" w:color="auto"/>
        <w:left w:val="none" w:sz="0" w:space="0" w:color="auto"/>
        <w:bottom w:val="none" w:sz="0" w:space="0" w:color="auto"/>
        <w:right w:val="none" w:sz="0" w:space="0" w:color="auto"/>
      </w:divBdr>
    </w:div>
    <w:div w:id="1559432984">
      <w:bodyDiv w:val="1"/>
      <w:marLeft w:val="0"/>
      <w:marRight w:val="0"/>
      <w:marTop w:val="0"/>
      <w:marBottom w:val="0"/>
      <w:divBdr>
        <w:top w:val="none" w:sz="0" w:space="0" w:color="auto"/>
        <w:left w:val="none" w:sz="0" w:space="0" w:color="auto"/>
        <w:bottom w:val="none" w:sz="0" w:space="0" w:color="auto"/>
        <w:right w:val="none" w:sz="0" w:space="0" w:color="auto"/>
      </w:divBdr>
    </w:div>
    <w:div w:id="1562868414">
      <w:bodyDiv w:val="1"/>
      <w:marLeft w:val="0"/>
      <w:marRight w:val="0"/>
      <w:marTop w:val="0"/>
      <w:marBottom w:val="0"/>
      <w:divBdr>
        <w:top w:val="none" w:sz="0" w:space="0" w:color="auto"/>
        <w:left w:val="none" w:sz="0" w:space="0" w:color="auto"/>
        <w:bottom w:val="none" w:sz="0" w:space="0" w:color="auto"/>
        <w:right w:val="none" w:sz="0" w:space="0" w:color="auto"/>
      </w:divBdr>
    </w:div>
    <w:div w:id="1564943513">
      <w:bodyDiv w:val="1"/>
      <w:marLeft w:val="0"/>
      <w:marRight w:val="0"/>
      <w:marTop w:val="0"/>
      <w:marBottom w:val="0"/>
      <w:divBdr>
        <w:top w:val="none" w:sz="0" w:space="0" w:color="auto"/>
        <w:left w:val="none" w:sz="0" w:space="0" w:color="auto"/>
        <w:bottom w:val="none" w:sz="0" w:space="0" w:color="auto"/>
        <w:right w:val="none" w:sz="0" w:space="0" w:color="auto"/>
      </w:divBdr>
    </w:div>
    <w:div w:id="1580552442">
      <w:bodyDiv w:val="1"/>
      <w:marLeft w:val="0"/>
      <w:marRight w:val="0"/>
      <w:marTop w:val="0"/>
      <w:marBottom w:val="0"/>
      <w:divBdr>
        <w:top w:val="none" w:sz="0" w:space="0" w:color="auto"/>
        <w:left w:val="none" w:sz="0" w:space="0" w:color="auto"/>
        <w:bottom w:val="none" w:sz="0" w:space="0" w:color="auto"/>
        <w:right w:val="none" w:sz="0" w:space="0" w:color="auto"/>
      </w:divBdr>
    </w:div>
    <w:div w:id="1595941607">
      <w:bodyDiv w:val="1"/>
      <w:marLeft w:val="0"/>
      <w:marRight w:val="0"/>
      <w:marTop w:val="0"/>
      <w:marBottom w:val="0"/>
      <w:divBdr>
        <w:top w:val="none" w:sz="0" w:space="0" w:color="auto"/>
        <w:left w:val="none" w:sz="0" w:space="0" w:color="auto"/>
        <w:bottom w:val="none" w:sz="0" w:space="0" w:color="auto"/>
        <w:right w:val="none" w:sz="0" w:space="0" w:color="auto"/>
      </w:divBdr>
    </w:div>
    <w:div w:id="1603954724">
      <w:bodyDiv w:val="1"/>
      <w:marLeft w:val="0"/>
      <w:marRight w:val="0"/>
      <w:marTop w:val="0"/>
      <w:marBottom w:val="0"/>
      <w:divBdr>
        <w:top w:val="none" w:sz="0" w:space="0" w:color="auto"/>
        <w:left w:val="none" w:sz="0" w:space="0" w:color="auto"/>
        <w:bottom w:val="none" w:sz="0" w:space="0" w:color="auto"/>
        <w:right w:val="none" w:sz="0" w:space="0" w:color="auto"/>
      </w:divBdr>
    </w:div>
    <w:div w:id="1605335161">
      <w:bodyDiv w:val="1"/>
      <w:marLeft w:val="0"/>
      <w:marRight w:val="0"/>
      <w:marTop w:val="0"/>
      <w:marBottom w:val="0"/>
      <w:divBdr>
        <w:top w:val="none" w:sz="0" w:space="0" w:color="auto"/>
        <w:left w:val="none" w:sz="0" w:space="0" w:color="auto"/>
        <w:bottom w:val="none" w:sz="0" w:space="0" w:color="auto"/>
        <w:right w:val="none" w:sz="0" w:space="0" w:color="auto"/>
      </w:divBdr>
    </w:div>
    <w:div w:id="1622951339">
      <w:bodyDiv w:val="1"/>
      <w:marLeft w:val="0"/>
      <w:marRight w:val="0"/>
      <w:marTop w:val="0"/>
      <w:marBottom w:val="0"/>
      <w:divBdr>
        <w:top w:val="none" w:sz="0" w:space="0" w:color="auto"/>
        <w:left w:val="none" w:sz="0" w:space="0" w:color="auto"/>
        <w:bottom w:val="none" w:sz="0" w:space="0" w:color="auto"/>
        <w:right w:val="none" w:sz="0" w:space="0" w:color="auto"/>
      </w:divBdr>
    </w:div>
    <w:div w:id="1631012884">
      <w:bodyDiv w:val="1"/>
      <w:marLeft w:val="0"/>
      <w:marRight w:val="0"/>
      <w:marTop w:val="0"/>
      <w:marBottom w:val="0"/>
      <w:divBdr>
        <w:top w:val="none" w:sz="0" w:space="0" w:color="auto"/>
        <w:left w:val="none" w:sz="0" w:space="0" w:color="auto"/>
        <w:bottom w:val="none" w:sz="0" w:space="0" w:color="auto"/>
        <w:right w:val="none" w:sz="0" w:space="0" w:color="auto"/>
      </w:divBdr>
    </w:div>
    <w:div w:id="1632444177">
      <w:bodyDiv w:val="1"/>
      <w:marLeft w:val="0"/>
      <w:marRight w:val="0"/>
      <w:marTop w:val="0"/>
      <w:marBottom w:val="0"/>
      <w:divBdr>
        <w:top w:val="none" w:sz="0" w:space="0" w:color="auto"/>
        <w:left w:val="none" w:sz="0" w:space="0" w:color="auto"/>
        <w:bottom w:val="none" w:sz="0" w:space="0" w:color="auto"/>
        <w:right w:val="none" w:sz="0" w:space="0" w:color="auto"/>
      </w:divBdr>
    </w:div>
    <w:div w:id="1635330083">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6006235">
      <w:bodyDiv w:val="1"/>
      <w:marLeft w:val="0"/>
      <w:marRight w:val="0"/>
      <w:marTop w:val="0"/>
      <w:marBottom w:val="0"/>
      <w:divBdr>
        <w:top w:val="none" w:sz="0" w:space="0" w:color="auto"/>
        <w:left w:val="none" w:sz="0" w:space="0" w:color="auto"/>
        <w:bottom w:val="none" w:sz="0" w:space="0" w:color="auto"/>
        <w:right w:val="none" w:sz="0" w:space="0" w:color="auto"/>
      </w:divBdr>
    </w:div>
    <w:div w:id="1648822267">
      <w:bodyDiv w:val="1"/>
      <w:marLeft w:val="0"/>
      <w:marRight w:val="0"/>
      <w:marTop w:val="0"/>
      <w:marBottom w:val="0"/>
      <w:divBdr>
        <w:top w:val="none" w:sz="0" w:space="0" w:color="auto"/>
        <w:left w:val="none" w:sz="0" w:space="0" w:color="auto"/>
        <w:bottom w:val="none" w:sz="0" w:space="0" w:color="auto"/>
        <w:right w:val="none" w:sz="0" w:space="0" w:color="auto"/>
      </w:divBdr>
    </w:div>
    <w:div w:id="1649434640">
      <w:bodyDiv w:val="1"/>
      <w:marLeft w:val="0"/>
      <w:marRight w:val="0"/>
      <w:marTop w:val="0"/>
      <w:marBottom w:val="0"/>
      <w:divBdr>
        <w:top w:val="none" w:sz="0" w:space="0" w:color="auto"/>
        <w:left w:val="none" w:sz="0" w:space="0" w:color="auto"/>
        <w:bottom w:val="none" w:sz="0" w:space="0" w:color="auto"/>
        <w:right w:val="none" w:sz="0" w:space="0" w:color="auto"/>
      </w:divBdr>
      <w:divsChild>
        <w:div w:id="83839167">
          <w:marLeft w:val="0"/>
          <w:marRight w:val="0"/>
          <w:marTop w:val="0"/>
          <w:marBottom w:val="0"/>
          <w:divBdr>
            <w:top w:val="none" w:sz="0" w:space="0" w:color="auto"/>
            <w:left w:val="none" w:sz="0" w:space="0" w:color="auto"/>
            <w:bottom w:val="none" w:sz="0" w:space="0" w:color="auto"/>
            <w:right w:val="none" w:sz="0" w:space="0" w:color="auto"/>
          </w:divBdr>
        </w:div>
        <w:div w:id="321080701">
          <w:marLeft w:val="0"/>
          <w:marRight w:val="0"/>
          <w:marTop w:val="0"/>
          <w:marBottom w:val="0"/>
          <w:divBdr>
            <w:top w:val="none" w:sz="0" w:space="0" w:color="auto"/>
            <w:left w:val="none" w:sz="0" w:space="0" w:color="auto"/>
            <w:bottom w:val="none" w:sz="0" w:space="0" w:color="auto"/>
            <w:right w:val="none" w:sz="0" w:space="0" w:color="auto"/>
          </w:divBdr>
        </w:div>
        <w:div w:id="1800567020">
          <w:marLeft w:val="0"/>
          <w:marRight w:val="0"/>
          <w:marTop w:val="0"/>
          <w:marBottom w:val="0"/>
          <w:divBdr>
            <w:top w:val="none" w:sz="0" w:space="0" w:color="auto"/>
            <w:left w:val="none" w:sz="0" w:space="0" w:color="auto"/>
            <w:bottom w:val="none" w:sz="0" w:space="0" w:color="auto"/>
            <w:right w:val="none" w:sz="0" w:space="0" w:color="auto"/>
          </w:divBdr>
        </w:div>
      </w:divsChild>
    </w:div>
    <w:div w:id="1652252672">
      <w:bodyDiv w:val="1"/>
      <w:marLeft w:val="0"/>
      <w:marRight w:val="0"/>
      <w:marTop w:val="0"/>
      <w:marBottom w:val="0"/>
      <w:divBdr>
        <w:top w:val="none" w:sz="0" w:space="0" w:color="auto"/>
        <w:left w:val="none" w:sz="0" w:space="0" w:color="auto"/>
        <w:bottom w:val="none" w:sz="0" w:space="0" w:color="auto"/>
        <w:right w:val="none" w:sz="0" w:space="0" w:color="auto"/>
      </w:divBdr>
    </w:div>
    <w:div w:id="1652903380">
      <w:bodyDiv w:val="1"/>
      <w:marLeft w:val="0"/>
      <w:marRight w:val="0"/>
      <w:marTop w:val="0"/>
      <w:marBottom w:val="0"/>
      <w:divBdr>
        <w:top w:val="none" w:sz="0" w:space="0" w:color="auto"/>
        <w:left w:val="none" w:sz="0" w:space="0" w:color="auto"/>
        <w:bottom w:val="none" w:sz="0" w:space="0" w:color="auto"/>
        <w:right w:val="none" w:sz="0" w:space="0" w:color="auto"/>
      </w:divBdr>
    </w:div>
    <w:div w:id="1665159581">
      <w:bodyDiv w:val="1"/>
      <w:marLeft w:val="0"/>
      <w:marRight w:val="0"/>
      <w:marTop w:val="0"/>
      <w:marBottom w:val="0"/>
      <w:divBdr>
        <w:top w:val="none" w:sz="0" w:space="0" w:color="auto"/>
        <w:left w:val="none" w:sz="0" w:space="0" w:color="auto"/>
        <w:bottom w:val="none" w:sz="0" w:space="0" w:color="auto"/>
        <w:right w:val="none" w:sz="0" w:space="0" w:color="auto"/>
      </w:divBdr>
    </w:div>
    <w:div w:id="1669946098">
      <w:bodyDiv w:val="1"/>
      <w:marLeft w:val="0"/>
      <w:marRight w:val="0"/>
      <w:marTop w:val="0"/>
      <w:marBottom w:val="0"/>
      <w:divBdr>
        <w:top w:val="none" w:sz="0" w:space="0" w:color="auto"/>
        <w:left w:val="none" w:sz="0" w:space="0" w:color="auto"/>
        <w:bottom w:val="none" w:sz="0" w:space="0" w:color="auto"/>
        <w:right w:val="none" w:sz="0" w:space="0" w:color="auto"/>
      </w:divBdr>
    </w:div>
    <w:div w:id="1674066734">
      <w:bodyDiv w:val="1"/>
      <w:marLeft w:val="0"/>
      <w:marRight w:val="0"/>
      <w:marTop w:val="0"/>
      <w:marBottom w:val="0"/>
      <w:divBdr>
        <w:top w:val="none" w:sz="0" w:space="0" w:color="auto"/>
        <w:left w:val="none" w:sz="0" w:space="0" w:color="auto"/>
        <w:bottom w:val="none" w:sz="0" w:space="0" w:color="auto"/>
        <w:right w:val="none" w:sz="0" w:space="0" w:color="auto"/>
      </w:divBdr>
    </w:div>
    <w:div w:id="1680959153">
      <w:bodyDiv w:val="1"/>
      <w:marLeft w:val="0"/>
      <w:marRight w:val="0"/>
      <w:marTop w:val="0"/>
      <w:marBottom w:val="0"/>
      <w:divBdr>
        <w:top w:val="none" w:sz="0" w:space="0" w:color="auto"/>
        <w:left w:val="none" w:sz="0" w:space="0" w:color="auto"/>
        <w:bottom w:val="none" w:sz="0" w:space="0" w:color="auto"/>
        <w:right w:val="none" w:sz="0" w:space="0" w:color="auto"/>
      </w:divBdr>
    </w:div>
    <w:div w:id="1683312820">
      <w:bodyDiv w:val="1"/>
      <w:marLeft w:val="0"/>
      <w:marRight w:val="0"/>
      <w:marTop w:val="0"/>
      <w:marBottom w:val="0"/>
      <w:divBdr>
        <w:top w:val="none" w:sz="0" w:space="0" w:color="auto"/>
        <w:left w:val="none" w:sz="0" w:space="0" w:color="auto"/>
        <w:bottom w:val="none" w:sz="0" w:space="0" w:color="auto"/>
        <w:right w:val="none" w:sz="0" w:space="0" w:color="auto"/>
      </w:divBdr>
    </w:div>
    <w:div w:id="1689792659">
      <w:bodyDiv w:val="1"/>
      <w:marLeft w:val="0"/>
      <w:marRight w:val="0"/>
      <w:marTop w:val="0"/>
      <w:marBottom w:val="0"/>
      <w:divBdr>
        <w:top w:val="none" w:sz="0" w:space="0" w:color="auto"/>
        <w:left w:val="none" w:sz="0" w:space="0" w:color="auto"/>
        <w:bottom w:val="none" w:sz="0" w:space="0" w:color="auto"/>
        <w:right w:val="none" w:sz="0" w:space="0" w:color="auto"/>
      </w:divBdr>
    </w:div>
    <w:div w:id="1695039486">
      <w:bodyDiv w:val="1"/>
      <w:marLeft w:val="0"/>
      <w:marRight w:val="0"/>
      <w:marTop w:val="0"/>
      <w:marBottom w:val="0"/>
      <w:divBdr>
        <w:top w:val="none" w:sz="0" w:space="0" w:color="auto"/>
        <w:left w:val="none" w:sz="0" w:space="0" w:color="auto"/>
        <w:bottom w:val="none" w:sz="0" w:space="0" w:color="auto"/>
        <w:right w:val="none" w:sz="0" w:space="0" w:color="auto"/>
      </w:divBdr>
    </w:div>
    <w:div w:id="1703363925">
      <w:bodyDiv w:val="1"/>
      <w:marLeft w:val="0"/>
      <w:marRight w:val="0"/>
      <w:marTop w:val="0"/>
      <w:marBottom w:val="0"/>
      <w:divBdr>
        <w:top w:val="none" w:sz="0" w:space="0" w:color="auto"/>
        <w:left w:val="none" w:sz="0" w:space="0" w:color="auto"/>
        <w:bottom w:val="none" w:sz="0" w:space="0" w:color="auto"/>
        <w:right w:val="none" w:sz="0" w:space="0" w:color="auto"/>
      </w:divBdr>
    </w:div>
    <w:div w:id="1703628176">
      <w:bodyDiv w:val="1"/>
      <w:marLeft w:val="0"/>
      <w:marRight w:val="0"/>
      <w:marTop w:val="0"/>
      <w:marBottom w:val="0"/>
      <w:divBdr>
        <w:top w:val="none" w:sz="0" w:space="0" w:color="auto"/>
        <w:left w:val="none" w:sz="0" w:space="0" w:color="auto"/>
        <w:bottom w:val="none" w:sz="0" w:space="0" w:color="auto"/>
        <w:right w:val="none" w:sz="0" w:space="0" w:color="auto"/>
      </w:divBdr>
    </w:div>
    <w:div w:id="1705523362">
      <w:bodyDiv w:val="1"/>
      <w:marLeft w:val="0"/>
      <w:marRight w:val="0"/>
      <w:marTop w:val="0"/>
      <w:marBottom w:val="0"/>
      <w:divBdr>
        <w:top w:val="none" w:sz="0" w:space="0" w:color="auto"/>
        <w:left w:val="none" w:sz="0" w:space="0" w:color="auto"/>
        <w:bottom w:val="none" w:sz="0" w:space="0" w:color="auto"/>
        <w:right w:val="none" w:sz="0" w:space="0" w:color="auto"/>
      </w:divBdr>
    </w:div>
    <w:div w:id="1712680615">
      <w:bodyDiv w:val="1"/>
      <w:marLeft w:val="0"/>
      <w:marRight w:val="0"/>
      <w:marTop w:val="0"/>
      <w:marBottom w:val="0"/>
      <w:divBdr>
        <w:top w:val="none" w:sz="0" w:space="0" w:color="auto"/>
        <w:left w:val="none" w:sz="0" w:space="0" w:color="auto"/>
        <w:bottom w:val="none" w:sz="0" w:space="0" w:color="auto"/>
        <w:right w:val="none" w:sz="0" w:space="0" w:color="auto"/>
      </w:divBdr>
    </w:div>
    <w:div w:id="1714578494">
      <w:bodyDiv w:val="1"/>
      <w:marLeft w:val="0"/>
      <w:marRight w:val="0"/>
      <w:marTop w:val="0"/>
      <w:marBottom w:val="0"/>
      <w:divBdr>
        <w:top w:val="none" w:sz="0" w:space="0" w:color="auto"/>
        <w:left w:val="none" w:sz="0" w:space="0" w:color="auto"/>
        <w:bottom w:val="none" w:sz="0" w:space="0" w:color="auto"/>
        <w:right w:val="none" w:sz="0" w:space="0" w:color="auto"/>
      </w:divBdr>
    </w:div>
    <w:div w:id="1719669433">
      <w:bodyDiv w:val="1"/>
      <w:marLeft w:val="0"/>
      <w:marRight w:val="0"/>
      <w:marTop w:val="0"/>
      <w:marBottom w:val="0"/>
      <w:divBdr>
        <w:top w:val="none" w:sz="0" w:space="0" w:color="auto"/>
        <w:left w:val="none" w:sz="0" w:space="0" w:color="auto"/>
        <w:bottom w:val="none" w:sz="0" w:space="0" w:color="auto"/>
        <w:right w:val="none" w:sz="0" w:space="0" w:color="auto"/>
      </w:divBdr>
    </w:div>
    <w:div w:id="1734353742">
      <w:bodyDiv w:val="1"/>
      <w:marLeft w:val="0"/>
      <w:marRight w:val="0"/>
      <w:marTop w:val="0"/>
      <w:marBottom w:val="0"/>
      <w:divBdr>
        <w:top w:val="none" w:sz="0" w:space="0" w:color="auto"/>
        <w:left w:val="none" w:sz="0" w:space="0" w:color="auto"/>
        <w:bottom w:val="none" w:sz="0" w:space="0" w:color="auto"/>
        <w:right w:val="none" w:sz="0" w:space="0" w:color="auto"/>
      </w:divBdr>
    </w:div>
    <w:div w:id="1738744930">
      <w:bodyDiv w:val="1"/>
      <w:marLeft w:val="0"/>
      <w:marRight w:val="0"/>
      <w:marTop w:val="0"/>
      <w:marBottom w:val="0"/>
      <w:divBdr>
        <w:top w:val="none" w:sz="0" w:space="0" w:color="auto"/>
        <w:left w:val="none" w:sz="0" w:space="0" w:color="auto"/>
        <w:bottom w:val="none" w:sz="0" w:space="0" w:color="auto"/>
        <w:right w:val="none" w:sz="0" w:space="0" w:color="auto"/>
      </w:divBdr>
    </w:div>
    <w:div w:id="1750228335">
      <w:bodyDiv w:val="1"/>
      <w:marLeft w:val="0"/>
      <w:marRight w:val="0"/>
      <w:marTop w:val="0"/>
      <w:marBottom w:val="0"/>
      <w:divBdr>
        <w:top w:val="none" w:sz="0" w:space="0" w:color="auto"/>
        <w:left w:val="none" w:sz="0" w:space="0" w:color="auto"/>
        <w:bottom w:val="none" w:sz="0" w:space="0" w:color="auto"/>
        <w:right w:val="none" w:sz="0" w:space="0" w:color="auto"/>
      </w:divBdr>
    </w:div>
    <w:div w:id="1750734848">
      <w:bodyDiv w:val="1"/>
      <w:marLeft w:val="0"/>
      <w:marRight w:val="0"/>
      <w:marTop w:val="0"/>
      <w:marBottom w:val="0"/>
      <w:divBdr>
        <w:top w:val="none" w:sz="0" w:space="0" w:color="auto"/>
        <w:left w:val="none" w:sz="0" w:space="0" w:color="auto"/>
        <w:bottom w:val="none" w:sz="0" w:space="0" w:color="auto"/>
        <w:right w:val="none" w:sz="0" w:space="0" w:color="auto"/>
      </w:divBdr>
    </w:div>
    <w:div w:id="1751846386">
      <w:bodyDiv w:val="1"/>
      <w:marLeft w:val="0"/>
      <w:marRight w:val="0"/>
      <w:marTop w:val="0"/>
      <w:marBottom w:val="0"/>
      <w:divBdr>
        <w:top w:val="none" w:sz="0" w:space="0" w:color="auto"/>
        <w:left w:val="none" w:sz="0" w:space="0" w:color="auto"/>
        <w:bottom w:val="none" w:sz="0" w:space="0" w:color="auto"/>
        <w:right w:val="none" w:sz="0" w:space="0" w:color="auto"/>
      </w:divBdr>
    </w:div>
    <w:div w:id="1752502832">
      <w:bodyDiv w:val="1"/>
      <w:marLeft w:val="0"/>
      <w:marRight w:val="0"/>
      <w:marTop w:val="0"/>
      <w:marBottom w:val="0"/>
      <w:divBdr>
        <w:top w:val="none" w:sz="0" w:space="0" w:color="auto"/>
        <w:left w:val="none" w:sz="0" w:space="0" w:color="auto"/>
        <w:bottom w:val="none" w:sz="0" w:space="0" w:color="auto"/>
        <w:right w:val="none" w:sz="0" w:space="0" w:color="auto"/>
      </w:divBdr>
    </w:div>
    <w:div w:id="1758359423">
      <w:bodyDiv w:val="1"/>
      <w:marLeft w:val="0"/>
      <w:marRight w:val="0"/>
      <w:marTop w:val="0"/>
      <w:marBottom w:val="0"/>
      <w:divBdr>
        <w:top w:val="none" w:sz="0" w:space="0" w:color="auto"/>
        <w:left w:val="none" w:sz="0" w:space="0" w:color="auto"/>
        <w:bottom w:val="none" w:sz="0" w:space="0" w:color="auto"/>
        <w:right w:val="none" w:sz="0" w:space="0" w:color="auto"/>
      </w:divBdr>
    </w:div>
    <w:div w:id="1759055304">
      <w:bodyDiv w:val="1"/>
      <w:marLeft w:val="0"/>
      <w:marRight w:val="0"/>
      <w:marTop w:val="0"/>
      <w:marBottom w:val="0"/>
      <w:divBdr>
        <w:top w:val="none" w:sz="0" w:space="0" w:color="auto"/>
        <w:left w:val="none" w:sz="0" w:space="0" w:color="auto"/>
        <w:bottom w:val="none" w:sz="0" w:space="0" w:color="auto"/>
        <w:right w:val="none" w:sz="0" w:space="0" w:color="auto"/>
      </w:divBdr>
    </w:div>
    <w:div w:id="1769037244">
      <w:bodyDiv w:val="1"/>
      <w:marLeft w:val="0"/>
      <w:marRight w:val="0"/>
      <w:marTop w:val="0"/>
      <w:marBottom w:val="0"/>
      <w:divBdr>
        <w:top w:val="none" w:sz="0" w:space="0" w:color="auto"/>
        <w:left w:val="none" w:sz="0" w:space="0" w:color="auto"/>
        <w:bottom w:val="none" w:sz="0" w:space="0" w:color="auto"/>
        <w:right w:val="none" w:sz="0" w:space="0" w:color="auto"/>
      </w:divBdr>
    </w:div>
    <w:div w:id="1771272635">
      <w:bodyDiv w:val="1"/>
      <w:marLeft w:val="0"/>
      <w:marRight w:val="0"/>
      <w:marTop w:val="0"/>
      <w:marBottom w:val="0"/>
      <w:divBdr>
        <w:top w:val="none" w:sz="0" w:space="0" w:color="auto"/>
        <w:left w:val="none" w:sz="0" w:space="0" w:color="auto"/>
        <w:bottom w:val="none" w:sz="0" w:space="0" w:color="auto"/>
        <w:right w:val="none" w:sz="0" w:space="0" w:color="auto"/>
      </w:divBdr>
    </w:div>
    <w:div w:id="1772777652">
      <w:bodyDiv w:val="1"/>
      <w:marLeft w:val="0"/>
      <w:marRight w:val="0"/>
      <w:marTop w:val="0"/>
      <w:marBottom w:val="0"/>
      <w:divBdr>
        <w:top w:val="none" w:sz="0" w:space="0" w:color="auto"/>
        <w:left w:val="none" w:sz="0" w:space="0" w:color="auto"/>
        <w:bottom w:val="none" w:sz="0" w:space="0" w:color="auto"/>
        <w:right w:val="none" w:sz="0" w:space="0" w:color="auto"/>
      </w:divBdr>
    </w:div>
    <w:div w:id="1774008781">
      <w:bodyDiv w:val="1"/>
      <w:marLeft w:val="0"/>
      <w:marRight w:val="0"/>
      <w:marTop w:val="0"/>
      <w:marBottom w:val="0"/>
      <w:divBdr>
        <w:top w:val="none" w:sz="0" w:space="0" w:color="auto"/>
        <w:left w:val="none" w:sz="0" w:space="0" w:color="auto"/>
        <w:bottom w:val="none" w:sz="0" w:space="0" w:color="auto"/>
        <w:right w:val="none" w:sz="0" w:space="0" w:color="auto"/>
      </w:divBdr>
    </w:div>
    <w:div w:id="1775248427">
      <w:bodyDiv w:val="1"/>
      <w:marLeft w:val="0"/>
      <w:marRight w:val="0"/>
      <w:marTop w:val="0"/>
      <w:marBottom w:val="0"/>
      <w:divBdr>
        <w:top w:val="none" w:sz="0" w:space="0" w:color="auto"/>
        <w:left w:val="none" w:sz="0" w:space="0" w:color="auto"/>
        <w:bottom w:val="none" w:sz="0" w:space="0" w:color="auto"/>
        <w:right w:val="none" w:sz="0" w:space="0" w:color="auto"/>
      </w:divBdr>
    </w:div>
    <w:div w:id="1788305431">
      <w:bodyDiv w:val="1"/>
      <w:marLeft w:val="0"/>
      <w:marRight w:val="0"/>
      <w:marTop w:val="0"/>
      <w:marBottom w:val="0"/>
      <w:divBdr>
        <w:top w:val="none" w:sz="0" w:space="0" w:color="auto"/>
        <w:left w:val="none" w:sz="0" w:space="0" w:color="auto"/>
        <w:bottom w:val="none" w:sz="0" w:space="0" w:color="auto"/>
        <w:right w:val="none" w:sz="0" w:space="0" w:color="auto"/>
      </w:divBdr>
    </w:div>
    <w:div w:id="1789466806">
      <w:bodyDiv w:val="1"/>
      <w:marLeft w:val="0"/>
      <w:marRight w:val="0"/>
      <w:marTop w:val="0"/>
      <w:marBottom w:val="0"/>
      <w:divBdr>
        <w:top w:val="none" w:sz="0" w:space="0" w:color="auto"/>
        <w:left w:val="none" w:sz="0" w:space="0" w:color="auto"/>
        <w:bottom w:val="none" w:sz="0" w:space="0" w:color="auto"/>
        <w:right w:val="none" w:sz="0" w:space="0" w:color="auto"/>
      </w:divBdr>
    </w:div>
    <w:div w:id="1792017777">
      <w:bodyDiv w:val="1"/>
      <w:marLeft w:val="0"/>
      <w:marRight w:val="0"/>
      <w:marTop w:val="0"/>
      <w:marBottom w:val="0"/>
      <w:divBdr>
        <w:top w:val="none" w:sz="0" w:space="0" w:color="auto"/>
        <w:left w:val="none" w:sz="0" w:space="0" w:color="auto"/>
        <w:bottom w:val="none" w:sz="0" w:space="0" w:color="auto"/>
        <w:right w:val="none" w:sz="0" w:space="0" w:color="auto"/>
      </w:divBdr>
    </w:div>
    <w:div w:id="1803041418">
      <w:bodyDiv w:val="1"/>
      <w:marLeft w:val="0"/>
      <w:marRight w:val="0"/>
      <w:marTop w:val="0"/>
      <w:marBottom w:val="0"/>
      <w:divBdr>
        <w:top w:val="none" w:sz="0" w:space="0" w:color="auto"/>
        <w:left w:val="none" w:sz="0" w:space="0" w:color="auto"/>
        <w:bottom w:val="none" w:sz="0" w:space="0" w:color="auto"/>
        <w:right w:val="none" w:sz="0" w:space="0" w:color="auto"/>
      </w:divBdr>
    </w:div>
    <w:div w:id="1805080988">
      <w:bodyDiv w:val="1"/>
      <w:marLeft w:val="0"/>
      <w:marRight w:val="0"/>
      <w:marTop w:val="0"/>
      <w:marBottom w:val="0"/>
      <w:divBdr>
        <w:top w:val="none" w:sz="0" w:space="0" w:color="auto"/>
        <w:left w:val="none" w:sz="0" w:space="0" w:color="auto"/>
        <w:bottom w:val="none" w:sz="0" w:space="0" w:color="auto"/>
        <w:right w:val="none" w:sz="0" w:space="0" w:color="auto"/>
      </w:divBdr>
    </w:div>
    <w:div w:id="1824467867">
      <w:bodyDiv w:val="1"/>
      <w:marLeft w:val="0"/>
      <w:marRight w:val="0"/>
      <w:marTop w:val="0"/>
      <w:marBottom w:val="0"/>
      <w:divBdr>
        <w:top w:val="none" w:sz="0" w:space="0" w:color="auto"/>
        <w:left w:val="none" w:sz="0" w:space="0" w:color="auto"/>
        <w:bottom w:val="none" w:sz="0" w:space="0" w:color="auto"/>
        <w:right w:val="none" w:sz="0" w:space="0" w:color="auto"/>
      </w:divBdr>
    </w:div>
    <w:div w:id="1825855802">
      <w:bodyDiv w:val="1"/>
      <w:marLeft w:val="0"/>
      <w:marRight w:val="0"/>
      <w:marTop w:val="0"/>
      <w:marBottom w:val="0"/>
      <w:divBdr>
        <w:top w:val="none" w:sz="0" w:space="0" w:color="auto"/>
        <w:left w:val="none" w:sz="0" w:space="0" w:color="auto"/>
        <w:bottom w:val="none" w:sz="0" w:space="0" w:color="auto"/>
        <w:right w:val="none" w:sz="0" w:space="0" w:color="auto"/>
      </w:divBdr>
    </w:div>
    <w:div w:id="1827475409">
      <w:bodyDiv w:val="1"/>
      <w:marLeft w:val="0"/>
      <w:marRight w:val="0"/>
      <w:marTop w:val="0"/>
      <w:marBottom w:val="0"/>
      <w:divBdr>
        <w:top w:val="none" w:sz="0" w:space="0" w:color="auto"/>
        <w:left w:val="none" w:sz="0" w:space="0" w:color="auto"/>
        <w:bottom w:val="none" w:sz="0" w:space="0" w:color="auto"/>
        <w:right w:val="none" w:sz="0" w:space="0" w:color="auto"/>
      </w:divBdr>
    </w:div>
    <w:div w:id="1834560426">
      <w:bodyDiv w:val="1"/>
      <w:marLeft w:val="0"/>
      <w:marRight w:val="0"/>
      <w:marTop w:val="0"/>
      <w:marBottom w:val="0"/>
      <w:divBdr>
        <w:top w:val="none" w:sz="0" w:space="0" w:color="auto"/>
        <w:left w:val="none" w:sz="0" w:space="0" w:color="auto"/>
        <w:bottom w:val="none" w:sz="0" w:space="0" w:color="auto"/>
        <w:right w:val="none" w:sz="0" w:space="0" w:color="auto"/>
      </w:divBdr>
    </w:div>
    <w:div w:id="1841000562">
      <w:bodyDiv w:val="1"/>
      <w:marLeft w:val="0"/>
      <w:marRight w:val="0"/>
      <w:marTop w:val="0"/>
      <w:marBottom w:val="0"/>
      <w:divBdr>
        <w:top w:val="none" w:sz="0" w:space="0" w:color="auto"/>
        <w:left w:val="none" w:sz="0" w:space="0" w:color="auto"/>
        <w:bottom w:val="none" w:sz="0" w:space="0" w:color="auto"/>
        <w:right w:val="none" w:sz="0" w:space="0" w:color="auto"/>
      </w:divBdr>
    </w:div>
    <w:div w:id="1842161087">
      <w:bodyDiv w:val="1"/>
      <w:marLeft w:val="0"/>
      <w:marRight w:val="0"/>
      <w:marTop w:val="0"/>
      <w:marBottom w:val="0"/>
      <w:divBdr>
        <w:top w:val="none" w:sz="0" w:space="0" w:color="auto"/>
        <w:left w:val="none" w:sz="0" w:space="0" w:color="auto"/>
        <w:bottom w:val="none" w:sz="0" w:space="0" w:color="auto"/>
        <w:right w:val="none" w:sz="0" w:space="0" w:color="auto"/>
      </w:divBdr>
    </w:div>
    <w:div w:id="1847281841">
      <w:bodyDiv w:val="1"/>
      <w:marLeft w:val="0"/>
      <w:marRight w:val="0"/>
      <w:marTop w:val="0"/>
      <w:marBottom w:val="0"/>
      <w:divBdr>
        <w:top w:val="none" w:sz="0" w:space="0" w:color="auto"/>
        <w:left w:val="none" w:sz="0" w:space="0" w:color="auto"/>
        <w:bottom w:val="none" w:sz="0" w:space="0" w:color="auto"/>
        <w:right w:val="none" w:sz="0" w:space="0" w:color="auto"/>
      </w:divBdr>
    </w:div>
    <w:div w:id="1851406953">
      <w:bodyDiv w:val="1"/>
      <w:marLeft w:val="0"/>
      <w:marRight w:val="0"/>
      <w:marTop w:val="0"/>
      <w:marBottom w:val="0"/>
      <w:divBdr>
        <w:top w:val="none" w:sz="0" w:space="0" w:color="auto"/>
        <w:left w:val="none" w:sz="0" w:space="0" w:color="auto"/>
        <w:bottom w:val="none" w:sz="0" w:space="0" w:color="auto"/>
        <w:right w:val="none" w:sz="0" w:space="0" w:color="auto"/>
      </w:divBdr>
    </w:div>
    <w:div w:id="1852911982">
      <w:bodyDiv w:val="1"/>
      <w:marLeft w:val="0"/>
      <w:marRight w:val="0"/>
      <w:marTop w:val="0"/>
      <w:marBottom w:val="0"/>
      <w:divBdr>
        <w:top w:val="none" w:sz="0" w:space="0" w:color="auto"/>
        <w:left w:val="none" w:sz="0" w:space="0" w:color="auto"/>
        <w:bottom w:val="none" w:sz="0" w:space="0" w:color="auto"/>
        <w:right w:val="none" w:sz="0" w:space="0" w:color="auto"/>
      </w:divBdr>
    </w:div>
    <w:div w:id="1862863126">
      <w:bodyDiv w:val="1"/>
      <w:marLeft w:val="0"/>
      <w:marRight w:val="0"/>
      <w:marTop w:val="0"/>
      <w:marBottom w:val="0"/>
      <w:divBdr>
        <w:top w:val="none" w:sz="0" w:space="0" w:color="auto"/>
        <w:left w:val="none" w:sz="0" w:space="0" w:color="auto"/>
        <w:bottom w:val="none" w:sz="0" w:space="0" w:color="auto"/>
        <w:right w:val="none" w:sz="0" w:space="0" w:color="auto"/>
      </w:divBdr>
    </w:div>
    <w:div w:id="1874994865">
      <w:bodyDiv w:val="1"/>
      <w:marLeft w:val="0"/>
      <w:marRight w:val="0"/>
      <w:marTop w:val="0"/>
      <w:marBottom w:val="0"/>
      <w:divBdr>
        <w:top w:val="none" w:sz="0" w:space="0" w:color="auto"/>
        <w:left w:val="none" w:sz="0" w:space="0" w:color="auto"/>
        <w:bottom w:val="none" w:sz="0" w:space="0" w:color="auto"/>
        <w:right w:val="none" w:sz="0" w:space="0" w:color="auto"/>
      </w:divBdr>
    </w:div>
    <w:div w:id="1879731609">
      <w:bodyDiv w:val="1"/>
      <w:marLeft w:val="0"/>
      <w:marRight w:val="0"/>
      <w:marTop w:val="0"/>
      <w:marBottom w:val="0"/>
      <w:divBdr>
        <w:top w:val="none" w:sz="0" w:space="0" w:color="auto"/>
        <w:left w:val="none" w:sz="0" w:space="0" w:color="auto"/>
        <w:bottom w:val="none" w:sz="0" w:space="0" w:color="auto"/>
        <w:right w:val="none" w:sz="0" w:space="0" w:color="auto"/>
      </w:divBdr>
    </w:div>
    <w:div w:id="1888181981">
      <w:bodyDiv w:val="1"/>
      <w:marLeft w:val="0"/>
      <w:marRight w:val="0"/>
      <w:marTop w:val="0"/>
      <w:marBottom w:val="0"/>
      <w:divBdr>
        <w:top w:val="none" w:sz="0" w:space="0" w:color="auto"/>
        <w:left w:val="none" w:sz="0" w:space="0" w:color="auto"/>
        <w:bottom w:val="none" w:sz="0" w:space="0" w:color="auto"/>
        <w:right w:val="none" w:sz="0" w:space="0" w:color="auto"/>
      </w:divBdr>
    </w:div>
    <w:div w:id="1889219273">
      <w:bodyDiv w:val="1"/>
      <w:marLeft w:val="0"/>
      <w:marRight w:val="0"/>
      <w:marTop w:val="0"/>
      <w:marBottom w:val="0"/>
      <w:divBdr>
        <w:top w:val="none" w:sz="0" w:space="0" w:color="auto"/>
        <w:left w:val="none" w:sz="0" w:space="0" w:color="auto"/>
        <w:bottom w:val="none" w:sz="0" w:space="0" w:color="auto"/>
        <w:right w:val="none" w:sz="0" w:space="0" w:color="auto"/>
      </w:divBdr>
    </w:div>
    <w:div w:id="1891963427">
      <w:bodyDiv w:val="1"/>
      <w:marLeft w:val="0"/>
      <w:marRight w:val="0"/>
      <w:marTop w:val="0"/>
      <w:marBottom w:val="0"/>
      <w:divBdr>
        <w:top w:val="none" w:sz="0" w:space="0" w:color="auto"/>
        <w:left w:val="none" w:sz="0" w:space="0" w:color="auto"/>
        <w:bottom w:val="none" w:sz="0" w:space="0" w:color="auto"/>
        <w:right w:val="none" w:sz="0" w:space="0" w:color="auto"/>
      </w:divBdr>
    </w:div>
    <w:div w:id="1897662028">
      <w:bodyDiv w:val="1"/>
      <w:marLeft w:val="0"/>
      <w:marRight w:val="0"/>
      <w:marTop w:val="0"/>
      <w:marBottom w:val="0"/>
      <w:divBdr>
        <w:top w:val="none" w:sz="0" w:space="0" w:color="auto"/>
        <w:left w:val="none" w:sz="0" w:space="0" w:color="auto"/>
        <w:bottom w:val="none" w:sz="0" w:space="0" w:color="auto"/>
        <w:right w:val="none" w:sz="0" w:space="0" w:color="auto"/>
      </w:divBdr>
    </w:div>
    <w:div w:id="1898513005">
      <w:bodyDiv w:val="1"/>
      <w:marLeft w:val="0"/>
      <w:marRight w:val="0"/>
      <w:marTop w:val="0"/>
      <w:marBottom w:val="0"/>
      <w:divBdr>
        <w:top w:val="none" w:sz="0" w:space="0" w:color="auto"/>
        <w:left w:val="none" w:sz="0" w:space="0" w:color="auto"/>
        <w:bottom w:val="none" w:sz="0" w:space="0" w:color="auto"/>
        <w:right w:val="none" w:sz="0" w:space="0" w:color="auto"/>
      </w:divBdr>
    </w:div>
    <w:div w:id="1903981067">
      <w:bodyDiv w:val="1"/>
      <w:marLeft w:val="0"/>
      <w:marRight w:val="0"/>
      <w:marTop w:val="0"/>
      <w:marBottom w:val="0"/>
      <w:divBdr>
        <w:top w:val="none" w:sz="0" w:space="0" w:color="auto"/>
        <w:left w:val="none" w:sz="0" w:space="0" w:color="auto"/>
        <w:bottom w:val="none" w:sz="0" w:space="0" w:color="auto"/>
        <w:right w:val="none" w:sz="0" w:space="0" w:color="auto"/>
      </w:divBdr>
    </w:div>
    <w:div w:id="1904214292">
      <w:bodyDiv w:val="1"/>
      <w:marLeft w:val="0"/>
      <w:marRight w:val="0"/>
      <w:marTop w:val="0"/>
      <w:marBottom w:val="0"/>
      <w:divBdr>
        <w:top w:val="none" w:sz="0" w:space="0" w:color="auto"/>
        <w:left w:val="none" w:sz="0" w:space="0" w:color="auto"/>
        <w:bottom w:val="none" w:sz="0" w:space="0" w:color="auto"/>
        <w:right w:val="none" w:sz="0" w:space="0" w:color="auto"/>
      </w:divBdr>
    </w:div>
    <w:div w:id="1908570839">
      <w:bodyDiv w:val="1"/>
      <w:marLeft w:val="0"/>
      <w:marRight w:val="0"/>
      <w:marTop w:val="0"/>
      <w:marBottom w:val="0"/>
      <w:divBdr>
        <w:top w:val="none" w:sz="0" w:space="0" w:color="auto"/>
        <w:left w:val="none" w:sz="0" w:space="0" w:color="auto"/>
        <w:bottom w:val="none" w:sz="0" w:space="0" w:color="auto"/>
        <w:right w:val="none" w:sz="0" w:space="0" w:color="auto"/>
      </w:divBdr>
    </w:div>
    <w:div w:id="1909413555">
      <w:bodyDiv w:val="1"/>
      <w:marLeft w:val="0"/>
      <w:marRight w:val="0"/>
      <w:marTop w:val="0"/>
      <w:marBottom w:val="0"/>
      <w:divBdr>
        <w:top w:val="none" w:sz="0" w:space="0" w:color="auto"/>
        <w:left w:val="none" w:sz="0" w:space="0" w:color="auto"/>
        <w:bottom w:val="none" w:sz="0" w:space="0" w:color="auto"/>
        <w:right w:val="none" w:sz="0" w:space="0" w:color="auto"/>
      </w:divBdr>
    </w:div>
    <w:div w:id="1911577615">
      <w:bodyDiv w:val="1"/>
      <w:marLeft w:val="0"/>
      <w:marRight w:val="0"/>
      <w:marTop w:val="0"/>
      <w:marBottom w:val="0"/>
      <w:divBdr>
        <w:top w:val="none" w:sz="0" w:space="0" w:color="auto"/>
        <w:left w:val="none" w:sz="0" w:space="0" w:color="auto"/>
        <w:bottom w:val="none" w:sz="0" w:space="0" w:color="auto"/>
        <w:right w:val="none" w:sz="0" w:space="0" w:color="auto"/>
      </w:divBdr>
    </w:div>
    <w:div w:id="1928346722">
      <w:bodyDiv w:val="1"/>
      <w:marLeft w:val="0"/>
      <w:marRight w:val="0"/>
      <w:marTop w:val="0"/>
      <w:marBottom w:val="0"/>
      <w:divBdr>
        <w:top w:val="none" w:sz="0" w:space="0" w:color="auto"/>
        <w:left w:val="none" w:sz="0" w:space="0" w:color="auto"/>
        <w:bottom w:val="none" w:sz="0" w:space="0" w:color="auto"/>
        <w:right w:val="none" w:sz="0" w:space="0" w:color="auto"/>
      </w:divBdr>
    </w:div>
    <w:div w:id="1937900140">
      <w:bodyDiv w:val="1"/>
      <w:marLeft w:val="0"/>
      <w:marRight w:val="0"/>
      <w:marTop w:val="0"/>
      <w:marBottom w:val="0"/>
      <w:divBdr>
        <w:top w:val="none" w:sz="0" w:space="0" w:color="auto"/>
        <w:left w:val="none" w:sz="0" w:space="0" w:color="auto"/>
        <w:bottom w:val="none" w:sz="0" w:space="0" w:color="auto"/>
        <w:right w:val="none" w:sz="0" w:space="0" w:color="auto"/>
      </w:divBdr>
    </w:div>
    <w:div w:id="1942755561">
      <w:bodyDiv w:val="1"/>
      <w:marLeft w:val="0"/>
      <w:marRight w:val="0"/>
      <w:marTop w:val="0"/>
      <w:marBottom w:val="0"/>
      <w:divBdr>
        <w:top w:val="none" w:sz="0" w:space="0" w:color="auto"/>
        <w:left w:val="none" w:sz="0" w:space="0" w:color="auto"/>
        <w:bottom w:val="none" w:sz="0" w:space="0" w:color="auto"/>
        <w:right w:val="none" w:sz="0" w:space="0" w:color="auto"/>
      </w:divBdr>
    </w:div>
    <w:div w:id="1946451327">
      <w:bodyDiv w:val="1"/>
      <w:marLeft w:val="0"/>
      <w:marRight w:val="0"/>
      <w:marTop w:val="0"/>
      <w:marBottom w:val="0"/>
      <w:divBdr>
        <w:top w:val="none" w:sz="0" w:space="0" w:color="auto"/>
        <w:left w:val="none" w:sz="0" w:space="0" w:color="auto"/>
        <w:bottom w:val="none" w:sz="0" w:space="0" w:color="auto"/>
        <w:right w:val="none" w:sz="0" w:space="0" w:color="auto"/>
      </w:divBdr>
    </w:div>
    <w:div w:id="1950315920">
      <w:bodyDiv w:val="1"/>
      <w:marLeft w:val="0"/>
      <w:marRight w:val="0"/>
      <w:marTop w:val="0"/>
      <w:marBottom w:val="0"/>
      <w:divBdr>
        <w:top w:val="none" w:sz="0" w:space="0" w:color="auto"/>
        <w:left w:val="none" w:sz="0" w:space="0" w:color="auto"/>
        <w:bottom w:val="none" w:sz="0" w:space="0" w:color="auto"/>
        <w:right w:val="none" w:sz="0" w:space="0" w:color="auto"/>
      </w:divBdr>
    </w:div>
    <w:div w:id="1961450854">
      <w:bodyDiv w:val="1"/>
      <w:marLeft w:val="0"/>
      <w:marRight w:val="0"/>
      <w:marTop w:val="0"/>
      <w:marBottom w:val="0"/>
      <w:divBdr>
        <w:top w:val="none" w:sz="0" w:space="0" w:color="auto"/>
        <w:left w:val="none" w:sz="0" w:space="0" w:color="auto"/>
        <w:bottom w:val="none" w:sz="0" w:space="0" w:color="auto"/>
        <w:right w:val="none" w:sz="0" w:space="0" w:color="auto"/>
      </w:divBdr>
    </w:div>
    <w:div w:id="1979525718">
      <w:bodyDiv w:val="1"/>
      <w:marLeft w:val="0"/>
      <w:marRight w:val="0"/>
      <w:marTop w:val="0"/>
      <w:marBottom w:val="0"/>
      <w:divBdr>
        <w:top w:val="none" w:sz="0" w:space="0" w:color="auto"/>
        <w:left w:val="none" w:sz="0" w:space="0" w:color="auto"/>
        <w:bottom w:val="none" w:sz="0" w:space="0" w:color="auto"/>
        <w:right w:val="none" w:sz="0" w:space="0" w:color="auto"/>
      </w:divBdr>
    </w:div>
    <w:div w:id="1982996978">
      <w:bodyDiv w:val="1"/>
      <w:marLeft w:val="0"/>
      <w:marRight w:val="0"/>
      <w:marTop w:val="0"/>
      <w:marBottom w:val="0"/>
      <w:divBdr>
        <w:top w:val="none" w:sz="0" w:space="0" w:color="auto"/>
        <w:left w:val="none" w:sz="0" w:space="0" w:color="auto"/>
        <w:bottom w:val="none" w:sz="0" w:space="0" w:color="auto"/>
        <w:right w:val="none" w:sz="0" w:space="0" w:color="auto"/>
      </w:divBdr>
    </w:div>
    <w:div w:id="1988699890">
      <w:bodyDiv w:val="1"/>
      <w:marLeft w:val="0"/>
      <w:marRight w:val="0"/>
      <w:marTop w:val="0"/>
      <w:marBottom w:val="0"/>
      <w:divBdr>
        <w:top w:val="none" w:sz="0" w:space="0" w:color="auto"/>
        <w:left w:val="none" w:sz="0" w:space="0" w:color="auto"/>
        <w:bottom w:val="none" w:sz="0" w:space="0" w:color="auto"/>
        <w:right w:val="none" w:sz="0" w:space="0" w:color="auto"/>
      </w:divBdr>
    </w:div>
    <w:div w:id="1989631607">
      <w:bodyDiv w:val="1"/>
      <w:marLeft w:val="0"/>
      <w:marRight w:val="0"/>
      <w:marTop w:val="0"/>
      <w:marBottom w:val="0"/>
      <w:divBdr>
        <w:top w:val="none" w:sz="0" w:space="0" w:color="auto"/>
        <w:left w:val="none" w:sz="0" w:space="0" w:color="auto"/>
        <w:bottom w:val="none" w:sz="0" w:space="0" w:color="auto"/>
        <w:right w:val="none" w:sz="0" w:space="0" w:color="auto"/>
      </w:divBdr>
    </w:div>
    <w:div w:id="1990162816">
      <w:bodyDiv w:val="1"/>
      <w:marLeft w:val="0"/>
      <w:marRight w:val="0"/>
      <w:marTop w:val="0"/>
      <w:marBottom w:val="0"/>
      <w:divBdr>
        <w:top w:val="none" w:sz="0" w:space="0" w:color="auto"/>
        <w:left w:val="none" w:sz="0" w:space="0" w:color="auto"/>
        <w:bottom w:val="none" w:sz="0" w:space="0" w:color="auto"/>
        <w:right w:val="none" w:sz="0" w:space="0" w:color="auto"/>
      </w:divBdr>
    </w:div>
    <w:div w:id="2002273796">
      <w:bodyDiv w:val="1"/>
      <w:marLeft w:val="0"/>
      <w:marRight w:val="0"/>
      <w:marTop w:val="0"/>
      <w:marBottom w:val="0"/>
      <w:divBdr>
        <w:top w:val="none" w:sz="0" w:space="0" w:color="auto"/>
        <w:left w:val="none" w:sz="0" w:space="0" w:color="auto"/>
        <w:bottom w:val="none" w:sz="0" w:space="0" w:color="auto"/>
        <w:right w:val="none" w:sz="0" w:space="0" w:color="auto"/>
      </w:divBdr>
    </w:div>
    <w:div w:id="2024431341">
      <w:bodyDiv w:val="1"/>
      <w:marLeft w:val="0"/>
      <w:marRight w:val="0"/>
      <w:marTop w:val="0"/>
      <w:marBottom w:val="0"/>
      <w:divBdr>
        <w:top w:val="none" w:sz="0" w:space="0" w:color="auto"/>
        <w:left w:val="none" w:sz="0" w:space="0" w:color="auto"/>
        <w:bottom w:val="none" w:sz="0" w:space="0" w:color="auto"/>
        <w:right w:val="none" w:sz="0" w:space="0" w:color="auto"/>
      </w:divBdr>
    </w:div>
    <w:div w:id="2030332223">
      <w:bodyDiv w:val="1"/>
      <w:marLeft w:val="0"/>
      <w:marRight w:val="0"/>
      <w:marTop w:val="0"/>
      <w:marBottom w:val="0"/>
      <w:divBdr>
        <w:top w:val="none" w:sz="0" w:space="0" w:color="auto"/>
        <w:left w:val="none" w:sz="0" w:space="0" w:color="auto"/>
        <w:bottom w:val="none" w:sz="0" w:space="0" w:color="auto"/>
        <w:right w:val="none" w:sz="0" w:space="0" w:color="auto"/>
      </w:divBdr>
    </w:div>
    <w:div w:id="2031295221">
      <w:bodyDiv w:val="1"/>
      <w:marLeft w:val="0"/>
      <w:marRight w:val="0"/>
      <w:marTop w:val="0"/>
      <w:marBottom w:val="0"/>
      <w:divBdr>
        <w:top w:val="none" w:sz="0" w:space="0" w:color="auto"/>
        <w:left w:val="none" w:sz="0" w:space="0" w:color="auto"/>
        <w:bottom w:val="none" w:sz="0" w:space="0" w:color="auto"/>
        <w:right w:val="none" w:sz="0" w:space="0" w:color="auto"/>
      </w:divBdr>
    </w:div>
    <w:div w:id="2034459833">
      <w:bodyDiv w:val="1"/>
      <w:marLeft w:val="0"/>
      <w:marRight w:val="0"/>
      <w:marTop w:val="0"/>
      <w:marBottom w:val="0"/>
      <w:divBdr>
        <w:top w:val="none" w:sz="0" w:space="0" w:color="auto"/>
        <w:left w:val="none" w:sz="0" w:space="0" w:color="auto"/>
        <w:bottom w:val="none" w:sz="0" w:space="0" w:color="auto"/>
        <w:right w:val="none" w:sz="0" w:space="0" w:color="auto"/>
      </w:divBdr>
    </w:div>
    <w:div w:id="2035497809">
      <w:bodyDiv w:val="1"/>
      <w:marLeft w:val="0"/>
      <w:marRight w:val="0"/>
      <w:marTop w:val="0"/>
      <w:marBottom w:val="0"/>
      <w:divBdr>
        <w:top w:val="none" w:sz="0" w:space="0" w:color="auto"/>
        <w:left w:val="none" w:sz="0" w:space="0" w:color="auto"/>
        <w:bottom w:val="none" w:sz="0" w:space="0" w:color="auto"/>
        <w:right w:val="none" w:sz="0" w:space="0" w:color="auto"/>
      </w:divBdr>
    </w:div>
    <w:div w:id="2042658432">
      <w:bodyDiv w:val="1"/>
      <w:marLeft w:val="0"/>
      <w:marRight w:val="0"/>
      <w:marTop w:val="0"/>
      <w:marBottom w:val="0"/>
      <w:divBdr>
        <w:top w:val="none" w:sz="0" w:space="0" w:color="auto"/>
        <w:left w:val="none" w:sz="0" w:space="0" w:color="auto"/>
        <w:bottom w:val="none" w:sz="0" w:space="0" w:color="auto"/>
        <w:right w:val="none" w:sz="0" w:space="0" w:color="auto"/>
      </w:divBdr>
    </w:div>
    <w:div w:id="2054692642">
      <w:bodyDiv w:val="1"/>
      <w:marLeft w:val="0"/>
      <w:marRight w:val="0"/>
      <w:marTop w:val="0"/>
      <w:marBottom w:val="0"/>
      <w:divBdr>
        <w:top w:val="none" w:sz="0" w:space="0" w:color="auto"/>
        <w:left w:val="none" w:sz="0" w:space="0" w:color="auto"/>
        <w:bottom w:val="none" w:sz="0" w:space="0" w:color="auto"/>
        <w:right w:val="none" w:sz="0" w:space="0" w:color="auto"/>
      </w:divBdr>
    </w:div>
    <w:div w:id="2059276244">
      <w:bodyDiv w:val="1"/>
      <w:marLeft w:val="0"/>
      <w:marRight w:val="0"/>
      <w:marTop w:val="0"/>
      <w:marBottom w:val="0"/>
      <w:divBdr>
        <w:top w:val="none" w:sz="0" w:space="0" w:color="auto"/>
        <w:left w:val="none" w:sz="0" w:space="0" w:color="auto"/>
        <w:bottom w:val="none" w:sz="0" w:space="0" w:color="auto"/>
        <w:right w:val="none" w:sz="0" w:space="0" w:color="auto"/>
      </w:divBdr>
    </w:div>
    <w:div w:id="2064210185">
      <w:bodyDiv w:val="1"/>
      <w:marLeft w:val="0"/>
      <w:marRight w:val="0"/>
      <w:marTop w:val="0"/>
      <w:marBottom w:val="0"/>
      <w:divBdr>
        <w:top w:val="none" w:sz="0" w:space="0" w:color="auto"/>
        <w:left w:val="none" w:sz="0" w:space="0" w:color="auto"/>
        <w:bottom w:val="none" w:sz="0" w:space="0" w:color="auto"/>
        <w:right w:val="none" w:sz="0" w:space="0" w:color="auto"/>
      </w:divBdr>
    </w:div>
    <w:div w:id="2064523944">
      <w:bodyDiv w:val="1"/>
      <w:marLeft w:val="0"/>
      <w:marRight w:val="0"/>
      <w:marTop w:val="0"/>
      <w:marBottom w:val="0"/>
      <w:divBdr>
        <w:top w:val="none" w:sz="0" w:space="0" w:color="auto"/>
        <w:left w:val="none" w:sz="0" w:space="0" w:color="auto"/>
        <w:bottom w:val="none" w:sz="0" w:space="0" w:color="auto"/>
        <w:right w:val="none" w:sz="0" w:space="0" w:color="auto"/>
      </w:divBdr>
    </w:div>
    <w:div w:id="2069106189">
      <w:bodyDiv w:val="1"/>
      <w:marLeft w:val="0"/>
      <w:marRight w:val="0"/>
      <w:marTop w:val="0"/>
      <w:marBottom w:val="0"/>
      <w:divBdr>
        <w:top w:val="none" w:sz="0" w:space="0" w:color="auto"/>
        <w:left w:val="none" w:sz="0" w:space="0" w:color="auto"/>
        <w:bottom w:val="none" w:sz="0" w:space="0" w:color="auto"/>
        <w:right w:val="none" w:sz="0" w:space="0" w:color="auto"/>
      </w:divBdr>
    </w:div>
    <w:div w:id="2077164623">
      <w:bodyDiv w:val="1"/>
      <w:marLeft w:val="0"/>
      <w:marRight w:val="0"/>
      <w:marTop w:val="0"/>
      <w:marBottom w:val="0"/>
      <w:divBdr>
        <w:top w:val="none" w:sz="0" w:space="0" w:color="auto"/>
        <w:left w:val="none" w:sz="0" w:space="0" w:color="auto"/>
        <w:bottom w:val="none" w:sz="0" w:space="0" w:color="auto"/>
        <w:right w:val="none" w:sz="0" w:space="0" w:color="auto"/>
      </w:divBdr>
    </w:div>
    <w:div w:id="2080321660">
      <w:bodyDiv w:val="1"/>
      <w:marLeft w:val="0"/>
      <w:marRight w:val="0"/>
      <w:marTop w:val="0"/>
      <w:marBottom w:val="0"/>
      <w:divBdr>
        <w:top w:val="none" w:sz="0" w:space="0" w:color="auto"/>
        <w:left w:val="none" w:sz="0" w:space="0" w:color="auto"/>
        <w:bottom w:val="none" w:sz="0" w:space="0" w:color="auto"/>
        <w:right w:val="none" w:sz="0" w:space="0" w:color="auto"/>
      </w:divBdr>
    </w:div>
    <w:div w:id="2082634863">
      <w:bodyDiv w:val="1"/>
      <w:marLeft w:val="0"/>
      <w:marRight w:val="0"/>
      <w:marTop w:val="0"/>
      <w:marBottom w:val="0"/>
      <w:divBdr>
        <w:top w:val="none" w:sz="0" w:space="0" w:color="auto"/>
        <w:left w:val="none" w:sz="0" w:space="0" w:color="auto"/>
        <w:bottom w:val="none" w:sz="0" w:space="0" w:color="auto"/>
        <w:right w:val="none" w:sz="0" w:space="0" w:color="auto"/>
      </w:divBdr>
    </w:div>
    <w:div w:id="2082868665">
      <w:bodyDiv w:val="1"/>
      <w:marLeft w:val="0"/>
      <w:marRight w:val="0"/>
      <w:marTop w:val="0"/>
      <w:marBottom w:val="0"/>
      <w:divBdr>
        <w:top w:val="none" w:sz="0" w:space="0" w:color="auto"/>
        <w:left w:val="none" w:sz="0" w:space="0" w:color="auto"/>
        <w:bottom w:val="none" w:sz="0" w:space="0" w:color="auto"/>
        <w:right w:val="none" w:sz="0" w:space="0" w:color="auto"/>
      </w:divBdr>
    </w:div>
    <w:div w:id="2085763755">
      <w:bodyDiv w:val="1"/>
      <w:marLeft w:val="0"/>
      <w:marRight w:val="0"/>
      <w:marTop w:val="0"/>
      <w:marBottom w:val="0"/>
      <w:divBdr>
        <w:top w:val="none" w:sz="0" w:space="0" w:color="auto"/>
        <w:left w:val="none" w:sz="0" w:space="0" w:color="auto"/>
        <w:bottom w:val="none" w:sz="0" w:space="0" w:color="auto"/>
        <w:right w:val="none" w:sz="0" w:space="0" w:color="auto"/>
      </w:divBdr>
    </w:div>
    <w:div w:id="2086144902">
      <w:bodyDiv w:val="1"/>
      <w:marLeft w:val="0"/>
      <w:marRight w:val="0"/>
      <w:marTop w:val="0"/>
      <w:marBottom w:val="0"/>
      <w:divBdr>
        <w:top w:val="none" w:sz="0" w:space="0" w:color="auto"/>
        <w:left w:val="none" w:sz="0" w:space="0" w:color="auto"/>
        <w:bottom w:val="none" w:sz="0" w:space="0" w:color="auto"/>
        <w:right w:val="none" w:sz="0" w:space="0" w:color="auto"/>
      </w:divBdr>
    </w:div>
    <w:div w:id="2092653234">
      <w:bodyDiv w:val="1"/>
      <w:marLeft w:val="0"/>
      <w:marRight w:val="0"/>
      <w:marTop w:val="0"/>
      <w:marBottom w:val="0"/>
      <w:divBdr>
        <w:top w:val="none" w:sz="0" w:space="0" w:color="auto"/>
        <w:left w:val="none" w:sz="0" w:space="0" w:color="auto"/>
        <w:bottom w:val="none" w:sz="0" w:space="0" w:color="auto"/>
        <w:right w:val="none" w:sz="0" w:space="0" w:color="auto"/>
      </w:divBdr>
    </w:div>
    <w:div w:id="2093314827">
      <w:bodyDiv w:val="1"/>
      <w:marLeft w:val="0"/>
      <w:marRight w:val="0"/>
      <w:marTop w:val="0"/>
      <w:marBottom w:val="0"/>
      <w:divBdr>
        <w:top w:val="none" w:sz="0" w:space="0" w:color="auto"/>
        <w:left w:val="none" w:sz="0" w:space="0" w:color="auto"/>
        <w:bottom w:val="none" w:sz="0" w:space="0" w:color="auto"/>
        <w:right w:val="none" w:sz="0" w:space="0" w:color="auto"/>
      </w:divBdr>
    </w:div>
    <w:div w:id="2096777097">
      <w:bodyDiv w:val="1"/>
      <w:marLeft w:val="0"/>
      <w:marRight w:val="0"/>
      <w:marTop w:val="0"/>
      <w:marBottom w:val="0"/>
      <w:divBdr>
        <w:top w:val="none" w:sz="0" w:space="0" w:color="auto"/>
        <w:left w:val="none" w:sz="0" w:space="0" w:color="auto"/>
        <w:bottom w:val="none" w:sz="0" w:space="0" w:color="auto"/>
        <w:right w:val="none" w:sz="0" w:space="0" w:color="auto"/>
      </w:divBdr>
    </w:div>
    <w:div w:id="2097045132">
      <w:bodyDiv w:val="1"/>
      <w:marLeft w:val="0"/>
      <w:marRight w:val="0"/>
      <w:marTop w:val="0"/>
      <w:marBottom w:val="0"/>
      <w:divBdr>
        <w:top w:val="none" w:sz="0" w:space="0" w:color="auto"/>
        <w:left w:val="none" w:sz="0" w:space="0" w:color="auto"/>
        <w:bottom w:val="none" w:sz="0" w:space="0" w:color="auto"/>
        <w:right w:val="none" w:sz="0" w:space="0" w:color="auto"/>
      </w:divBdr>
    </w:div>
    <w:div w:id="2101365062">
      <w:bodyDiv w:val="1"/>
      <w:marLeft w:val="0"/>
      <w:marRight w:val="0"/>
      <w:marTop w:val="0"/>
      <w:marBottom w:val="0"/>
      <w:divBdr>
        <w:top w:val="none" w:sz="0" w:space="0" w:color="auto"/>
        <w:left w:val="none" w:sz="0" w:space="0" w:color="auto"/>
        <w:bottom w:val="none" w:sz="0" w:space="0" w:color="auto"/>
        <w:right w:val="none" w:sz="0" w:space="0" w:color="auto"/>
      </w:divBdr>
    </w:div>
    <w:div w:id="2113697220">
      <w:bodyDiv w:val="1"/>
      <w:marLeft w:val="0"/>
      <w:marRight w:val="0"/>
      <w:marTop w:val="0"/>
      <w:marBottom w:val="0"/>
      <w:divBdr>
        <w:top w:val="none" w:sz="0" w:space="0" w:color="auto"/>
        <w:left w:val="none" w:sz="0" w:space="0" w:color="auto"/>
        <w:bottom w:val="none" w:sz="0" w:space="0" w:color="auto"/>
        <w:right w:val="none" w:sz="0" w:space="0" w:color="auto"/>
      </w:divBdr>
    </w:div>
    <w:div w:id="2114350627">
      <w:bodyDiv w:val="1"/>
      <w:marLeft w:val="0"/>
      <w:marRight w:val="0"/>
      <w:marTop w:val="0"/>
      <w:marBottom w:val="0"/>
      <w:divBdr>
        <w:top w:val="none" w:sz="0" w:space="0" w:color="auto"/>
        <w:left w:val="none" w:sz="0" w:space="0" w:color="auto"/>
        <w:bottom w:val="none" w:sz="0" w:space="0" w:color="auto"/>
        <w:right w:val="none" w:sz="0" w:space="0" w:color="auto"/>
      </w:divBdr>
    </w:div>
    <w:div w:id="2117435257">
      <w:bodyDiv w:val="1"/>
      <w:marLeft w:val="0"/>
      <w:marRight w:val="0"/>
      <w:marTop w:val="0"/>
      <w:marBottom w:val="0"/>
      <w:divBdr>
        <w:top w:val="none" w:sz="0" w:space="0" w:color="auto"/>
        <w:left w:val="none" w:sz="0" w:space="0" w:color="auto"/>
        <w:bottom w:val="none" w:sz="0" w:space="0" w:color="auto"/>
        <w:right w:val="none" w:sz="0" w:space="0" w:color="auto"/>
      </w:divBdr>
    </w:div>
    <w:div w:id="2129664555">
      <w:bodyDiv w:val="1"/>
      <w:marLeft w:val="0"/>
      <w:marRight w:val="0"/>
      <w:marTop w:val="0"/>
      <w:marBottom w:val="0"/>
      <w:divBdr>
        <w:top w:val="none" w:sz="0" w:space="0" w:color="auto"/>
        <w:left w:val="none" w:sz="0" w:space="0" w:color="auto"/>
        <w:bottom w:val="none" w:sz="0" w:space="0" w:color="auto"/>
        <w:right w:val="none" w:sz="0" w:space="0" w:color="auto"/>
      </w:divBdr>
    </w:div>
    <w:div w:id="2130542376">
      <w:bodyDiv w:val="1"/>
      <w:marLeft w:val="0"/>
      <w:marRight w:val="0"/>
      <w:marTop w:val="0"/>
      <w:marBottom w:val="0"/>
      <w:divBdr>
        <w:top w:val="none" w:sz="0" w:space="0" w:color="auto"/>
        <w:left w:val="none" w:sz="0" w:space="0" w:color="auto"/>
        <w:bottom w:val="none" w:sz="0" w:space="0" w:color="auto"/>
        <w:right w:val="none" w:sz="0" w:space="0" w:color="auto"/>
      </w:divBdr>
    </w:div>
    <w:div w:id="2131507448">
      <w:bodyDiv w:val="1"/>
      <w:marLeft w:val="0"/>
      <w:marRight w:val="0"/>
      <w:marTop w:val="0"/>
      <w:marBottom w:val="0"/>
      <w:divBdr>
        <w:top w:val="none" w:sz="0" w:space="0" w:color="auto"/>
        <w:left w:val="none" w:sz="0" w:space="0" w:color="auto"/>
        <w:bottom w:val="none" w:sz="0" w:space="0" w:color="auto"/>
        <w:right w:val="none" w:sz="0" w:space="0" w:color="auto"/>
      </w:divBdr>
    </w:div>
    <w:div w:id="2136173885">
      <w:bodyDiv w:val="1"/>
      <w:marLeft w:val="0"/>
      <w:marRight w:val="0"/>
      <w:marTop w:val="0"/>
      <w:marBottom w:val="0"/>
      <w:divBdr>
        <w:top w:val="none" w:sz="0" w:space="0" w:color="auto"/>
        <w:left w:val="none" w:sz="0" w:space="0" w:color="auto"/>
        <w:bottom w:val="none" w:sz="0" w:space="0" w:color="auto"/>
        <w:right w:val="none" w:sz="0" w:space="0" w:color="auto"/>
      </w:divBdr>
    </w:div>
    <w:div w:id="2137407974">
      <w:bodyDiv w:val="1"/>
      <w:marLeft w:val="0"/>
      <w:marRight w:val="0"/>
      <w:marTop w:val="0"/>
      <w:marBottom w:val="0"/>
      <w:divBdr>
        <w:top w:val="none" w:sz="0" w:space="0" w:color="auto"/>
        <w:left w:val="none" w:sz="0" w:space="0" w:color="auto"/>
        <w:bottom w:val="none" w:sz="0" w:space="0" w:color="auto"/>
        <w:right w:val="none" w:sz="0" w:space="0" w:color="auto"/>
      </w:divBdr>
    </w:div>
    <w:div w:id="2141458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irc.nist.gov/airmf-resources/playbook/map/" TargetMode="External"/><Relationship Id="rId21" Type="http://schemas.openxmlformats.org/officeDocument/2006/relationships/hyperlink" Target="https://airc.nist.gov/airmf-resources/playbook/govern/" TargetMode="External"/><Relationship Id="rId42" Type="http://schemas.openxmlformats.org/officeDocument/2006/relationships/hyperlink" Target="https://airc.nist.gov/airmf-resources/playbook/govern/" TargetMode="External"/><Relationship Id="rId63" Type="http://schemas.openxmlformats.org/officeDocument/2006/relationships/hyperlink" Target="https://airc.nist.gov/airmf-resources/playbook/govern/" TargetMode="External"/><Relationship Id="rId84" Type="http://schemas.openxmlformats.org/officeDocument/2006/relationships/hyperlink" Target="https://airc.nist.gov/airmf-resources/playbook/govern/" TargetMode="External"/><Relationship Id="rId138" Type="http://schemas.openxmlformats.org/officeDocument/2006/relationships/hyperlink" Target="https://airc.nist.gov/airmf-resources/playbook/map/" TargetMode="External"/><Relationship Id="rId159" Type="http://schemas.openxmlformats.org/officeDocument/2006/relationships/hyperlink" Target="https://airc.nist.gov/airmf-resources/playbook/measure/" TargetMode="External"/><Relationship Id="rId170" Type="http://schemas.openxmlformats.org/officeDocument/2006/relationships/hyperlink" Target="https://airc.nist.gov/airmf-resources/playbook/measure/" TargetMode="External"/><Relationship Id="rId191" Type="http://schemas.openxmlformats.org/officeDocument/2006/relationships/hyperlink" Target="https://airc.nist.gov/airmf-resources/playbook/measure/" TargetMode="External"/><Relationship Id="rId205" Type="http://schemas.openxmlformats.org/officeDocument/2006/relationships/hyperlink" Target="https://airc.nist.gov/airmf-resources/playbook/manage/" TargetMode="External"/><Relationship Id="rId226" Type="http://schemas.openxmlformats.org/officeDocument/2006/relationships/hyperlink" Target="https://airc.nist.gov/airmf-resources/playbook/manage/" TargetMode="External"/><Relationship Id="rId247" Type="http://schemas.openxmlformats.org/officeDocument/2006/relationships/header" Target="header2.xml"/><Relationship Id="rId107" Type="http://schemas.openxmlformats.org/officeDocument/2006/relationships/hyperlink" Target="https://airc.nist.gov/airmf-resources/playbook/map/" TargetMode="External"/><Relationship Id="rId11" Type="http://schemas.openxmlformats.org/officeDocument/2006/relationships/image" Target="media/image1.emf"/><Relationship Id="rId32" Type="http://schemas.openxmlformats.org/officeDocument/2006/relationships/hyperlink" Target="https://airc.nist.gov/airmf-resources/playbook/govern/" TargetMode="External"/><Relationship Id="rId53" Type="http://schemas.openxmlformats.org/officeDocument/2006/relationships/hyperlink" Target="https://airc.nist.gov/airmf-resources/playbook/govern/" TargetMode="External"/><Relationship Id="rId74" Type="http://schemas.openxmlformats.org/officeDocument/2006/relationships/hyperlink" Target="https://airc.nist.gov/airmf-resources/playbook/govern/" TargetMode="External"/><Relationship Id="rId128" Type="http://schemas.openxmlformats.org/officeDocument/2006/relationships/hyperlink" Target="https://airc.nist.gov/airmf-resources/playbook/map/" TargetMode="External"/><Relationship Id="rId149" Type="http://schemas.openxmlformats.org/officeDocument/2006/relationships/hyperlink" Target="https://airc.nist.gov/airmf-resources/playbook/measure/" TargetMode="External"/><Relationship Id="rId5" Type="http://schemas.openxmlformats.org/officeDocument/2006/relationships/numbering" Target="numbering.xml"/><Relationship Id="rId95" Type="http://schemas.openxmlformats.org/officeDocument/2006/relationships/hyperlink" Target="https://airc.nist.gov/airmf-resources/playbook/map/" TargetMode="External"/><Relationship Id="rId160" Type="http://schemas.openxmlformats.org/officeDocument/2006/relationships/hyperlink" Target="https://airc.nist.gov/airmf-resources/playbook/measure/" TargetMode="External"/><Relationship Id="rId181" Type="http://schemas.openxmlformats.org/officeDocument/2006/relationships/hyperlink" Target="https://airc.nist.gov/airmf-resources/playbook/measure/" TargetMode="External"/><Relationship Id="rId216" Type="http://schemas.openxmlformats.org/officeDocument/2006/relationships/hyperlink" Target="https://airc.nist.gov/airmf-resources/playbook/manage/" TargetMode="External"/><Relationship Id="rId237" Type="http://schemas.openxmlformats.org/officeDocument/2006/relationships/hyperlink" Target="https://airc.nist.gov/airmf-resources/playbook/manage/" TargetMode="External"/><Relationship Id="rId22" Type="http://schemas.openxmlformats.org/officeDocument/2006/relationships/hyperlink" Target="https://airc.nist.gov/airmf-resources/playbook/govern/" TargetMode="External"/><Relationship Id="rId43" Type="http://schemas.openxmlformats.org/officeDocument/2006/relationships/hyperlink" Target="https://airc.nist.gov/airmf-resources/playbook/govern/" TargetMode="External"/><Relationship Id="rId64" Type="http://schemas.openxmlformats.org/officeDocument/2006/relationships/hyperlink" Target="https://airc.nist.gov/airmf-resources/playbook/govern/" TargetMode="External"/><Relationship Id="rId118" Type="http://schemas.openxmlformats.org/officeDocument/2006/relationships/hyperlink" Target="https://airc.nist.gov/airmf-resources/playbook/map/" TargetMode="External"/><Relationship Id="rId139" Type="http://schemas.openxmlformats.org/officeDocument/2006/relationships/hyperlink" Target="https://airc.nist.gov/airmf-resources/playbook/map/" TargetMode="External"/><Relationship Id="rId85" Type="http://schemas.openxmlformats.org/officeDocument/2006/relationships/hyperlink" Target="https://airc.nist.gov/airmf-resources/playbook/govern/" TargetMode="External"/><Relationship Id="rId150" Type="http://schemas.openxmlformats.org/officeDocument/2006/relationships/hyperlink" Target="https://airc.nist.gov/airmf-resources/playbook/measure/" TargetMode="External"/><Relationship Id="rId171" Type="http://schemas.openxmlformats.org/officeDocument/2006/relationships/hyperlink" Target="https://airc.nist.gov/airmf-resources/playbook/measure/" TargetMode="External"/><Relationship Id="rId192" Type="http://schemas.openxmlformats.org/officeDocument/2006/relationships/hyperlink" Target="https://airc.nist.gov/airmf-resources/playbook/measure/" TargetMode="External"/><Relationship Id="rId206" Type="http://schemas.openxmlformats.org/officeDocument/2006/relationships/hyperlink" Target="https://airc.nist.gov/airmf-resources/playbook/manage/" TargetMode="External"/><Relationship Id="rId227" Type="http://schemas.openxmlformats.org/officeDocument/2006/relationships/hyperlink" Target="https://airc.nist.gov/airmf-resources/playbook/manage/" TargetMode="External"/><Relationship Id="rId248" Type="http://schemas.openxmlformats.org/officeDocument/2006/relationships/fontTable" Target="fontTable.xml"/><Relationship Id="rId12" Type="http://schemas.openxmlformats.org/officeDocument/2006/relationships/image" Target="media/image2.jpeg"/><Relationship Id="rId33" Type="http://schemas.openxmlformats.org/officeDocument/2006/relationships/hyperlink" Target="https://airc.nist.gov/airmf-resources/playbook/govern/" TargetMode="External"/><Relationship Id="rId108" Type="http://schemas.openxmlformats.org/officeDocument/2006/relationships/hyperlink" Target="https://airc.nist.gov/airmf-resources/playbook/map/" TargetMode="External"/><Relationship Id="rId129" Type="http://schemas.openxmlformats.org/officeDocument/2006/relationships/hyperlink" Target="https://airc.nist.gov/airmf-resources/playbook/map/" TargetMode="External"/><Relationship Id="rId54" Type="http://schemas.openxmlformats.org/officeDocument/2006/relationships/hyperlink" Target="https://airc.nist.gov/airmf-resources/playbook/govern/" TargetMode="External"/><Relationship Id="rId75" Type="http://schemas.openxmlformats.org/officeDocument/2006/relationships/hyperlink" Target="https://airc.nist.gov/airmf-resources/playbook/govern/" TargetMode="External"/><Relationship Id="rId96" Type="http://schemas.openxmlformats.org/officeDocument/2006/relationships/hyperlink" Target="https://airc.nist.gov/airmf-resources/playbook/map/" TargetMode="External"/><Relationship Id="rId140" Type="http://schemas.openxmlformats.org/officeDocument/2006/relationships/hyperlink" Target="https://airc.nist.gov/airmf-resources/playbook/map/" TargetMode="External"/><Relationship Id="rId161" Type="http://schemas.openxmlformats.org/officeDocument/2006/relationships/hyperlink" Target="https://airc.nist.gov/airmf-resources/playbook/measure/" TargetMode="External"/><Relationship Id="rId182" Type="http://schemas.openxmlformats.org/officeDocument/2006/relationships/hyperlink" Target="https://airc.nist.gov/airmf-resources/playbook/measure/" TargetMode="External"/><Relationship Id="rId217" Type="http://schemas.openxmlformats.org/officeDocument/2006/relationships/hyperlink" Target="https://airc.nist.gov/airmf-resources/playbook/manage/" TargetMode="External"/><Relationship Id="rId6" Type="http://schemas.openxmlformats.org/officeDocument/2006/relationships/styles" Target="styles.xml"/><Relationship Id="rId238" Type="http://schemas.openxmlformats.org/officeDocument/2006/relationships/hyperlink" Target="https://airc.nist.gov/airmf-resources/playbook/manage/" TargetMode="External"/><Relationship Id="rId23" Type="http://schemas.openxmlformats.org/officeDocument/2006/relationships/hyperlink" Target="https://airc.nist.gov/airmf-resources/playbook/govern/" TargetMode="External"/><Relationship Id="rId119" Type="http://schemas.openxmlformats.org/officeDocument/2006/relationships/hyperlink" Target="https://airc.nist.gov/airmf-resources/playbook/map/" TargetMode="External"/><Relationship Id="rId44" Type="http://schemas.openxmlformats.org/officeDocument/2006/relationships/hyperlink" Target="https://airc.nist.gov/airmf-resources/playbook/govern/" TargetMode="External"/><Relationship Id="rId65" Type="http://schemas.openxmlformats.org/officeDocument/2006/relationships/hyperlink" Target="https://airc.nist.gov/airmf-resources/playbook/govern/" TargetMode="External"/><Relationship Id="rId86" Type="http://schemas.openxmlformats.org/officeDocument/2006/relationships/hyperlink" Target="https://airc.nist.gov/airmf-resources/playbook/govern/" TargetMode="External"/><Relationship Id="rId130" Type="http://schemas.openxmlformats.org/officeDocument/2006/relationships/hyperlink" Target="https://airc.nist.gov/airmf-resources/playbook/map/" TargetMode="External"/><Relationship Id="rId151" Type="http://schemas.openxmlformats.org/officeDocument/2006/relationships/hyperlink" Target="https://airc.nist.gov/airmf-resources/playbook/measure/" TargetMode="External"/><Relationship Id="rId172" Type="http://schemas.openxmlformats.org/officeDocument/2006/relationships/hyperlink" Target="https://airc.nist.gov/airmf-resources/playbook/measure/" TargetMode="External"/><Relationship Id="rId193" Type="http://schemas.openxmlformats.org/officeDocument/2006/relationships/hyperlink" Target="https://airc.nist.gov/airmf-resources/playbook/measure/" TargetMode="External"/><Relationship Id="rId207" Type="http://schemas.openxmlformats.org/officeDocument/2006/relationships/hyperlink" Target="https://airc.nist.gov/airmf-resources/playbook/manage/" TargetMode="External"/><Relationship Id="rId228" Type="http://schemas.openxmlformats.org/officeDocument/2006/relationships/hyperlink" Target="https://airc.nist.gov/airmf-resources/playbook/manage/" TargetMode="External"/><Relationship Id="rId249" Type="http://schemas.openxmlformats.org/officeDocument/2006/relationships/theme" Target="theme/theme1.xml"/><Relationship Id="rId13" Type="http://schemas.openxmlformats.org/officeDocument/2006/relationships/hyperlink" Target="mailto:Secretariat@cyberriskinstitute.org" TargetMode="External"/><Relationship Id="rId109" Type="http://schemas.openxmlformats.org/officeDocument/2006/relationships/hyperlink" Target="https://airc.nist.gov/airmf-resources/playbook/map/" TargetMode="External"/><Relationship Id="rId34" Type="http://schemas.openxmlformats.org/officeDocument/2006/relationships/hyperlink" Target="https://airc.nist.gov/airmf-resources/playbook/govern/" TargetMode="External"/><Relationship Id="rId55" Type="http://schemas.openxmlformats.org/officeDocument/2006/relationships/hyperlink" Target="https://airc.nist.gov/airmf-resources/playbook/govern/" TargetMode="External"/><Relationship Id="rId76" Type="http://schemas.openxmlformats.org/officeDocument/2006/relationships/hyperlink" Target="https://airc.nist.gov/airmf-resources/playbook/govern/" TargetMode="External"/><Relationship Id="rId97" Type="http://schemas.openxmlformats.org/officeDocument/2006/relationships/hyperlink" Target="https://airc.nist.gov/airmf-resources/playbook/map/" TargetMode="External"/><Relationship Id="rId120" Type="http://schemas.openxmlformats.org/officeDocument/2006/relationships/hyperlink" Target="https://airc.nist.gov/airmf-resources/playbook/map/" TargetMode="External"/><Relationship Id="rId141" Type="http://schemas.openxmlformats.org/officeDocument/2006/relationships/hyperlink" Target="https://airc.nist.gov/airmf-resources/playbook/map/" TargetMode="External"/><Relationship Id="rId7" Type="http://schemas.openxmlformats.org/officeDocument/2006/relationships/settings" Target="settings.xml"/><Relationship Id="rId162" Type="http://schemas.openxmlformats.org/officeDocument/2006/relationships/hyperlink" Target="https://airc.nist.gov/airmf-resources/playbook/measure/" TargetMode="External"/><Relationship Id="rId183" Type="http://schemas.openxmlformats.org/officeDocument/2006/relationships/hyperlink" Target="https://airc.nist.gov/airmf-resources/playbook/measure/" TargetMode="External"/><Relationship Id="rId218" Type="http://schemas.openxmlformats.org/officeDocument/2006/relationships/hyperlink" Target="https://airc.nist.gov/airmf-resources/playbook/manage/" TargetMode="External"/><Relationship Id="rId239" Type="http://schemas.openxmlformats.org/officeDocument/2006/relationships/hyperlink" Target="https://airc.nist.gov/airmf-resources/playbook/manage/" TargetMode="External"/><Relationship Id="rId24" Type="http://schemas.openxmlformats.org/officeDocument/2006/relationships/hyperlink" Target="https://airc.nist.gov/airmf-resources/playbook/govern/" TargetMode="External"/><Relationship Id="rId45" Type="http://schemas.openxmlformats.org/officeDocument/2006/relationships/hyperlink" Target="https://airc.nist.gov/airmf-resources/playbook/govern/" TargetMode="External"/><Relationship Id="rId66" Type="http://schemas.openxmlformats.org/officeDocument/2006/relationships/hyperlink" Target="https://airc.nist.gov/airmf-resources/playbook/govern/" TargetMode="External"/><Relationship Id="rId87" Type="http://schemas.openxmlformats.org/officeDocument/2006/relationships/hyperlink" Target="https://airc.nist.gov/airmf-resources/playbook/govern/" TargetMode="External"/><Relationship Id="rId110" Type="http://schemas.openxmlformats.org/officeDocument/2006/relationships/hyperlink" Target="https://airc.nist.gov/airmf-resources/playbook/map/" TargetMode="External"/><Relationship Id="rId131" Type="http://schemas.openxmlformats.org/officeDocument/2006/relationships/hyperlink" Target="https://airc.nist.gov/airmf-resources/playbook/map/" TargetMode="External"/><Relationship Id="rId152" Type="http://schemas.openxmlformats.org/officeDocument/2006/relationships/hyperlink" Target="https://airc.nist.gov/airmf-resources/playbook/measure/" TargetMode="External"/><Relationship Id="rId173" Type="http://schemas.openxmlformats.org/officeDocument/2006/relationships/hyperlink" Target="https://airc.nist.gov/airmf-resources/playbook/measure/" TargetMode="External"/><Relationship Id="rId194" Type="http://schemas.openxmlformats.org/officeDocument/2006/relationships/hyperlink" Target="https://airc.nist.gov/airmf-resources/playbook/measure/" TargetMode="External"/><Relationship Id="rId208" Type="http://schemas.openxmlformats.org/officeDocument/2006/relationships/hyperlink" Target="https://airc.nist.gov/airmf-resources/playbook/manage/" TargetMode="External"/><Relationship Id="rId229" Type="http://schemas.openxmlformats.org/officeDocument/2006/relationships/hyperlink" Target="https://airc.nist.gov/airmf-resources/playbook/manage/" TargetMode="External"/><Relationship Id="rId240" Type="http://schemas.openxmlformats.org/officeDocument/2006/relationships/hyperlink" Target="https://airc.nist.gov/airmf-resources/playbook/manage/" TargetMode="External"/><Relationship Id="rId14" Type="http://schemas.openxmlformats.org/officeDocument/2006/relationships/hyperlink" Target="https://airc.nist.gov/airmf-resources/playbook/govern/" TargetMode="External"/><Relationship Id="rId35" Type="http://schemas.openxmlformats.org/officeDocument/2006/relationships/hyperlink" Target="https://airc.nist.gov/airmf-resources/playbook/govern/" TargetMode="External"/><Relationship Id="rId56" Type="http://schemas.openxmlformats.org/officeDocument/2006/relationships/hyperlink" Target="https://airc.nist.gov/airmf-resources/playbook/govern/" TargetMode="External"/><Relationship Id="rId77" Type="http://schemas.openxmlformats.org/officeDocument/2006/relationships/hyperlink" Target="https://airc.nist.gov/airmf-resources/playbook/govern/" TargetMode="External"/><Relationship Id="rId100" Type="http://schemas.openxmlformats.org/officeDocument/2006/relationships/hyperlink" Target="https://airc.nist.gov/airmf-resources/playbook/map/" TargetMode="External"/><Relationship Id="rId8" Type="http://schemas.openxmlformats.org/officeDocument/2006/relationships/webSettings" Target="webSettings.xml"/><Relationship Id="rId98" Type="http://schemas.openxmlformats.org/officeDocument/2006/relationships/hyperlink" Target="https://airc.nist.gov/airmf-resources/playbook/map/" TargetMode="External"/><Relationship Id="rId121" Type="http://schemas.openxmlformats.org/officeDocument/2006/relationships/hyperlink" Target="https://airc.nist.gov/airmf-resources/playbook/map/" TargetMode="External"/><Relationship Id="rId142" Type="http://schemas.openxmlformats.org/officeDocument/2006/relationships/hyperlink" Target="https://airc.nist.gov/airmf-resources/playbook/measure/" TargetMode="External"/><Relationship Id="rId163" Type="http://schemas.openxmlformats.org/officeDocument/2006/relationships/hyperlink" Target="https://airc.nist.gov/airmf-resources/playbook/measure/" TargetMode="External"/><Relationship Id="rId184" Type="http://schemas.openxmlformats.org/officeDocument/2006/relationships/hyperlink" Target="https://airc.nist.gov/airmf-resources/playbook/measure/" TargetMode="External"/><Relationship Id="rId219" Type="http://schemas.openxmlformats.org/officeDocument/2006/relationships/hyperlink" Target="https://airc.nist.gov/airmf-resources/playbook/manage/" TargetMode="External"/><Relationship Id="rId230" Type="http://schemas.openxmlformats.org/officeDocument/2006/relationships/hyperlink" Target="https://airc.nist.gov/airmf-resources/playbook/manage/" TargetMode="External"/><Relationship Id="rId25" Type="http://schemas.openxmlformats.org/officeDocument/2006/relationships/hyperlink" Target="https://airc.nist.gov/airmf-resources/playbook/govern/" TargetMode="External"/><Relationship Id="rId46" Type="http://schemas.openxmlformats.org/officeDocument/2006/relationships/hyperlink" Target="https://airc.nist.gov/airmf-resources/playbook/govern/" TargetMode="External"/><Relationship Id="rId67" Type="http://schemas.openxmlformats.org/officeDocument/2006/relationships/hyperlink" Target="https://airc.nist.gov/airmf-resources/playbook/govern/" TargetMode="External"/><Relationship Id="rId88" Type="http://schemas.openxmlformats.org/officeDocument/2006/relationships/hyperlink" Target="https://airc.nist.gov/airmf-resources/playbook/govern/" TargetMode="External"/><Relationship Id="rId111" Type="http://schemas.openxmlformats.org/officeDocument/2006/relationships/hyperlink" Target="https://airc.nist.gov/airmf-resources/playbook/map/" TargetMode="External"/><Relationship Id="rId132" Type="http://schemas.openxmlformats.org/officeDocument/2006/relationships/hyperlink" Target="https://airc.nist.gov/airmf-resources/playbook/map/" TargetMode="External"/><Relationship Id="rId153" Type="http://schemas.openxmlformats.org/officeDocument/2006/relationships/hyperlink" Target="https://airc.nist.gov/airmf-resources/playbook/measure/" TargetMode="External"/><Relationship Id="rId174" Type="http://schemas.openxmlformats.org/officeDocument/2006/relationships/hyperlink" Target="https://airc.nist.gov/airmf-resources/playbook/measure/" TargetMode="External"/><Relationship Id="rId195" Type="http://schemas.openxmlformats.org/officeDocument/2006/relationships/hyperlink" Target="https://airc.nist.gov/airmf-resources/playbook/measure/" TargetMode="External"/><Relationship Id="rId209" Type="http://schemas.openxmlformats.org/officeDocument/2006/relationships/hyperlink" Target="https://airc.nist.gov/airmf-resources/playbook/manage/" TargetMode="External"/><Relationship Id="rId220" Type="http://schemas.openxmlformats.org/officeDocument/2006/relationships/hyperlink" Target="https://airc.nist.gov/airmf-resources/playbook/manage/" TargetMode="External"/><Relationship Id="rId241" Type="http://schemas.openxmlformats.org/officeDocument/2006/relationships/hyperlink" Target="https://airc.nist.gov/airmf-resources/playbook/manage/" TargetMode="External"/><Relationship Id="rId15" Type="http://schemas.openxmlformats.org/officeDocument/2006/relationships/hyperlink" Target="https://airc.nist.gov/airmf-resources/playbook/govern/" TargetMode="External"/><Relationship Id="rId36" Type="http://schemas.openxmlformats.org/officeDocument/2006/relationships/hyperlink" Target="https://airc.nist.gov/airmf-resources/playbook/govern/" TargetMode="External"/><Relationship Id="rId57" Type="http://schemas.openxmlformats.org/officeDocument/2006/relationships/hyperlink" Target="https://airc.nist.gov/airmf-resources/playbook/govern/" TargetMode="External"/><Relationship Id="rId78" Type="http://schemas.openxmlformats.org/officeDocument/2006/relationships/hyperlink" Target="https://airc.nist.gov/airmf-resources/playbook/govern/" TargetMode="External"/><Relationship Id="rId99" Type="http://schemas.openxmlformats.org/officeDocument/2006/relationships/hyperlink" Target="https://airc.nist.gov/airmf-resources/playbook/map/" TargetMode="External"/><Relationship Id="rId101" Type="http://schemas.openxmlformats.org/officeDocument/2006/relationships/hyperlink" Target="https://airc.nist.gov/airmf-resources/playbook/map/" TargetMode="External"/><Relationship Id="rId122" Type="http://schemas.openxmlformats.org/officeDocument/2006/relationships/hyperlink" Target="https://airc.nist.gov/airmf-resources/playbook/map/" TargetMode="External"/><Relationship Id="rId143" Type="http://schemas.openxmlformats.org/officeDocument/2006/relationships/hyperlink" Target="https://airc.nist.gov/airmf-resources/playbook/measure/" TargetMode="External"/><Relationship Id="rId164" Type="http://schemas.openxmlformats.org/officeDocument/2006/relationships/hyperlink" Target="https://airc.nist.gov/airmf-resources/playbook/measure/" TargetMode="External"/><Relationship Id="rId185" Type="http://schemas.openxmlformats.org/officeDocument/2006/relationships/hyperlink" Target="https://airc.nist.gov/airmf-resources/playbook/measure/"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airc.nist.gov/airmf-resources/playbook/measure/" TargetMode="External"/><Relationship Id="rId210" Type="http://schemas.openxmlformats.org/officeDocument/2006/relationships/hyperlink" Target="https://airc.nist.gov/airmf-resources/playbook/manage/" TargetMode="External"/><Relationship Id="rId215" Type="http://schemas.openxmlformats.org/officeDocument/2006/relationships/hyperlink" Target="https://airc.nist.gov/airmf-resources/playbook/manage/" TargetMode="External"/><Relationship Id="rId236" Type="http://schemas.openxmlformats.org/officeDocument/2006/relationships/hyperlink" Target="https://airc.nist.gov/airmf-resources/playbook/manage/" TargetMode="External"/><Relationship Id="rId26" Type="http://schemas.openxmlformats.org/officeDocument/2006/relationships/hyperlink" Target="https://airc.nist.gov/airmf-resources/playbook/govern/" TargetMode="External"/><Relationship Id="rId231" Type="http://schemas.openxmlformats.org/officeDocument/2006/relationships/hyperlink" Target="https://airc.nist.gov/airmf-resources/playbook/manage/" TargetMode="External"/><Relationship Id="rId47" Type="http://schemas.openxmlformats.org/officeDocument/2006/relationships/hyperlink" Target="https://airc.nist.gov/airmf-resources/playbook/govern/" TargetMode="External"/><Relationship Id="rId68" Type="http://schemas.openxmlformats.org/officeDocument/2006/relationships/hyperlink" Target="https://airc.nist.gov/airmf-resources/playbook/govern/" TargetMode="External"/><Relationship Id="rId89" Type="http://schemas.openxmlformats.org/officeDocument/2006/relationships/hyperlink" Target="https://airc.nist.gov/airmf-resources/playbook/govern/" TargetMode="External"/><Relationship Id="rId112" Type="http://schemas.openxmlformats.org/officeDocument/2006/relationships/hyperlink" Target="https://airc.nist.gov/airmf-resources/playbook/map/" TargetMode="External"/><Relationship Id="rId133" Type="http://schemas.openxmlformats.org/officeDocument/2006/relationships/hyperlink" Target="https://airc.nist.gov/airmf-resources/playbook/map/" TargetMode="External"/><Relationship Id="rId154" Type="http://schemas.openxmlformats.org/officeDocument/2006/relationships/hyperlink" Target="https://airc.nist.gov/airmf-resources/playbook/measure/" TargetMode="External"/><Relationship Id="rId175" Type="http://schemas.openxmlformats.org/officeDocument/2006/relationships/hyperlink" Target="https://airc.nist.gov/airmf-resources/playbook/measure/" TargetMode="External"/><Relationship Id="rId196" Type="http://schemas.openxmlformats.org/officeDocument/2006/relationships/hyperlink" Target="https://airc.nist.gov/airmf-resources/playbook/measure/" TargetMode="External"/><Relationship Id="rId200" Type="http://schemas.openxmlformats.org/officeDocument/2006/relationships/hyperlink" Target="https://airc.nist.gov/airmf-resources/playbook/measure/" TargetMode="External"/><Relationship Id="rId16" Type="http://schemas.openxmlformats.org/officeDocument/2006/relationships/hyperlink" Target="https://airc.nist.gov/airmf-resources/playbook/govern/" TargetMode="External"/><Relationship Id="rId221" Type="http://schemas.openxmlformats.org/officeDocument/2006/relationships/hyperlink" Target="https://airc.nist.gov/airmf-resources/playbook/manage/" TargetMode="External"/><Relationship Id="rId242" Type="http://schemas.openxmlformats.org/officeDocument/2006/relationships/hyperlink" Target="https://airc.nist.gov/airmf-resources/playbook/manage/" TargetMode="External"/><Relationship Id="rId37" Type="http://schemas.openxmlformats.org/officeDocument/2006/relationships/hyperlink" Target="https://airc.nist.gov/airmf-resources/playbook/govern/" TargetMode="External"/><Relationship Id="rId58" Type="http://schemas.openxmlformats.org/officeDocument/2006/relationships/hyperlink" Target="https://airc.nist.gov/airmf-resources/playbook/govern/" TargetMode="External"/><Relationship Id="rId79" Type="http://schemas.openxmlformats.org/officeDocument/2006/relationships/hyperlink" Target="https://airc.nist.gov/airmf-resources/playbook/govern/" TargetMode="External"/><Relationship Id="rId102" Type="http://schemas.openxmlformats.org/officeDocument/2006/relationships/hyperlink" Target="https://airc.nist.gov/airmf-resources/playbook/map/" TargetMode="External"/><Relationship Id="rId123" Type="http://schemas.openxmlformats.org/officeDocument/2006/relationships/hyperlink" Target="https://airc.nist.gov/airmf-resources/playbook/map/" TargetMode="External"/><Relationship Id="rId144" Type="http://schemas.openxmlformats.org/officeDocument/2006/relationships/hyperlink" Target="https://airc.nist.gov/airmf-resources/playbook/measure/" TargetMode="External"/><Relationship Id="rId90" Type="http://schemas.openxmlformats.org/officeDocument/2006/relationships/hyperlink" Target="https://airc.nist.gov/airmf-resources/playbook/govern/" TargetMode="External"/><Relationship Id="rId165" Type="http://schemas.openxmlformats.org/officeDocument/2006/relationships/hyperlink" Target="https://airc.nist.gov/airmf-resources/playbook/measure/" TargetMode="External"/><Relationship Id="rId186" Type="http://schemas.openxmlformats.org/officeDocument/2006/relationships/hyperlink" Target="https://airc.nist.gov/airmf-resources/playbook/measure/" TargetMode="External"/><Relationship Id="rId211" Type="http://schemas.openxmlformats.org/officeDocument/2006/relationships/hyperlink" Target="https://airc.nist.gov/airmf-resources/playbook/manage/" TargetMode="External"/><Relationship Id="rId232" Type="http://schemas.openxmlformats.org/officeDocument/2006/relationships/hyperlink" Target="https://airc.nist.gov/airmf-resources/playbook/manage/" TargetMode="External"/><Relationship Id="rId27" Type="http://schemas.openxmlformats.org/officeDocument/2006/relationships/hyperlink" Target="https://airc.nist.gov/airmf-resources/playbook/govern/" TargetMode="External"/><Relationship Id="rId48" Type="http://schemas.openxmlformats.org/officeDocument/2006/relationships/hyperlink" Target="https://airc.nist.gov/airmf-resources/playbook/govern/" TargetMode="External"/><Relationship Id="rId69" Type="http://schemas.openxmlformats.org/officeDocument/2006/relationships/hyperlink" Target="https://airc.nist.gov/airmf-resources/playbook/govern/" TargetMode="External"/><Relationship Id="rId113" Type="http://schemas.openxmlformats.org/officeDocument/2006/relationships/hyperlink" Target="https://airc.nist.gov/airmf-resources/playbook/map/" TargetMode="External"/><Relationship Id="rId134" Type="http://schemas.openxmlformats.org/officeDocument/2006/relationships/hyperlink" Target="https://airc.nist.gov/airmf-resources/playbook/map/" TargetMode="External"/><Relationship Id="rId80" Type="http://schemas.openxmlformats.org/officeDocument/2006/relationships/hyperlink" Target="https://airc.nist.gov/airmf-resources/playbook/govern/" TargetMode="External"/><Relationship Id="rId155" Type="http://schemas.openxmlformats.org/officeDocument/2006/relationships/hyperlink" Target="https://airc.nist.gov/airmf-resources/playbook/measure/" TargetMode="External"/><Relationship Id="rId176" Type="http://schemas.openxmlformats.org/officeDocument/2006/relationships/hyperlink" Target="https://airc.nist.gov/airmf-resources/playbook/measure/" TargetMode="External"/><Relationship Id="rId197" Type="http://schemas.openxmlformats.org/officeDocument/2006/relationships/hyperlink" Target="https://airc.nist.gov/airmf-resources/playbook/measure/" TargetMode="External"/><Relationship Id="rId201" Type="http://schemas.openxmlformats.org/officeDocument/2006/relationships/hyperlink" Target="https://airc.nist.gov/airmf-resources/playbook/manage/" TargetMode="External"/><Relationship Id="rId222" Type="http://schemas.openxmlformats.org/officeDocument/2006/relationships/hyperlink" Target="https://airc.nist.gov/airmf-resources/playbook/manage/" TargetMode="External"/><Relationship Id="rId243" Type="http://schemas.openxmlformats.org/officeDocument/2006/relationships/hyperlink" Target="https://airc.nist.gov/airmf-resources/playbook/manage/" TargetMode="External"/><Relationship Id="rId17" Type="http://schemas.openxmlformats.org/officeDocument/2006/relationships/hyperlink" Target="https://airc.nist.gov/airmf-resources/playbook/govern/" TargetMode="External"/><Relationship Id="rId38" Type="http://schemas.openxmlformats.org/officeDocument/2006/relationships/hyperlink" Target="https://airc.nist.gov/airmf-resources/playbook/govern/" TargetMode="External"/><Relationship Id="rId59" Type="http://schemas.openxmlformats.org/officeDocument/2006/relationships/hyperlink" Target="https://airc.nist.gov/airmf-resources/playbook/govern/" TargetMode="External"/><Relationship Id="rId103" Type="http://schemas.openxmlformats.org/officeDocument/2006/relationships/hyperlink" Target="https://airc.nist.gov/airmf-resources/playbook/map/" TargetMode="External"/><Relationship Id="rId124" Type="http://schemas.openxmlformats.org/officeDocument/2006/relationships/hyperlink" Target="https://airc.nist.gov/airmf-resources/playbook/map/" TargetMode="External"/><Relationship Id="rId70" Type="http://schemas.openxmlformats.org/officeDocument/2006/relationships/hyperlink" Target="https://airc.nist.gov/airmf-resources/playbook/govern/" TargetMode="External"/><Relationship Id="rId91" Type="http://schemas.openxmlformats.org/officeDocument/2006/relationships/hyperlink" Target="https://airc.nist.gov/airmf-resources/playbook/govern/" TargetMode="External"/><Relationship Id="rId145" Type="http://schemas.openxmlformats.org/officeDocument/2006/relationships/hyperlink" Target="https://airc.nist.gov/airmf-resources/playbook/measure/" TargetMode="External"/><Relationship Id="rId166" Type="http://schemas.openxmlformats.org/officeDocument/2006/relationships/hyperlink" Target="https://airc.nist.gov/airmf-resources/playbook/measure/" TargetMode="External"/><Relationship Id="rId187" Type="http://schemas.openxmlformats.org/officeDocument/2006/relationships/hyperlink" Target="https://airc.nist.gov/airmf-resources/playbook/measure/" TargetMode="External"/><Relationship Id="rId1" Type="http://schemas.openxmlformats.org/officeDocument/2006/relationships/customXml" Target="../customXml/item1.xml"/><Relationship Id="rId212" Type="http://schemas.openxmlformats.org/officeDocument/2006/relationships/hyperlink" Target="https://airc.nist.gov/airmf-resources/playbook/manage/" TargetMode="External"/><Relationship Id="rId233" Type="http://schemas.openxmlformats.org/officeDocument/2006/relationships/hyperlink" Target="https://airc.nist.gov/airmf-resources/playbook/manage/" TargetMode="External"/><Relationship Id="rId28" Type="http://schemas.openxmlformats.org/officeDocument/2006/relationships/hyperlink" Target="https://airc.nist.gov/airmf-resources/playbook/govern/" TargetMode="External"/><Relationship Id="rId49" Type="http://schemas.openxmlformats.org/officeDocument/2006/relationships/hyperlink" Target="https://airc.nist.gov/airmf-resources/playbook/govern/" TargetMode="External"/><Relationship Id="rId114" Type="http://schemas.openxmlformats.org/officeDocument/2006/relationships/hyperlink" Target="https://airc.nist.gov/airmf-resources/playbook/map/" TargetMode="External"/><Relationship Id="rId60" Type="http://schemas.openxmlformats.org/officeDocument/2006/relationships/hyperlink" Target="https://airc.nist.gov/airmf-resources/playbook/govern/" TargetMode="External"/><Relationship Id="rId81" Type="http://schemas.openxmlformats.org/officeDocument/2006/relationships/hyperlink" Target="https://airc.nist.gov/airmf-resources/playbook/govern/" TargetMode="External"/><Relationship Id="rId135" Type="http://schemas.openxmlformats.org/officeDocument/2006/relationships/hyperlink" Target="https://airc.nist.gov/airmf-resources/playbook/map/" TargetMode="External"/><Relationship Id="rId156" Type="http://schemas.openxmlformats.org/officeDocument/2006/relationships/hyperlink" Target="https://airc.nist.gov/airmf-resources/playbook/measure/" TargetMode="External"/><Relationship Id="rId177" Type="http://schemas.openxmlformats.org/officeDocument/2006/relationships/hyperlink" Target="https://airc.nist.gov/airmf-resources/playbook/measure/" TargetMode="External"/><Relationship Id="rId198" Type="http://schemas.openxmlformats.org/officeDocument/2006/relationships/hyperlink" Target="https://airc.nist.gov/airmf-resources/playbook/measure/" TargetMode="External"/><Relationship Id="rId202" Type="http://schemas.openxmlformats.org/officeDocument/2006/relationships/hyperlink" Target="https://airc.nist.gov/airmf-resources/playbook/manage/" TargetMode="External"/><Relationship Id="rId223" Type="http://schemas.openxmlformats.org/officeDocument/2006/relationships/hyperlink" Target="https://airc.nist.gov/airmf-resources/playbook/manage/" TargetMode="External"/><Relationship Id="rId244" Type="http://schemas.openxmlformats.org/officeDocument/2006/relationships/header" Target="header1.xml"/><Relationship Id="rId18" Type="http://schemas.openxmlformats.org/officeDocument/2006/relationships/hyperlink" Target="https://airc.nist.gov/airmf-resources/playbook/govern/" TargetMode="External"/><Relationship Id="rId39" Type="http://schemas.openxmlformats.org/officeDocument/2006/relationships/hyperlink" Target="https://airc.nist.gov/airmf-resources/playbook/govern/" TargetMode="External"/><Relationship Id="rId50" Type="http://schemas.openxmlformats.org/officeDocument/2006/relationships/hyperlink" Target="https://airc.nist.gov/airmf-resources/playbook/govern/" TargetMode="External"/><Relationship Id="rId104" Type="http://schemas.openxmlformats.org/officeDocument/2006/relationships/hyperlink" Target="https://airc.nist.gov/airmf-resources/playbook/map/" TargetMode="External"/><Relationship Id="rId125" Type="http://schemas.openxmlformats.org/officeDocument/2006/relationships/hyperlink" Target="https://airc.nist.gov/airmf-resources/playbook/map/" TargetMode="External"/><Relationship Id="rId146" Type="http://schemas.openxmlformats.org/officeDocument/2006/relationships/hyperlink" Target="https://airc.nist.gov/airmf-resources/playbook/measure/" TargetMode="External"/><Relationship Id="rId167" Type="http://schemas.openxmlformats.org/officeDocument/2006/relationships/hyperlink" Target="https://airc.nist.gov/airmf-resources/playbook/measure/" TargetMode="External"/><Relationship Id="rId188" Type="http://schemas.openxmlformats.org/officeDocument/2006/relationships/hyperlink" Target="https://airc.nist.gov/airmf-resources/playbook/measure/" TargetMode="External"/><Relationship Id="rId71" Type="http://schemas.openxmlformats.org/officeDocument/2006/relationships/hyperlink" Target="https://airc.nist.gov/airmf-resources/playbook/govern/" TargetMode="External"/><Relationship Id="rId92" Type="http://schemas.openxmlformats.org/officeDocument/2006/relationships/hyperlink" Target="https://airc.nist.gov/airmf-resources/playbook/govern/" TargetMode="External"/><Relationship Id="rId213" Type="http://schemas.openxmlformats.org/officeDocument/2006/relationships/hyperlink" Target="https://airc.nist.gov/airmf-resources/playbook/manage/" TargetMode="External"/><Relationship Id="rId234" Type="http://schemas.openxmlformats.org/officeDocument/2006/relationships/hyperlink" Target="https://airc.nist.gov/airmf-resources/playbook/manage/" TargetMode="External"/><Relationship Id="rId2" Type="http://schemas.openxmlformats.org/officeDocument/2006/relationships/customXml" Target="../customXml/item2.xml"/><Relationship Id="rId29" Type="http://schemas.openxmlformats.org/officeDocument/2006/relationships/hyperlink" Target="https://airc.nist.gov/airmf-resources/playbook/govern/" TargetMode="External"/><Relationship Id="rId40" Type="http://schemas.openxmlformats.org/officeDocument/2006/relationships/hyperlink" Target="https://airc.nist.gov/airmf-resources/playbook/govern/" TargetMode="External"/><Relationship Id="rId115" Type="http://schemas.openxmlformats.org/officeDocument/2006/relationships/hyperlink" Target="https://airc.nist.gov/airmf-resources/playbook/map/" TargetMode="External"/><Relationship Id="rId136" Type="http://schemas.openxmlformats.org/officeDocument/2006/relationships/hyperlink" Target="https://airc.nist.gov/airmf-resources/playbook/map/" TargetMode="External"/><Relationship Id="rId157" Type="http://schemas.openxmlformats.org/officeDocument/2006/relationships/hyperlink" Target="https://airc.nist.gov/airmf-resources/playbook/measure/" TargetMode="External"/><Relationship Id="rId178" Type="http://schemas.openxmlformats.org/officeDocument/2006/relationships/hyperlink" Target="https://airc.nist.gov/airmf-resources/playbook/measure/" TargetMode="External"/><Relationship Id="rId61" Type="http://schemas.openxmlformats.org/officeDocument/2006/relationships/hyperlink" Target="https://airc.nist.gov/airmf-resources/playbook/govern/" TargetMode="External"/><Relationship Id="rId82" Type="http://schemas.openxmlformats.org/officeDocument/2006/relationships/hyperlink" Target="https://airc.nist.gov/airmf-resources/playbook/govern/" TargetMode="External"/><Relationship Id="rId199" Type="http://schemas.openxmlformats.org/officeDocument/2006/relationships/hyperlink" Target="https://airc.nist.gov/airmf-resources/playbook/measure/" TargetMode="External"/><Relationship Id="rId203" Type="http://schemas.openxmlformats.org/officeDocument/2006/relationships/hyperlink" Target="https://airc.nist.gov/airmf-resources/playbook/manage/" TargetMode="External"/><Relationship Id="rId19" Type="http://schemas.openxmlformats.org/officeDocument/2006/relationships/hyperlink" Target="https://airc.nist.gov/airmf-resources/playbook/govern/" TargetMode="External"/><Relationship Id="rId224" Type="http://schemas.openxmlformats.org/officeDocument/2006/relationships/hyperlink" Target="https://airc.nist.gov/airmf-resources/playbook/manage/" TargetMode="External"/><Relationship Id="rId245" Type="http://schemas.openxmlformats.org/officeDocument/2006/relationships/footer" Target="footer1.xml"/><Relationship Id="rId30" Type="http://schemas.openxmlformats.org/officeDocument/2006/relationships/hyperlink" Target="https://airc.nist.gov/airmf-resources/playbook/govern/" TargetMode="External"/><Relationship Id="rId105" Type="http://schemas.openxmlformats.org/officeDocument/2006/relationships/hyperlink" Target="https://airc.nist.gov/airmf-resources/playbook/map/" TargetMode="External"/><Relationship Id="rId126" Type="http://schemas.openxmlformats.org/officeDocument/2006/relationships/hyperlink" Target="https://airc.nist.gov/airmf-resources/playbook/map/" TargetMode="External"/><Relationship Id="rId147" Type="http://schemas.openxmlformats.org/officeDocument/2006/relationships/hyperlink" Target="https://airc.nist.gov/airmf-resources/playbook/measure/" TargetMode="External"/><Relationship Id="rId168" Type="http://schemas.openxmlformats.org/officeDocument/2006/relationships/hyperlink" Target="https://airc.nist.gov/airmf-resources/playbook/measure/" TargetMode="External"/><Relationship Id="rId51" Type="http://schemas.openxmlformats.org/officeDocument/2006/relationships/hyperlink" Target="https://airc.nist.gov/airmf-resources/playbook/govern/" TargetMode="External"/><Relationship Id="rId72" Type="http://schemas.openxmlformats.org/officeDocument/2006/relationships/hyperlink" Target="https://airc.nist.gov/airmf-resources/playbook/govern/" TargetMode="External"/><Relationship Id="rId93" Type="http://schemas.openxmlformats.org/officeDocument/2006/relationships/hyperlink" Target="https://airc.nist.gov/airmf-resources/playbook/govern/" TargetMode="External"/><Relationship Id="rId189" Type="http://schemas.openxmlformats.org/officeDocument/2006/relationships/hyperlink" Target="https://airc.nist.gov/airmf-resources/playbook/measure/" TargetMode="External"/><Relationship Id="rId3" Type="http://schemas.openxmlformats.org/officeDocument/2006/relationships/customXml" Target="../customXml/item3.xml"/><Relationship Id="rId214" Type="http://schemas.openxmlformats.org/officeDocument/2006/relationships/hyperlink" Target="https://airc.nist.gov/airmf-resources/playbook/manage/" TargetMode="External"/><Relationship Id="rId235" Type="http://schemas.openxmlformats.org/officeDocument/2006/relationships/hyperlink" Target="https://airc.nist.gov/airmf-resources/playbook/manage/" TargetMode="External"/><Relationship Id="rId116" Type="http://schemas.openxmlformats.org/officeDocument/2006/relationships/hyperlink" Target="https://airc.nist.gov/airmf-resources/playbook/map/" TargetMode="External"/><Relationship Id="rId137" Type="http://schemas.openxmlformats.org/officeDocument/2006/relationships/hyperlink" Target="https://airc.nist.gov/airmf-resources/playbook/map/" TargetMode="External"/><Relationship Id="rId158" Type="http://schemas.openxmlformats.org/officeDocument/2006/relationships/hyperlink" Target="https://airc.nist.gov/airmf-resources/playbook/measure/" TargetMode="External"/><Relationship Id="rId20" Type="http://schemas.openxmlformats.org/officeDocument/2006/relationships/hyperlink" Target="https://airc.nist.gov/airmf-resources/playbook/govern/" TargetMode="External"/><Relationship Id="rId41" Type="http://schemas.openxmlformats.org/officeDocument/2006/relationships/hyperlink" Target="https://airc.nist.gov/airmf-resources/playbook/govern/" TargetMode="External"/><Relationship Id="rId62" Type="http://schemas.openxmlformats.org/officeDocument/2006/relationships/hyperlink" Target="https://airc.nist.gov/airmf-resources/playbook/govern/" TargetMode="External"/><Relationship Id="rId83" Type="http://schemas.openxmlformats.org/officeDocument/2006/relationships/hyperlink" Target="https://airc.nist.gov/airmf-resources/playbook/govern/" TargetMode="External"/><Relationship Id="rId179" Type="http://schemas.openxmlformats.org/officeDocument/2006/relationships/hyperlink" Target="https://airc.nist.gov/airmf-resources/playbook/measure/" TargetMode="External"/><Relationship Id="rId190" Type="http://schemas.openxmlformats.org/officeDocument/2006/relationships/hyperlink" Target="https://airc.nist.gov/airmf-resources/playbook/measure/" TargetMode="External"/><Relationship Id="rId204" Type="http://schemas.openxmlformats.org/officeDocument/2006/relationships/hyperlink" Target="https://airc.nist.gov/airmf-resources/playbook/manage/" TargetMode="External"/><Relationship Id="rId225" Type="http://schemas.openxmlformats.org/officeDocument/2006/relationships/hyperlink" Target="https://airc.nist.gov/airmf-resources/playbook/manage/" TargetMode="External"/><Relationship Id="rId246" Type="http://schemas.openxmlformats.org/officeDocument/2006/relationships/footer" Target="footer2.xml"/><Relationship Id="rId106" Type="http://schemas.openxmlformats.org/officeDocument/2006/relationships/hyperlink" Target="https://airc.nist.gov/airmf-resources/playbook/map/" TargetMode="External"/><Relationship Id="rId127" Type="http://schemas.openxmlformats.org/officeDocument/2006/relationships/hyperlink" Target="https://airc.nist.gov/airmf-resources/playbook/map/" TargetMode="External"/><Relationship Id="rId10" Type="http://schemas.openxmlformats.org/officeDocument/2006/relationships/endnotes" Target="endnotes.xml"/><Relationship Id="rId31" Type="http://schemas.openxmlformats.org/officeDocument/2006/relationships/hyperlink" Target="https://airc.nist.gov/airmf-resources/playbook/govern/" TargetMode="External"/><Relationship Id="rId52" Type="http://schemas.openxmlformats.org/officeDocument/2006/relationships/hyperlink" Target="https://airc.nist.gov/airmf-resources/playbook/govern/" TargetMode="External"/><Relationship Id="rId73" Type="http://schemas.openxmlformats.org/officeDocument/2006/relationships/hyperlink" Target="https://airc.nist.gov/airmf-resources/playbook/govern/" TargetMode="External"/><Relationship Id="rId94" Type="http://schemas.openxmlformats.org/officeDocument/2006/relationships/hyperlink" Target="https://airc.nist.gov/airmf-resources/playbook/govern/" TargetMode="External"/><Relationship Id="rId148" Type="http://schemas.openxmlformats.org/officeDocument/2006/relationships/hyperlink" Target="https://airc.nist.gov/airmf-resources/playbook/measure/" TargetMode="External"/><Relationship Id="rId169" Type="http://schemas.openxmlformats.org/officeDocument/2006/relationships/hyperlink" Target="https://airc.nist.gov/airmf-resources/playbook/measur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Wake\Downloads\CRI_Report_Template.dotx" TargetMode="External"/></Relationships>
</file>

<file path=word/theme/theme1.xml><?xml version="1.0" encoding="utf-8"?>
<a:theme xmlns:a="http://schemas.openxmlformats.org/drawingml/2006/main" name="DL">
  <a:themeElements>
    <a:clrScheme name="CRI Brand Colors">
      <a:dk1>
        <a:srgbClr val="000000"/>
      </a:dk1>
      <a:lt1>
        <a:srgbClr val="FFFFFF"/>
      </a:lt1>
      <a:dk2>
        <a:srgbClr val="53585F"/>
      </a:dk2>
      <a:lt2>
        <a:srgbClr val="CDDCDC"/>
      </a:lt2>
      <a:accent1>
        <a:srgbClr val="B31E3E"/>
      </a:accent1>
      <a:accent2>
        <a:srgbClr val="34246B"/>
      </a:accent2>
      <a:accent3>
        <a:srgbClr val="51459C"/>
      </a:accent3>
      <a:accent4>
        <a:srgbClr val="EFA320"/>
      </a:accent4>
      <a:accent5>
        <a:srgbClr val="2474A5"/>
      </a:accent5>
      <a:accent6>
        <a:srgbClr val="0A3B58"/>
      </a:accent6>
      <a:hlink>
        <a:srgbClr val="0000FF"/>
      </a:hlink>
      <a:folHlink>
        <a:srgbClr val="FF00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L" id="{CE9DA1A2-2ED7-9349-8718-1AD691C689EB}" vid="{BDDE4F98-DFB1-C643-A761-35620FCCE22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424BE0E4E44F41B35D25EFD6504971" ma:contentTypeVersion="6" ma:contentTypeDescription="Create a new document." ma:contentTypeScope="" ma:versionID="01e44dea340bbc778165ddd5a9902996">
  <xsd:schema xmlns:xsd="http://www.w3.org/2001/XMLSchema" xmlns:xs="http://www.w3.org/2001/XMLSchema" xmlns:p="http://schemas.microsoft.com/office/2006/metadata/properties" xmlns:ns2="7f2ec64e-9ab2-4d79-b3b7-fef0135904f9" xmlns:ns3="c0d78b65-1a28-4d20-8f44-f09db0c6af3c" targetNamespace="http://schemas.microsoft.com/office/2006/metadata/properties" ma:root="true" ma:fieldsID="c3b8daedc0a29188f0f5622f4a2d3321" ns2:_="" ns3:_="">
    <xsd:import namespace="7f2ec64e-9ab2-4d79-b3b7-fef0135904f9"/>
    <xsd:import namespace="c0d78b65-1a28-4d20-8f44-f09db0c6af3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2ec64e-9ab2-4d79-b3b7-fef0135904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d78b65-1a28-4d20-8f44-f09db0c6af3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c0d78b65-1a28-4d20-8f44-f09db0c6af3c">
      <UserInfo>
        <DisplayName>Kelly C Volz</DisplayName>
        <AccountId>14</AccountId>
        <AccountType/>
      </UserInfo>
      <UserInfo>
        <DisplayName>Joseph M Crouse</DisplayName>
        <AccountId>10</AccountId>
        <AccountType/>
      </UserInfo>
      <UserInfo>
        <DisplayName>Bhavya Bhandari</DisplayName>
        <AccountId>9</AccountId>
        <AccountType/>
      </UserInfo>
      <UserInfo>
        <DisplayName>Kassidy Warren</DisplayName>
        <AccountId>6</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CA0CE4-9EB7-4271-AC6C-6286964356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2ec64e-9ab2-4d79-b3b7-fef0135904f9"/>
    <ds:schemaRef ds:uri="c0d78b65-1a28-4d20-8f44-f09db0c6af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8E1553-8618-4580-89E9-BD7A494F9F7B}">
  <ds:schemaRefs>
    <ds:schemaRef ds:uri="http://schemas.microsoft.com/office/2006/metadata/properties"/>
    <ds:schemaRef ds:uri="http://schemas.microsoft.com/office/infopath/2007/PartnerControls"/>
    <ds:schemaRef ds:uri="c0d78b65-1a28-4d20-8f44-f09db0c6af3c"/>
  </ds:schemaRefs>
</ds:datastoreItem>
</file>

<file path=customXml/itemProps3.xml><?xml version="1.0" encoding="utf-8"?>
<ds:datastoreItem xmlns:ds="http://schemas.openxmlformats.org/officeDocument/2006/customXml" ds:itemID="{BD659B99-4ED3-4F0B-8A19-10967C097271}">
  <ds:schemaRefs>
    <ds:schemaRef ds:uri="http://schemas.openxmlformats.org/officeDocument/2006/bibliography"/>
  </ds:schemaRefs>
</ds:datastoreItem>
</file>

<file path=customXml/itemProps4.xml><?xml version="1.0" encoding="utf-8"?>
<ds:datastoreItem xmlns:ds="http://schemas.openxmlformats.org/officeDocument/2006/customXml" ds:itemID="{A117D559-0EFD-40C7-B475-888E4EF852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CRI_Report_Template</Template>
  <TotalTime>4</TotalTime>
  <Pages>489</Pages>
  <Words>199188</Words>
  <Characters>1227003</Characters>
  <Application>Microsoft Office Word</Application>
  <DocSecurity>0</DocSecurity>
  <Lines>28534</Lines>
  <Paragraphs>13582</Paragraphs>
  <ScaleCrop>false</ScaleCrop>
  <HeadingPairs>
    <vt:vector size="2" baseType="variant">
      <vt:variant>
        <vt:lpstr>Title</vt:lpstr>
      </vt:variant>
      <vt:variant>
        <vt:i4>1</vt:i4>
      </vt:variant>
    </vt:vector>
  </HeadingPairs>
  <TitlesOfParts>
    <vt:vector size="1" baseType="lpstr">
      <vt:lpstr>Supply Chain - Mike T.</vt:lpstr>
    </vt:vector>
  </TitlesOfParts>
  <Company/>
  <LinksUpToDate>false</LinksUpToDate>
  <CharactersWithSpaces>1412609</CharactersWithSpaces>
  <SharedDoc>false</SharedDoc>
  <HLinks>
    <vt:vector size="1548" baseType="variant">
      <vt:variant>
        <vt:i4>655377</vt:i4>
      </vt:variant>
      <vt:variant>
        <vt:i4>1263</vt:i4>
      </vt:variant>
      <vt:variant>
        <vt:i4>0</vt:i4>
      </vt:variant>
      <vt:variant>
        <vt:i4>5</vt:i4>
      </vt:variant>
      <vt:variant>
        <vt:lpwstr/>
      </vt:variant>
      <vt:variant>
        <vt:lpwstr>EXTR0101</vt:lpwstr>
      </vt:variant>
      <vt:variant>
        <vt:i4>3276828</vt:i4>
      </vt:variant>
      <vt:variant>
        <vt:i4>1260</vt:i4>
      </vt:variant>
      <vt:variant>
        <vt:i4>0</vt:i4>
      </vt:variant>
      <vt:variant>
        <vt:i4>5</vt:i4>
      </vt:variant>
      <vt:variant>
        <vt:lpwstr/>
      </vt:variant>
      <vt:variant>
        <vt:lpwstr>Third_party_service_provider</vt:lpwstr>
      </vt:variant>
      <vt:variant>
        <vt:i4>6488151</vt:i4>
      </vt:variant>
      <vt:variant>
        <vt:i4>1209</vt:i4>
      </vt:variant>
      <vt:variant>
        <vt:i4>0</vt:i4>
      </vt:variant>
      <vt:variant>
        <vt:i4>5</vt:i4>
      </vt:variant>
      <vt:variant>
        <vt:lpwstr/>
      </vt:variant>
      <vt:variant>
        <vt:lpwstr>External_dependency</vt:lpwstr>
      </vt:variant>
      <vt:variant>
        <vt:i4>3276828</vt:i4>
      </vt:variant>
      <vt:variant>
        <vt:i4>1206</vt:i4>
      </vt:variant>
      <vt:variant>
        <vt:i4>0</vt:i4>
      </vt:variant>
      <vt:variant>
        <vt:i4>5</vt:i4>
      </vt:variant>
      <vt:variant>
        <vt:lpwstr/>
      </vt:variant>
      <vt:variant>
        <vt:lpwstr>Third_party_service_provider</vt:lpwstr>
      </vt:variant>
      <vt:variant>
        <vt:i4>3276828</vt:i4>
      </vt:variant>
      <vt:variant>
        <vt:i4>1203</vt:i4>
      </vt:variant>
      <vt:variant>
        <vt:i4>0</vt:i4>
      </vt:variant>
      <vt:variant>
        <vt:i4>5</vt:i4>
      </vt:variant>
      <vt:variant>
        <vt:lpwstr/>
      </vt:variant>
      <vt:variant>
        <vt:lpwstr>Third_party_service_provider</vt:lpwstr>
      </vt:variant>
      <vt:variant>
        <vt:i4>7733336</vt:i4>
      </vt:variant>
      <vt:variant>
        <vt:i4>1200</vt:i4>
      </vt:variant>
      <vt:variant>
        <vt:i4>0</vt:i4>
      </vt:variant>
      <vt:variant>
        <vt:i4>5</vt:i4>
      </vt:variant>
      <vt:variant>
        <vt:lpwstr/>
      </vt:variant>
      <vt:variant>
        <vt:lpwstr>_EX.CN-02.02:_Minimum_cybersecurity</vt:lpwstr>
      </vt:variant>
      <vt:variant>
        <vt:i4>3276828</vt:i4>
      </vt:variant>
      <vt:variant>
        <vt:i4>1197</vt:i4>
      </vt:variant>
      <vt:variant>
        <vt:i4>0</vt:i4>
      </vt:variant>
      <vt:variant>
        <vt:i4>5</vt:i4>
      </vt:variant>
      <vt:variant>
        <vt:lpwstr/>
      </vt:variant>
      <vt:variant>
        <vt:lpwstr>Third_party_service_provider</vt:lpwstr>
      </vt:variant>
      <vt:variant>
        <vt:i4>3276828</vt:i4>
      </vt:variant>
      <vt:variant>
        <vt:i4>1194</vt:i4>
      </vt:variant>
      <vt:variant>
        <vt:i4>0</vt:i4>
      </vt:variant>
      <vt:variant>
        <vt:i4>5</vt:i4>
      </vt:variant>
      <vt:variant>
        <vt:lpwstr/>
      </vt:variant>
      <vt:variant>
        <vt:lpwstr>Third_party_service_provider</vt:lpwstr>
      </vt:variant>
      <vt:variant>
        <vt:i4>2162701</vt:i4>
      </vt:variant>
      <vt:variant>
        <vt:i4>1185</vt:i4>
      </vt:variant>
      <vt:variant>
        <vt:i4>0</vt:i4>
      </vt:variant>
      <vt:variant>
        <vt:i4>5</vt:i4>
      </vt:variant>
      <vt:variant>
        <vt:lpwstr/>
      </vt:variant>
      <vt:variant>
        <vt:lpwstr>Situational_awareness</vt:lpwstr>
      </vt:variant>
      <vt:variant>
        <vt:i4>6750294</vt:i4>
      </vt:variant>
      <vt:variant>
        <vt:i4>1182</vt:i4>
      </vt:variant>
      <vt:variant>
        <vt:i4>0</vt:i4>
      </vt:variant>
      <vt:variant>
        <vt:i4>5</vt:i4>
      </vt:variant>
      <vt:variant>
        <vt:lpwstr/>
      </vt:variant>
      <vt:variant>
        <vt:lpwstr>Threat_intelligence</vt:lpwstr>
      </vt:variant>
      <vt:variant>
        <vt:i4>2162701</vt:i4>
      </vt:variant>
      <vt:variant>
        <vt:i4>1179</vt:i4>
      </vt:variant>
      <vt:variant>
        <vt:i4>0</vt:i4>
      </vt:variant>
      <vt:variant>
        <vt:i4>5</vt:i4>
      </vt:variant>
      <vt:variant>
        <vt:lpwstr/>
      </vt:variant>
      <vt:variant>
        <vt:lpwstr>Situational_awareness</vt:lpwstr>
      </vt:variant>
      <vt:variant>
        <vt:i4>6750294</vt:i4>
      </vt:variant>
      <vt:variant>
        <vt:i4>1176</vt:i4>
      </vt:variant>
      <vt:variant>
        <vt:i4>0</vt:i4>
      </vt:variant>
      <vt:variant>
        <vt:i4>5</vt:i4>
      </vt:variant>
      <vt:variant>
        <vt:lpwstr/>
      </vt:variant>
      <vt:variant>
        <vt:lpwstr>Threat_intelligence</vt:lpwstr>
      </vt:variant>
      <vt:variant>
        <vt:i4>3276841</vt:i4>
      </vt:variant>
      <vt:variant>
        <vt:i4>1173</vt:i4>
      </vt:variant>
      <vt:variant>
        <vt:i4>0</vt:i4>
      </vt:variant>
      <vt:variant>
        <vt:i4>5</vt:i4>
      </vt:variant>
      <vt:variant>
        <vt:lpwstr/>
      </vt:variant>
      <vt:variant>
        <vt:lpwstr>Recovery_time_obj</vt:lpwstr>
      </vt:variant>
      <vt:variant>
        <vt:i4>6291542</vt:i4>
      </vt:variant>
      <vt:variant>
        <vt:i4>1158</vt:i4>
      </vt:variant>
      <vt:variant>
        <vt:i4>0</vt:i4>
      </vt:variant>
      <vt:variant>
        <vt:i4>5</vt:i4>
      </vt:variant>
      <vt:variant>
        <vt:lpwstr/>
      </vt:variant>
      <vt:variant>
        <vt:lpwstr>Critical_infrastructure</vt:lpwstr>
      </vt:variant>
      <vt:variant>
        <vt:i4>6750294</vt:i4>
      </vt:variant>
      <vt:variant>
        <vt:i4>1128</vt:i4>
      </vt:variant>
      <vt:variant>
        <vt:i4>0</vt:i4>
      </vt:variant>
      <vt:variant>
        <vt:i4>5</vt:i4>
      </vt:variant>
      <vt:variant>
        <vt:lpwstr/>
      </vt:variant>
      <vt:variant>
        <vt:lpwstr>Threat_intelligence</vt:lpwstr>
      </vt:variant>
      <vt:variant>
        <vt:i4>6750294</vt:i4>
      </vt:variant>
      <vt:variant>
        <vt:i4>1125</vt:i4>
      </vt:variant>
      <vt:variant>
        <vt:i4>0</vt:i4>
      </vt:variant>
      <vt:variant>
        <vt:i4>5</vt:i4>
      </vt:variant>
      <vt:variant>
        <vt:lpwstr/>
      </vt:variant>
      <vt:variant>
        <vt:lpwstr>Threat_intelligence</vt:lpwstr>
      </vt:variant>
      <vt:variant>
        <vt:i4>7602270</vt:i4>
      </vt:variant>
      <vt:variant>
        <vt:i4>1122</vt:i4>
      </vt:variant>
      <vt:variant>
        <vt:i4>0</vt:i4>
      </vt:variant>
      <vt:variant>
        <vt:i4>5</vt:i4>
      </vt:variant>
      <vt:variant>
        <vt:lpwstr/>
      </vt:variant>
      <vt:variant>
        <vt:lpwstr>_DE.AE-04.01:_The_organization</vt:lpwstr>
      </vt:variant>
      <vt:variant>
        <vt:i4>6881359</vt:i4>
      </vt:variant>
      <vt:variant>
        <vt:i4>1119</vt:i4>
      </vt:variant>
      <vt:variant>
        <vt:i4>0</vt:i4>
      </vt:variant>
      <vt:variant>
        <vt:i4>5</vt:i4>
      </vt:variant>
      <vt:variant>
        <vt:lpwstr/>
      </vt:variant>
      <vt:variant>
        <vt:lpwstr>_RS.AN-03.01:_The_organization</vt:lpwstr>
      </vt:variant>
      <vt:variant>
        <vt:i4>6750294</vt:i4>
      </vt:variant>
      <vt:variant>
        <vt:i4>1116</vt:i4>
      </vt:variant>
      <vt:variant>
        <vt:i4>0</vt:i4>
      </vt:variant>
      <vt:variant>
        <vt:i4>5</vt:i4>
      </vt:variant>
      <vt:variant>
        <vt:lpwstr/>
      </vt:variant>
      <vt:variant>
        <vt:lpwstr>Threat_intelligence</vt:lpwstr>
      </vt:variant>
      <vt:variant>
        <vt:i4>7864407</vt:i4>
      </vt:variant>
      <vt:variant>
        <vt:i4>1113</vt:i4>
      </vt:variant>
      <vt:variant>
        <vt:i4>0</vt:i4>
      </vt:variant>
      <vt:variant>
        <vt:i4>5</vt:i4>
      </vt:variant>
      <vt:variant>
        <vt:lpwstr/>
      </vt:variant>
      <vt:variant>
        <vt:lpwstr>_ID.IM-04.08:_The_organization</vt:lpwstr>
      </vt:variant>
      <vt:variant>
        <vt:i4>6750294</vt:i4>
      </vt:variant>
      <vt:variant>
        <vt:i4>1095</vt:i4>
      </vt:variant>
      <vt:variant>
        <vt:i4>0</vt:i4>
      </vt:variant>
      <vt:variant>
        <vt:i4>5</vt:i4>
      </vt:variant>
      <vt:variant>
        <vt:lpwstr/>
      </vt:variant>
      <vt:variant>
        <vt:lpwstr>Threat_intelligence</vt:lpwstr>
      </vt:variant>
      <vt:variant>
        <vt:i4>6750294</vt:i4>
      </vt:variant>
      <vt:variant>
        <vt:i4>1092</vt:i4>
      </vt:variant>
      <vt:variant>
        <vt:i4>0</vt:i4>
      </vt:variant>
      <vt:variant>
        <vt:i4>5</vt:i4>
      </vt:variant>
      <vt:variant>
        <vt:lpwstr/>
      </vt:variant>
      <vt:variant>
        <vt:lpwstr>Threat_intelligence</vt:lpwstr>
      </vt:variant>
      <vt:variant>
        <vt:i4>6750294</vt:i4>
      </vt:variant>
      <vt:variant>
        <vt:i4>1089</vt:i4>
      </vt:variant>
      <vt:variant>
        <vt:i4>0</vt:i4>
      </vt:variant>
      <vt:variant>
        <vt:i4>5</vt:i4>
      </vt:variant>
      <vt:variant>
        <vt:lpwstr/>
      </vt:variant>
      <vt:variant>
        <vt:lpwstr>Threat_intelligence</vt:lpwstr>
      </vt:variant>
      <vt:variant>
        <vt:i4>6160486</vt:i4>
      </vt:variant>
      <vt:variant>
        <vt:i4>1086</vt:i4>
      </vt:variant>
      <vt:variant>
        <vt:i4>0</vt:i4>
      </vt:variant>
      <vt:variant>
        <vt:i4>5</vt:i4>
      </vt:variant>
      <vt:variant>
        <vt:lpwstr/>
      </vt:variant>
      <vt:variant>
        <vt:lpwstr>_PR.DS-6.1:_The_organization</vt:lpwstr>
      </vt:variant>
      <vt:variant>
        <vt:i4>458783</vt:i4>
      </vt:variant>
      <vt:variant>
        <vt:i4>1083</vt:i4>
      </vt:variant>
      <vt:variant>
        <vt:i4>0</vt:i4>
      </vt:variant>
      <vt:variant>
        <vt:i4>5</vt:i4>
      </vt:variant>
      <vt:variant>
        <vt:lpwstr/>
      </vt:variant>
      <vt:variant>
        <vt:lpwstr>SDLC</vt:lpwstr>
      </vt:variant>
      <vt:variant>
        <vt:i4>3276828</vt:i4>
      </vt:variant>
      <vt:variant>
        <vt:i4>1080</vt:i4>
      </vt:variant>
      <vt:variant>
        <vt:i4>0</vt:i4>
      </vt:variant>
      <vt:variant>
        <vt:i4>5</vt:i4>
      </vt:variant>
      <vt:variant>
        <vt:lpwstr/>
      </vt:variant>
      <vt:variant>
        <vt:lpwstr>Third_party_service_provider</vt:lpwstr>
      </vt:variant>
      <vt:variant>
        <vt:i4>6291550</vt:i4>
      </vt:variant>
      <vt:variant>
        <vt:i4>1005</vt:i4>
      </vt:variant>
      <vt:variant>
        <vt:i4>0</vt:i4>
      </vt:variant>
      <vt:variant>
        <vt:i4>5</vt:i4>
      </vt:variant>
      <vt:variant>
        <vt:lpwstr/>
      </vt:variant>
      <vt:variant>
        <vt:lpwstr>Risk_assessment</vt:lpwstr>
      </vt:variant>
      <vt:variant>
        <vt:i4>6291542</vt:i4>
      </vt:variant>
      <vt:variant>
        <vt:i4>996</vt:i4>
      </vt:variant>
      <vt:variant>
        <vt:i4>0</vt:i4>
      </vt:variant>
      <vt:variant>
        <vt:i4>5</vt:i4>
      </vt:variant>
      <vt:variant>
        <vt:lpwstr/>
      </vt:variant>
      <vt:variant>
        <vt:lpwstr>Critical_infrastructure</vt:lpwstr>
      </vt:variant>
      <vt:variant>
        <vt:i4>7340139</vt:i4>
      </vt:variant>
      <vt:variant>
        <vt:i4>993</vt:i4>
      </vt:variant>
      <vt:variant>
        <vt:i4>0</vt:i4>
      </vt:variant>
      <vt:variant>
        <vt:i4>5</vt:i4>
      </vt:variant>
      <vt:variant>
        <vt:lpwstr/>
      </vt:variant>
      <vt:variant>
        <vt:lpwstr>KPI</vt:lpwstr>
      </vt:variant>
      <vt:variant>
        <vt:i4>7340139</vt:i4>
      </vt:variant>
      <vt:variant>
        <vt:i4>990</vt:i4>
      </vt:variant>
      <vt:variant>
        <vt:i4>0</vt:i4>
      </vt:variant>
      <vt:variant>
        <vt:i4>5</vt:i4>
      </vt:variant>
      <vt:variant>
        <vt:lpwstr/>
      </vt:variant>
      <vt:variant>
        <vt:lpwstr>KPI</vt:lpwstr>
      </vt:variant>
      <vt:variant>
        <vt:i4>7340139</vt:i4>
      </vt:variant>
      <vt:variant>
        <vt:i4>987</vt:i4>
      </vt:variant>
      <vt:variant>
        <vt:i4>0</vt:i4>
      </vt:variant>
      <vt:variant>
        <vt:i4>5</vt:i4>
      </vt:variant>
      <vt:variant>
        <vt:lpwstr/>
      </vt:variant>
      <vt:variant>
        <vt:lpwstr>KPI</vt:lpwstr>
      </vt:variant>
      <vt:variant>
        <vt:i4>7340139</vt:i4>
      </vt:variant>
      <vt:variant>
        <vt:i4>984</vt:i4>
      </vt:variant>
      <vt:variant>
        <vt:i4>0</vt:i4>
      </vt:variant>
      <vt:variant>
        <vt:i4>5</vt:i4>
      </vt:variant>
      <vt:variant>
        <vt:lpwstr/>
      </vt:variant>
      <vt:variant>
        <vt:lpwstr>KPI</vt:lpwstr>
      </vt:variant>
      <vt:variant>
        <vt:i4>393217</vt:i4>
      </vt:variant>
      <vt:variant>
        <vt:i4>981</vt:i4>
      </vt:variant>
      <vt:variant>
        <vt:i4>0</vt:i4>
      </vt:variant>
      <vt:variant>
        <vt:i4>5</vt:i4>
      </vt:variant>
      <vt:variant>
        <vt:lpwstr/>
      </vt:variant>
      <vt:variant>
        <vt:lpwstr>COBIT</vt:lpwstr>
      </vt:variant>
      <vt:variant>
        <vt:i4>1572864</vt:i4>
      </vt:variant>
      <vt:variant>
        <vt:i4>978</vt:i4>
      </vt:variant>
      <vt:variant>
        <vt:i4>0</vt:i4>
      </vt:variant>
      <vt:variant>
        <vt:i4>5</vt:i4>
      </vt:variant>
      <vt:variant>
        <vt:lpwstr/>
      </vt:variant>
      <vt:variant>
        <vt:lpwstr>ITIL</vt:lpwstr>
      </vt:variant>
      <vt:variant>
        <vt:i4>458783</vt:i4>
      </vt:variant>
      <vt:variant>
        <vt:i4>975</vt:i4>
      </vt:variant>
      <vt:variant>
        <vt:i4>0</vt:i4>
      </vt:variant>
      <vt:variant>
        <vt:i4>5</vt:i4>
      </vt:variant>
      <vt:variant>
        <vt:lpwstr/>
      </vt:variant>
      <vt:variant>
        <vt:lpwstr>SDLC</vt:lpwstr>
      </vt:variant>
      <vt:variant>
        <vt:i4>7733338</vt:i4>
      </vt:variant>
      <vt:variant>
        <vt:i4>972</vt:i4>
      </vt:variant>
      <vt:variant>
        <vt:i4>0</vt:i4>
      </vt:variant>
      <vt:variant>
        <vt:i4>5</vt:i4>
      </vt:variant>
      <vt:variant>
        <vt:lpwstr/>
      </vt:variant>
      <vt:variant>
        <vt:lpwstr>_PR.PS-06.01:_The_organization</vt:lpwstr>
      </vt:variant>
      <vt:variant>
        <vt:i4>458783</vt:i4>
      </vt:variant>
      <vt:variant>
        <vt:i4>969</vt:i4>
      </vt:variant>
      <vt:variant>
        <vt:i4>0</vt:i4>
      </vt:variant>
      <vt:variant>
        <vt:i4>5</vt:i4>
      </vt:variant>
      <vt:variant>
        <vt:lpwstr/>
      </vt:variant>
      <vt:variant>
        <vt:lpwstr>SDLC</vt:lpwstr>
      </vt:variant>
      <vt:variant>
        <vt:i4>458783</vt:i4>
      </vt:variant>
      <vt:variant>
        <vt:i4>966</vt:i4>
      </vt:variant>
      <vt:variant>
        <vt:i4>0</vt:i4>
      </vt:variant>
      <vt:variant>
        <vt:i4>5</vt:i4>
      </vt:variant>
      <vt:variant>
        <vt:lpwstr/>
      </vt:variant>
      <vt:variant>
        <vt:lpwstr>SDLC</vt:lpwstr>
      </vt:variant>
      <vt:variant>
        <vt:i4>458783</vt:i4>
      </vt:variant>
      <vt:variant>
        <vt:i4>963</vt:i4>
      </vt:variant>
      <vt:variant>
        <vt:i4>0</vt:i4>
      </vt:variant>
      <vt:variant>
        <vt:i4>5</vt:i4>
      </vt:variant>
      <vt:variant>
        <vt:lpwstr/>
      </vt:variant>
      <vt:variant>
        <vt:lpwstr>SDLC</vt:lpwstr>
      </vt:variant>
      <vt:variant>
        <vt:i4>3211288</vt:i4>
      </vt:variant>
      <vt:variant>
        <vt:i4>960</vt:i4>
      </vt:variant>
      <vt:variant>
        <vt:i4>0</vt:i4>
      </vt:variant>
      <vt:variant>
        <vt:i4>5</vt:i4>
      </vt:variant>
      <vt:variant>
        <vt:lpwstr/>
      </vt:variant>
      <vt:variant>
        <vt:lpwstr>Cyber_resiliency</vt:lpwstr>
      </vt:variant>
      <vt:variant>
        <vt:i4>852064</vt:i4>
      </vt:variant>
      <vt:variant>
        <vt:i4>957</vt:i4>
      </vt:variant>
      <vt:variant>
        <vt:i4>0</vt:i4>
      </vt:variant>
      <vt:variant>
        <vt:i4>5</vt:i4>
      </vt:variant>
      <vt:variant>
        <vt:lpwstr/>
      </vt:variant>
      <vt:variant>
        <vt:lpwstr>_EX.CN-02.01:_The_organization's</vt:lpwstr>
      </vt:variant>
      <vt:variant>
        <vt:i4>2162701</vt:i4>
      </vt:variant>
      <vt:variant>
        <vt:i4>954</vt:i4>
      </vt:variant>
      <vt:variant>
        <vt:i4>0</vt:i4>
      </vt:variant>
      <vt:variant>
        <vt:i4>5</vt:i4>
      </vt:variant>
      <vt:variant>
        <vt:lpwstr/>
      </vt:variant>
      <vt:variant>
        <vt:lpwstr>Situational_awareness</vt:lpwstr>
      </vt:variant>
      <vt:variant>
        <vt:i4>2162701</vt:i4>
      </vt:variant>
      <vt:variant>
        <vt:i4>951</vt:i4>
      </vt:variant>
      <vt:variant>
        <vt:i4>0</vt:i4>
      </vt:variant>
      <vt:variant>
        <vt:i4>5</vt:i4>
      </vt:variant>
      <vt:variant>
        <vt:lpwstr/>
      </vt:variant>
      <vt:variant>
        <vt:lpwstr>Situational_awareness</vt:lpwstr>
      </vt:variant>
      <vt:variant>
        <vt:i4>2162701</vt:i4>
      </vt:variant>
      <vt:variant>
        <vt:i4>948</vt:i4>
      </vt:variant>
      <vt:variant>
        <vt:i4>0</vt:i4>
      </vt:variant>
      <vt:variant>
        <vt:i4>5</vt:i4>
      </vt:variant>
      <vt:variant>
        <vt:lpwstr/>
      </vt:variant>
      <vt:variant>
        <vt:lpwstr>Situational_awareness</vt:lpwstr>
      </vt:variant>
      <vt:variant>
        <vt:i4>1245310</vt:i4>
      </vt:variant>
      <vt:variant>
        <vt:i4>945</vt:i4>
      </vt:variant>
      <vt:variant>
        <vt:i4>0</vt:i4>
      </vt:variant>
      <vt:variant>
        <vt:i4>5</vt:i4>
      </vt:variant>
      <vt:variant>
        <vt:lpwstr/>
      </vt:variant>
      <vt:variant>
        <vt:lpwstr>_GV.RR-03.01:_The_organization's</vt:lpwstr>
      </vt:variant>
      <vt:variant>
        <vt:i4>6291550</vt:i4>
      </vt:variant>
      <vt:variant>
        <vt:i4>942</vt:i4>
      </vt:variant>
      <vt:variant>
        <vt:i4>0</vt:i4>
      </vt:variant>
      <vt:variant>
        <vt:i4>5</vt:i4>
      </vt:variant>
      <vt:variant>
        <vt:lpwstr/>
      </vt:variant>
      <vt:variant>
        <vt:lpwstr>Risk_assessment</vt:lpwstr>
      </vt:variant>
      <vt:variant>
        <vt:i4>2162701</vt:i4>
      </vt:variant>
      <vt:variant>
        <vt:i4>939</vt:i4>
      </vt:variant>
      <vt:variant>
        <vt:i4>0</vt:i4>
      </vt:variant>
      <vt:variant>
        <vt:i4>5</vt:i4>
      </vt:variant>
      <vt:variant>
        <vt:lpwstr/>
      </vt:variant>
      <vt:variant>
        <vt:lpwstr>Situational_awareness</vt:lpwstr>
      </vt:variant>
      <vt:variant>
        <vt:i4>2162701</vt:i4>
      </vt:variant>
      <vt:variant>
        <vt:i4>936</vt:i4>
      </vt:variant>
      <vt:variant>
        <vt:i4>0</vt:i4>
      </vt:variant>
      <vt:variant>
        <vt:i4>5</vt:i4>
      </vt:variant>
      <vt:variant>
        <vt:lpwstr/>
      </vt:variant>
      <vt:variant>
        <vt:lpwstr>Situational_awareness</vt:lpwstr>
      </vt:variant>
      <vt:variant>
        <vt:i4>1376297</vt:i4>
      </vt:variant>
      <vt:variant>
        <vt:i4>933</vt:i4>
      </vt:variant>
      <vt:variant>
        <vt:i4>0</vt:i4>
      </vt:variant>
      <vt:variant>
        <vt:i4>5</vt:i4>
      </vt:variant>
      <vt:variant>
        <vt:lpwstr/>
      </vt:variant>
      <vt:variant>
        <vt:lpwstr>_PR.AT-01.03:_Cybersecurity_awarenes</vt:lpwstr>
      </vt:variant>
      <vt:variant>
        <vt:i4>2424950</vt:i4>
      </vt:variant>
      <vt:variant>
        <vt:i4>930</vt:i4>
      </vt:variant>
      <vt:variant>
        <vt:i4>0</vt:i4>
      </vt:variant>
      <vt:variant>
        <vt:i4>5</vt:i4>
      </vt:variant>
      <vt:variant>
        <vt:lpwstr/>
      </vt:variant>
      <vt:variant>
        <vt:lpwstr>_PR.AT-01.02:_Cybersecurity_awarenes_1</vt:lpwstr>
      </vt:variant>
      <vt:variant>
        <vt:i4>8126558</vt:i4>
      </vt:variant>
      <vt:variant>
        <vt:i4>918</vt:i4>
      </vt:variant>
      <vt:variant>
        <vt:i4>0</vt:i4>
      </vt:variant>
      <vt:variant>
        <vt:i4>5</vt:i4>
      </vt:variant>
      <vt:variant>
        <vt:lpwstr/>
      </vt:variant>
      <vt:variant>
        <vt:lpwstr>_DE.CM-06.01:_The_organization</vt:lpwstr>
      </vt:variant>
      <vt:variant>
        <vt:i4>4587628</vt:i4>
      </vt:variant>
      <vt:variant>
        <vt:i4>915</vt:i4>
      </vt:variant>
      <vt:variant>
        <vt:i4>0</vt:i4>
      </vt:variant>
      <vt:variant>
        <vt:i4>5</vt:i4>
      </vt:variant>
      <vt:variant>
        <vt:lpwstr/>
      </vt:variant>
      <vt:variant>
        <vt:lpwstr>Least_privilege</vt:lpwstr>
      </vt:variant>
      <vt:variant>
        <vt:i4>8126558</vt:i4>
      </vt:variant>
      <vt:variant>
        <vt:i4>912</vt:i4>
      </vt:variant>
      <vt:variant>
        <vt:i4>0</vt:i4>
      </vt:variant>
      <vt:variant>
        <vt:i4>5</vt:i4>
      </vt:variant>
      <vt:variant>
        <vt:lpwstr/>
      </vt:variant>
      <vt:variant>
        <vt:lpwstr>_DE.CM-06.01:_The_organization</vt:lpwstr>
      </vt:variant>
      <vt:variant>
        <vt:i4>4128810</vt:i4>
      </vt:variant>
      <vt:variant>
        <vt:i4>909</vt:i4>
      </vt:variant>
      <vt:variant>
        <vt:i4>0</vt:i4>
      </vt:variant>
      <vt:variant>
        <vt:i4>5</vt:i4>
      </vt:variant>
      <vt:variant>
        <vt:lpwstr/>
      </vt:variant>
      <vt:variant>
        <vt:lpwstr>Risk_assessment_2</vt:lpwstr>
      </vt:variant>
      <vt:variant>
        <vt:i4>4325435</vt:i4>
      </vt:variant>
      <vt:variant>
        <vt:i4>903</vt:i4>
      </vt:variant>
      <vt:variant>
        <vt:i4>0</vt:i4>
      </vt:variant>
      <vt:variant>
        <vt:i4>5</vt:i4>
      </vt:variant>
      <vt:variant>
        <vt:lpwstr>https://eyus.sharepoint.com/sites/EYCRICollaboration-EYWorking/Shared Documents/Internal - EY Working/Execution/Profile Workbook/CRI Profile Workbook - version 1-2-1 Jan-2023.docx</vt:lpwstr>
      </vt:variant>
      <vt:variant>
        <vt:lpwstr>Risk_assessment</vt:lpwstr>
      </vt:variant>
      <vt:variant>
        <vt:i4>8257654</vt:i4>
      </vt:variant>
      <vt:variant>
        <vt:i4>897</vt:i4>
      </vt:variant>
      <vt:variant>
        <vt:i4>0</vt:i4>
      </vt:variant>
      <vt:variant>
        <vt:i4>5</vt:i4>
      </vt:variant>
      <vt:variant>
        <vt:lpwstr/>
      </vt:variant>
      <vt:variant>
        <vt:lpwstr>Recovery_point_obj</vt:lpwstr>
      </vt:variant>
      <vt:variant>
        <vt:i4>3211288</vt:i4>
      </vt:variant>
      <vt:variant>
        <vt:i4>894</vt:i4>
      </vt:variant>
      <vt:variant>
        <vt:i4>0</vt:i4>
      </vt:variant>
      <vt:variant>
        <vt:i4>5</vt:i4>
      </vt:variant>
      <vt:variant>
        <vt:lpwstr/>
      </vt:variant>
      <vt:variant>
        <vt:lpwstr>Cyber_resiliency</vt:lpwstr>
      </vt:variant>
      <vt:variant>
        <vt:i4>5832817</vt:i4>
      </vt:variant>
      <vt:variant>
        <vt:i4>891</vt:i4>
      </vt:variant>
      <vt:variant>
        <vt:i4>0</vt:i4>
      </vt:variant>
      <vt:variant>
        <vt:i4>5</vt:i4>
      </vt:variant>
      <vt:variant>
        <vt:lpwstr/>
      </vt:variant>
      <vt:variant>
        <vt:lpwstr>_PR.IP-1.2:_Established_policies,</vt:lpwstr>
      </vt:variant>
      <vt:variant>
        <vt:i4>3211288</vt:i4>
      </vt:variant>
      <vt:variant>
        <vt:i4>888</vt:i4>
      </vt:variant>
      <vt:variant>
        <vt:i4>0</vt:i4>
      </vt:variant>
      <vt:variant>
        <vt:i4>5</vt:i4>
      </vt:variant>
      <vt:variant>
        <vt:lpwstr/>
      </vt:variant>
      <vt:variant>
        <vt:lpwstr>Cyber_resiliency</vt:lpwstr>
      </vt:variant>
      <vt:variant>
        <vt:i4>6488171</vt:i4>
      </vt:variant>
      <vt:variant>
        <vt:i4>882</vt:i4>
      </vt:variant>
      <vt:variant>
        <vt:i4>0</vt:i4>
      </vt:variant>
      <vt:variant>
        <vt:i4>5</vt:i4>
      </vt:variant>
      <vt:variant>
        <vt:lpwstr/>
      </vt:variant>
      <vt:variant>
        <vt:lpwstr>KCI</vt:lpwstr>
      </vt:variant>
      <vt:variant>
        <vt:i4>7471211</vt:i4>
      </vt:variant>
      <vt:variant>
        <vt:i4>879</vt:i4>
      </vt:variant>
      <vt:variant>
        <vt:i4>0</vt:i4>
      </vt:variant>
      <vt:variant>
        <vt:i4>5</vt:i4>
      </vt:variant>
      <vt:variant>
        <vt:lpwstr/>
      </vt:variant>
      <vt:variant>
        <vt:lpwstr>KRI</vt:lpwstr>
      </vt:variant>
      <vt:variant>
        <vt:i4>7471211</vt:i4>
      </vt:variant>
      <vt:variant>
        <vt:i4>876</vt:i4>
      </vt:variant>
      <vt:variant>
        <vt:i4>0</vt:i4>
      </vt:variant>
      <vt:variant>
        <vt:i4>5</vt:i4>
      </vt:variant>
      <vt:variant>
        <vt:lpwstr/>
      </vt:variant>
      <vt:variant>
        <vt:lpwstr>KRI</vt:lpwstr>
      </vt:variant>
      <vt:variant>
        <vt:i4>7340139</vt:i4>
      </vt:variant>
      <vt:variant>
        <vt:i4>873</vt:i4>
      </vt:variant>
      <vt:variant>
        <vt:i4>0</vt:i4>
      </vt:variant>
      <vt:variant>
        <vt:i4>5</vt:i4>
      </vt:variant>
      <vt:variant>
        <vt:lpwstr/>
      </vt:variant>
      <vt:variant>
        <vt:lpwstr>KPI</vt:lpwstr>
      </vt:variant>
      <vt:variant>
        <vt:i4>7471211</vt:i4>
      </vt:variant>
      <vt:variant>
        <vt:i4>870</vt:i4>
      </vt:variant>
      <vt:variant>
        <vt:i4>0</vt:i4>
      </vt:variant>
      <vt:variant>
        <vt:i4>5</vt:i4>
      </vt:variant>
      <vt:variant>
        <vt:lpwstr/>
      </vt:variant>
      <vt:variant>
        <vt:lpwstr>KRI</vt:lpwstr>
      </vt:variant>
      <vt:variant>
        <vt:i4>7340139</vt:i4>
      </vt:variant>
      <vt:variant>
        <vt:i4>867</vt:i4>
      </vt:variant>
      <vt:variant>
        <vt:i4>0</vt:i4>
      </vt:variant>
      <vt:variant>
        <vt:i4>5</vt:i4>
      </vt:variant>
      <vt:variant>
        <vt:lpwstr/>
      </vt:variant>
      <vt:variant>
        <vt:lpwstr>KPI</vt:lpwstr>
      </vt:variant>
      <vt:variant>
        <vt:i4>6488171</vt:i4>
      </vt:variant>
      <vt:variant>
        <vt:i4>864</vt:i4>
      </vt:variant>
      <vt:variant>
        <vt:i4>0</vt:i4>
      </vt:variant>
      <vt:variant>
        <vt:i4>5</vt:i4>
      </vt:variant>
      <vt:variant>
        <vt:lpwstr/>
      </vt:variant>
      <vt:variant>
        <vt:lpwstr>KCI</vt:lpwstr>
      </vt:variant>
      <vt:variant>
        <vt:i4>7471211</vt:i4>
      </vt:variant>
      <vt:variant>
        <vt:i4>861</vt:i4>
      </vt:variant>
      <vt:variant>
        <vt:i4>0</vt:i4>
      </vt:variant>
      <vt:variant>
        <vt:i4>5</vt:i4>
      </vt:variant>
      <vt:variant>
        <vt:lpwstr/>
      </vt:variant>
      <vt:variant>
        <vt:lpwstr>KRI</vt:lpwstr>
      </vt:variant>
      <vt:variant>
        <vt:i4>7340139</vt:i4>
      </vt:variant>
      <vt:variant>
        <vt:i4>858</vt:i4>
      </vt:variant>
      <vt:variant>
        <vt:i4>0</vt:i4>
      </vt:variant>
      <vt:variant>
        <vt:i4>5</vt:i4>
      </vt:variant>
      <vt:variant>
        <vt:lpwstr/>
      </vt:variant>
      <vt:variant>
        <vt:lpwstr>KPI</vt:lpwstr>
      </vt:variant>
      <vt:variant>
        <vt:i4>6488171</vt:i4>
      </vt:variant>
      <vt:variant>
        <vt:i4>855</vt:i4>
      </vt:variant>
      <vt:variant>
        <vt:i4>0</vt:i4>
      </vt:variant>
      <vt:variant>
        <vt:i4>5</vt:i4>
      </vt:variant>
      <vt:variant>
        <vt:lpwstr/>
      </vt:variant>
      <vt:variant>
        <vt:lpwstr>KCI</vt:lpwstr>
      </vt:variant>
      <vt:variant>
        <vt:i4>7471211</vt:i4>
      </vt:variant>
      <vt:variant>
        <vt:i4>852</vt:i4>
      </vt:variant>
      <vt:variant>
        <vt:i4>0</vt:i4>
      </vt:variant>
      <vt:variant>
        <vt:i4>5</vt:i4>
      </vt:variant>
      <vt:variant>
        <vt:lpwstr/>
      </vt:variant>
      <vt:variant>
        <vt:lpwstr>KRI</vt:lpwstr>
      </vt:variant>
      <vt:variant>
        <vt:i4>7340139</vt:i4>
      </vt:variant>
      <vt:variant>
        <vt:i4>849</vt:i4>
      </vt:variant>
      <vt:variant>
        <vt:i4>0</vt:i4>
      </vt:variant>
      <vt:variant>
        <vt:i4>5</vt:i4>
      </vt:variant>
      <vt:variant>
        <vt:lpwstr/>
      </vt:variant>
      <vt:variant>
        <vt:lpwstr>KPI</vt:lpwstr>
      </vt:variant>
      <vt:variant>
        <vt:i4>6488171</vt:i4>
      </vt:variant>
      <vt:variant>
        <vt:i4>846</vt:i4>
      </vt:variant>
      <vt:variant>
        <vt:i4>0</vt:i4>
      </vt:variant>
      <vt:variant>
        <vt:i4>5</vt:i4>
      </vt:variant>
      <vt:variant>
        <vt:lpwstr/>
      </vt:variant>
      <vt:variant>
        <vt:lpwstr>KCI</vt:lpwstr>
      </vt:variant>
      <vt:variant>
        <vt:i4>7471211</vt:i4>
      </vt:variant>
      <vt:variant>
        <vt:i4>843</vt:i4>
      </vt:variant>
      <vt:variant>
        <vt:i4>0</vt:i4>
      </vt:variant>
      <vt:variant>
        <vt:i4>5</vt:i4>
      </vt:variant>
      <vt:variant>
        <vt:lpwstr/>
      </vt:variant>
      <vt:variant>
        <vt:lpwstr>KRI</vt:lpwstr>
      </vt:variant>
      <vt:variant>
        <vt:i4>7340139</vt:i4>
      </vt:variant>
      <vt:variant>
        <vt:i4>840</vt:i4>
      </vt:variant>
      <vt:variant>
        <vt:i4>0</vt:i4>
      </vt:variant>
      <vt:variant>
        <vt:i4>5</vt:i4>
      </vt:variant>
      <vt:variant>
        <vt:lpwstr/>
      </vt:variant>
      <vt:variant>
        <vt:lpwstr>KPI</vt:lpwstr>
      </vt:variant>
      <vt:variant>
        <vt:i4>6488171</vt:i4>
      </vt:variant>
      <vt:variant>
        <vt:i4>837</vt:i4>
      </vt:variant>
      <vt:variant>
        <vt:i4>0</vt:i4>
      </vt:variant>
      <vt:variant>
        <vt:i4>5</vt:i4>
      </vt:variant>
      <vt:variant>
        <vt:lpwstr/>
      </vt:variant>
      <vt:variant>
        <vt:lpwstr>KCI</vt:lpwstr>
      </vt:variant>
      <vt:variant>
        <vt:i4>7471211</vt:i4>
      </vt:variant>
      <vt:variant>
        <vt:i4>834</vt:i4>
      </vt:variant>
      <vt:variant>
        <vt:i4>0</vt:i4>
      </vt:variant>
      <vt:variant>
        <vt:i4>5</vt:i4>
      </vt:variant>
      <vt:variant>
        <vt:lpwstr/>
      </vt:variant>
      <vt:variant>
        <vt:lpwstr>KRI</vt:lpwstr>
      </vt:variant>
      <vt:variant>
        <vt:i4>7340139</vt:i4>
      </vt:variant>
      <vt:variant>
        <vt:i4>831</vt:i4>
      </vt:variant>
      <vt:variant>
        <vt:i4>0</vt:i4>
      </vt:variant>
      <vt:variant>
        <vt:i4>5</vt:i4>
      </vt:variant>
      <vt:variant>
        <vt:lpwstr/>
      </vt:variant>
      <vt:variant>
        <vt:lpwstr>KPI</vt:lpwstr>
      </vt:variant>
      <vt:variant>
        <vt:i4>6488171</vt:i4>
      </vt:variant>
      <vt:variant>
        <vt:i4>828</vt:i4>
      </vt:variant>
      <vt:variant>
        <vt:i4>0</vt:i4>
      </vt:variant>
      <vt:variant>
        <vt:i4>5</vt:i4>
      </vt:variant>
      <vt:variant>
        <vt:lpwstr/>
      </vt:variant>
      <vt:variant>
        <vt:lpwstr>KCI</vt:lpwstr>
      </vt:variant>
      <vt:variant>
        <vt:i4>8257654</vt:i4>
      </vt:variant>
      <vt:variant>
        <vt:i4>825</vt:i4>
      </vt:variant>
      <vt:variant>
        <vt:i4>0</vt:i4>
      </vt:variant>
      <vt:variant>
        <vt:i4>5</vt:i4>
      </vt:variant>
      <vt:variant>
        <vt:lpwstr/>
      </vt:variant>
      <vt:variant>
        <vt:lpwstr>Recovery_point_obj</vt:lpwstr>
      </vt:variant>
      <vt:variant>
        <vt:i4>3276841</vt:i4>
      </vt:variant>
      <vt:variant>
        <vt:i4>822</vt:i4>
      </vt:variant>
      <vt:variant>
        <vt:i4>0</vt:i4>
      </vt:variant>
      <vt:variant>
        <vt:i4>5</vt:i4>
      </vt:variant>
      <vt:variant>
        <vt:lpwstr/>
      </vt:variant>
      <vt:variant>
        <vt:lpwstr>Recovery_time_obj</vt:lpwstr>
      </vt:variant>
      <vt:variant>
        <vt:i4>3211288</vt:i4>
      </vt:variant>
      <vt:variant>
        <vt:i4>819</vt:i4>
      </vt:variant>
      <vt:variant>
        <vt:i4>0</vt:i4>
      </vt:variant>
      <vt:variant>
        <vt:i4>5</vt:i4>
      </vt:variant>
      <vt:variant>
        <vt:lpwstr/>
      </vt:variant>
      <vt:variant>
        <vt:lpwstr>Cyber_resiliency</vt:lpwstr>
      </vt:variant>
      <vt:variant>
        <vt:i4>6881353</vt:i4>
      </vt:variant>
      <vt:variant>
        <vt:i4>816</vt:i4>
      </vt:variant>
      <vt:variant>
        <vt:i4>0</vt:i4>
      </vt:variant>
      <vt:variant>
        <vt:i4>5</vt:i4>
      </vt:variant>
      <vt:variant>
        <vt:lpwstr/>
      </vt:variant>
      <vt:variant>
        <vt:lpwstr>Threat_analysis</vt:lpwstr>
      </vt:variant>
      <vt:variant>
        <vt:i4>6291550</vt:i4>
      </vt:variant>
      <vt:variant>
        <vt:i4>810</vt:i4>
      </vt:variant>
      <vt:variant>
        <vt:i4>0</vt:i4>
      </vt:variant>
      <vt:variant>
        <vt:i4>5</vt:i4>
      </vt:variant>
      <vt:variant>
        <vt:lpwstr/>
      </vt:variant>
      <vt:variant>
        <vt:lpwstr>Risk_assessment</vt:lpwstr>
      </vt:variant>
      <vt:variant>
        <vt:i4>6750294</vt:i4>
      </vt:variant>
      <vt:variant>
        <vt:i4>801</vt:i4>
      </vt:variant>
      <vt:variant>
        <vt:i4>0</vt:i4>
      </vt:variant>
      <vt:variant>
        <vt:i4>5</vt:i4>
      </vt:variant>
      <vt:variant>
        <vt:lpwstr/>
      </vt:variant>
      <vt:variant>
        <vt:lpwstr>Threat_intelligence</vt:lpwstr>
      </vt:variant>
      <vt:variant>
        <vt:i4>6881353</vt:i4>
      </vt:variant>
      <vt:variant>
        <vt:i4>798</vt:i4>
      </vt:variant>
      <vt:variant>
        <vt:i4>0</vt:i4>
      </vt:variant>
      <vt:variant>
        <vt:i4>5</vt:i4>
      </vt:variant>
      <vt:variant>
        <vt:lpwstr/>
      </vt:variant>
      <vt:variant>
        <vt:lpwstr>Threat_analysis</vt:lpwstr>
      </vt:variant>
      <vt:variant>
        <vt:i4>6881353</vt:i4>
      </vt:variant>
      <vt:variant>
        <vt:i4>795</vt:i4>
      </vt:variant>
      <vt:variant>
        <vt:i4>0</vt:i4>
      </vt:variant>
      <vt:variant>
        <vt:i4>5</vt:i4>
      </vt:variant>
      <vt:variant>
        <vt:lpwstr/>
      </vt:variant>
      <vt:variant>
        <vt:lpwstr>Threat_analysis</vt:lpwstr>
      </vt:variant>
      <vt:variant>
        <vt:i4>8192075</vt:i4>
      </vt:variant>
      <vt:variant>
        <vt:i4>792</vt:i4>
      </vt:variant>
      <vt:variant>
        <vt:i4>0</vt:i4>
      </vt:variant>
      <vt:variant>
        <vt:i4>5</vt:i4>
      </vt:variant>
      <vt:variant>
        <vt:lpwstr/>
      </vt:variant>
      <vt:variant>
        <vt:lpwstr>_ID.RA-03.01:_The_organization,</vt:lpwstr>
      </vt:variant>
      <vt:variant>
        <vt:i4>6881353</vt:i4>
      </vt:variant>
      <vt:variant>
        <vt:i4>789</vt:i4>
      </vt:variant>
      <vt:variant>
        <vt:i4>0</vt:i4>
      </vt:variant>
      <vt:variant>
        <vt:i4>5</vt:i4>
      </vt:variant>
      <vt:variant>
        <vt:lpwstr/>
      </vt:variant>
      <vt:variant>
        <vt:lpwstr>Threat_analysis</vt:lpwstr>
      </vt:variant>
      <vt:variant>
        <vt:i4>6750294</vt:i4>
      </vt:variant>
      <vt:variant>
        <vt:i4>786</vt:i4>
      </vt:variant>
      <vt:variant>
        <vt:i4>0</vt:i4>
      </vt:variant>
      <vt:variant>
        <vt:i4>5</vt:i4>
      </vt:variant>
      <vt:variant>
        <vt:lpwstr/>
      </vt:variant>
      <vt:variant>
        <vt:lpwstr>Threat_intelligence</vt:lpwstr>
      </vt:variant>
      <vt:variant>
        <vt:i4>2162701</vt:i4>
      </vt:variant>
      <vt:variant>
        <vt:i4>783</vt:i4>
      </vt:variant>
      <vt:variant>
        <vt:i4>0</vt:i4>
      </vt:variant>
      <vt:variant>
        <vt:i4>5</vt:i4>
      </vt:variant>
      <vt:variant>
        <vt:lpwstr/>
      </vt:variant>
      <vt:variant>
        <vt:lpwstr>Situational_awareness</vt:lpwstr>
      </vt:variant>
      <vt:variant>
        <vt:i4>6750294</vt:i4>
      </vt:variant>
      <vt:variant>
        <vt:i4>780</vt:i4>
      </vt:variant>
      <vt:variant>
        <vt:i4>0</vt:i4>
      </vt:variant>
      <vt:variant>
        <vt:i4>5</vt:i4>
      </vt:variant>
      <vt:variant>
        <vt:lpwstr/>
      </vt:variant>
      <vt:variant>
        <vt:lpwstr>Threat_intelligence</vt:lpwstr>
      </vt:variant>
      <vt:variant>
        <vt:i4>6881353</vt:i4>
      </vt:variant>
      <vt:variant>
        <vt:i4>777</vt:i4>
      </vt:variant>
      <vt:variant>
        <vt:i4>0</vt:i4>
      </vt:variant>
      <vt:variant>
        <vt:i4>5</vt:i4>
      </vt:variant>
      <vt:variant>
        <vt:lpwstr/>
      </vt:variant>
      <vt:variant>
        <vt:lpwstr>Threat_analysis</vt:lpwstr>
      </vt:variant>
      <vt:variant>
        <vt:i4>3211288</vt:i4>
      </vt:variant>
      <vt:variant>
        <vt:i4>774</vt:i4>
      </vt:variant>
      <vt:variant>
        <vt:i4>0</vt:i4>
      </vt:variant>
      <vt:variant>
        <vt:i4>5</vt:i4>
      </vt:variant>
      <vt:variant>
        <vt:lpwstr/>
      </vt:variant>
      <vt:variant>
        <vt:lpwstr>Cyber_resiliency</vt:lpwstr>
      </vt:variant>
      <vt:variant>
        <vt:i4>3801108</vt:i4>
      </vt:variant>
      <vt:variant>
        <vt:i4>771</vt:i4>
      </vt:variant>
      <vt:variant>
        <vt:i4>0</vt:i4>
      </vt:variant>
      <vt:variant>
        <vt:i4>5</vt:i4>
      </vt:variant>
      <vt:variant>
        <vt:lpwstr/>
      </vt:variant>
      <vt:variant>
        <vt:lpwstr>Cyber_threat</vt:lpwstr>
      </vt:variant>
      <vt:variant>
        <vt:i4>2162701</vt:i4>
      </vt:variant>
      <vt:variant>
        <vt:i4>768</vt:i4>
      </vt:variant>
      <vt:variant>
        <vt:i4>0</vt:i4>
      </vt:variant>
      <vt:variant>
        <vt:i4>5</vt:i4>
      </vt:variant>
      <vt:variant>
        <vt:lpwstr/>
      </vt:variant>
      <vt:variant>
        <vt:lpwstr>Situational_awareness</vt:lpwstr>
      </vt:variant>
      <vt:variant>
        <vt:i4>7340139</vt:i4>
      </vt:variant>
      <vt:variant>
        <vt:i4>759</vt:i4>
      </vt:variant>
      <vt:variant>
        <vt:i4>0</vt:i4>
      </vt:variant>
      <vt:variant>
        <vt:i4>5</vt:i4>
      </vt:variant>
      <vt:variant>
        <vt:lpwstr/>
      </vt:variant>
      <vt:variant>
        <vt:lpwstr>KPI</vt:lpwstr>
      </vt:variant>
      <vt:variant>
        <vt:i4>7471211</vt:i4>
      </vt:variant>
      <vt:variant>
        <vt:i4>756</vt:i4>
      </vt:variant>
      <vt:variant>
        <vt:i4>0</vt:i4>
      </vt:variant>
      <vt:variant>
        <vt:i4>5</vt:i4>
      </vt:variant>
      <vt:variant>
        <vt:lpwstr/>
      </vt:variant>
      <vt:variant>
        <vt:lpwstr>KRI</vt:lpwstr>
      </vt:variant>
      <vt:variant>
        <vt:i4>4456568</vt:i4>
      </vt:variant>
      <vt:variant>
        <vt:i4>753</vt:i4>
      </vt:variant>
      <vt:variant>
        <vt:i4>0</vt:i4>
      </vt:variant>
      <vt:variant>
        <vt:i4>5</vt:i4>
      </vt:variant>
      <vt:variant>
        <vt:lpwstr/>
      </vt:variant>
      <vt:variant>
        <vt:lpwstr>Asset_inventory</vt:lpwstr>
      </vt:variant>
      <vt:variant>
        <vt:i4>7864336</vt:i4>
      </vt:variant>
      <vt:variant>
        <vt:i4>747</vt:i4>
      </vt:variant>
      <vt:variant>
        <vt:i4>0</vt:i4>
      </vt:variant>
      <vt:variant>
        <vt:i4>5</vt:i4>
      </vt:variant>
      <vt:variant>
        <vt:lpwstr>https://eyus.sharepoint.com/sites/EYCRICollaboration-EYWorking/Shared Documents/Internal - EY Working/Execution/Profile Workbook/CRI Profile Workbook - version 1-2-1 Jan-2023.docx</vt:lpwstr>
      </vt:variant>
      <vt:variant>
        <vt:lpwstr>_ID.AM-5.1:_The_organization</vt:lpwstr>
      </vt:variant>
      <vt:variant>
        <vt:i4>4456568</vt:i4>
      </vt:variant>
      <vt:variant>
        <vt:i4>726</vt:i4>
      </vt:variant>
      <vt:variant>
        <vt:i4>0</vt:i4>
      </vt:variant>
      <vt:variant>
        <vt:i4>5</vt:i4>
      </vt:variant>
      <vt:variant>
        <vt:lpwstr/>
      </vt:variant>
      <vt:variant>
        <vt:lpwstr>Asset_inventory</vt:lpwstr>
      </vt:variant>
      <vt:variant>
        <vt:i4>7340139</vt:i4>
      </vt:variant>
      <vt:variant>
        <vt:i4>717</vt:i4>
      </vt:variant>
      <vt:variant>
        <vt:i4>0</vt:i4>
      </vt:variant>
      <vt:variant>
        <vt:i4>5</vt:i4>
      </vt:variant>
      <vt:variant>
        <vt:lpwstr/>
      </vt:variant>
      <vt:variant>
        <vt:lpwstr>KPI</vt:lpwstr>
      </vt:variant>
      <vt:variant>
        <vt:i4>7471211</vt:i4>
      </vt:variant>
      <vt:variant>
        <vt:i4>714</vt:i4>
      </vt:variant>
      <vt:variant>
        <vt:i4>0</vt:i4>
      </vt:variant>
      <vt:variant>
        <vt:i4>5</vt:i4>
      </vt:variant>
      <vt:variant>
        <vt:lpwstr/>
      </vt:variant>
      <vt:variant>
        <vt:lpwstr>KRI</vt:lpwstr>
      </vt:variant>
      <vt:variant>
        <vt:i4>7405658</vt:i4>
      </vt:variant>
      <vt:variant>
        <vt:i4>711</vt:i4>
      </vt:variant>
      <vt:variant>
        <vt:i4>0</vt:i4>
      </vt:variant>
      <vt:variant>
        <vt:i4>5</vt:i4>
      </vt:variant>
      <vt:variant>
        <vt:lpwstr/>
      </vt:variant>
      <vt:variant>
        <vt:lpwstr>_ID.AM-01.01:_The_organization</vt:lpwstr>
      </vt:variant>
      <vt:variant>
        <vt:i4>4456568</vt:i4>
      </vt:variant>
      <vt:variant>
        <vt:i4>708</vt:i4>
      </vt:variant>
      <vt:variant>
        <vt:i4>0</vt:i4>
      </vt:variant>
      <vt:variant>
        <vt:i4>5</vt:i4>
      </vt:variant>
      <vt:variant>
        <vt:lpwstr/>
      </vt:variant>
      <vt:variant>
        <vt:lpwstr>Asset_inventory</vt:lpwstr>
      </vt:variant>
      <vt:variant>
        <vt:i4>7340139</vt:i4>
      </vt:variant>
      <vt:variant>
        <vt:i4>705</vt:i4>
      </vt:variant>
      <vt:variant>
        <vt:i4>0</vt:i4>
      </vt:variant>
      <vt:variant>
        <vt:i4>5</vt:i4>
      </vt:variant>
      <vt:variant>
        <vt:lpwstr/>
      </vt:variant>
      <vt:variant>
        <vt:lpwstr>KPI</vt:lpwstr>
      </vt:variant>
      <vt:variant>
        <vt:i4>7471211</vt:i4>
      </vt:variant>
      <vt:variant>
        <vt:i4>702</vt:i4>
      </vt:variant>
      <vt:variant>
        <vt:i4>0</vt:i4>
      </vt:variant>
      <vt:variant>
        <vt:i4>5</vt:i4>
      </vt:variant>
      <vt:variant>
        <vt:lpwstr/>
      </vt:variant>
      <vt:variant>
        <vt:lpwstr>KRI</vt:lpwstr>
      </vt:variant>
      <vt:variant>
        <vt:i4>4456568</vt:i4>
      </vt:variant>
      <vt:variant>
        <vt:i4>699</vt:i4>
      </vt:variant>
      <vt:variant>
        <vt:i4>0</vt:i4>
      </vt:variant>
      <vt:variant>
        <vt:i4>5</vt:i4>
      </vt:variant>
      <vt:variant>
        <vt:lpwstr/>
      </vt:variant>
      <vt:variant>
        <vt:lpwstr>Asset_inventory</vt:lpwstr>
      </vt:variant>
      <vt:variant>
        <vt:i4>6291550</vt:i4>
      </vt:variant>
      <vt:variant>
        <vt:i4>696</vt:i4>
      </vt:variant>
      <vt:variant>
        <vt:i4>0</vt:i4>
      </vt:variant>
      <vt:variant>
        <vt:i4>5</vt:i4>
      </vt:variant>
      <vt:variant>
        <vt:lpwstr/>
      </vt:variant>
      <vt:variant>
        <vt:lpwstr>Risk_assessment</vt:lpwstr>
      </vt:variant>
      <vt:variant>
        <vt:i4>1835013</vt:i4>
      </vt:variant>
      <vt:variant>
        <vt:i4>693</vt:i4>
      </vt:variant>
      <vt:variant>
        <vt:i4>0</vt:i4>
      </vt:variant>
      <vt:variant>
        <vt:i4>5</vt:i4>
      </vt:variant>
      <vt:variant>
        <vt:lpwstr/>
      </vt:variant>
      <vt:variant>
        <vt:lpwstr>Audit</vt:lpwstr>
      </vt:variant>
      <vt:variant>
        <vt:i4>1835013</vt:i4>
      </vt:variant>
      <vt:variant>
        <vt:i4>690</vt:i4>
      </vt:variant>
      <vt:variant>
        <vt:i4>0</vt:i4>
      </vt:variant>
      <vt:variant>
        <vt:i4>5</vt:i4>
      </vt:variant>
      <vt:variant>
        <vt:lpwstr/>
      </vt:variant>
      <vt:variant>
        <vt:lpwstr>Audit</vt:lpwstr>
      </vt:variant>
      <vt:variant>
        <vt:i4>1835013</vt:i4>
      </vt:variant>
      <vt:variant>
        <vt:i4>687</vt:i4>
      </vt:variant>
      <vt:variant>
        <vt:i4>0</vt:i4>
      </vt:variant>
      <vt:variant>
        <vt:i4>5</vt:i4>
      </vt:variant>
      <vt:variant>
        <vt:lpwstr/>
      </vt:variant>
      <vt:variant>
        <vt:lpwstr>Audit</vt:lpwstr>
      </vt:variant>
      <vt:variant>
        <vt:i4>1835013</vt:i4>
      </vt:variant>
      <vt:variant>
        <vt:i4>684</vt:i4>
      </vt:variant>
      <vt:variant>
        <vt:i4>0</vt:i4>
      </vt:variant>
      <vt:variant>
        <vt:i4>5</vt:i4>
      </vt:variant>
      <vt:variant>
        <vt:lpwstr/>
      </vt:variant>
      <vt:variant>
        <vt:lpwstr>Audit</vt:lpwstr>
      </vt:variant>
      <vt:variant>
        <vt:i4>6488150</vt:i4>
      </vt:variant>
      <vt:variant>
        <vt:i4>681</vt:i4>
      </vt:variant>
      <vt:variant>
        <vt:i4>0</vt:i4>
      </vt:variant>
      <vt:variant>
        <vt:i4>5</vt:i4>
      </vt:variant>
      <vt:variant>
        <vt:lpwstr/>
      </vt:variant>
      <vt:variant>
        <vt:lpwstr>Risk_tolerance</vt:lpwstr>
      </vt:variant>
      <vt:variant>
        <vt:i4>7471170</vt:i4>
      </vt:variant>
      <vt:variant>
        <vt:i4>678</vt:i4>
      </vt:variant>
      <vt:variant>
        <vt:i4>0</vt:i4>
      </vt:variant>
      <vt:variant>
        <vt:i4>5</vt:i4>
      </vt:variant>
      <vt:variant>
        <vt:lpwstr/>
      </vt:variant>
      <vt:variant>
        <vt:lpwstr>Risk_acceptance</vt:lpwstr>
      </vt:variant>
      <vt:variant>
        <vt:i4>1245218</vt:i4>
      </vt:variant>
      <vt:variant>
        <vt:i4>675</vt:i4>
      </vt:variant>
      <vt:variant>
        <vt:i4>0</vt:i4>
      </vt:variant>
      <vt:variant>
        <vt:i4>5</vt:i4>
      </vt:variant>
      <vt:variant>
        <vt:lpwstr/>
      </vt:variant>
      <vt:variant>
        <vt:lpwstr>Risk_appetite</vt:lpwstr>
      </vt:variant>
      <vt:variant>
        <vt:i4>6291550</vt:i4>
      </vt:variant>
      <vt:variant>
        <vt:i4>672</vt:i4>
      </vt:variant>
      <vt:variant>
        <vt:i4>0</vt:i4>
      </vt:variant>
      <vt:variant>
        <vt:i4>5</vt:i4>
      </vt:variant>
      <vt:variant>
        <vt:lpwstr/>
      </vt:variant>
      <vt:variant>
        <vt:lpwstr>Risk_assessment</vt:lpwstr>
      </vt:variant>
      <vt:variant>
        <vt:i4>1835013</vt:i4>
      </vt:variant>
      <vt:variant>
        <vt:i4>669</vt:i4>
      </vt:variant>
      <vt:variant>
        <vt:i4>0</vt:i4>
      </vt:variant>
      <vt:variant>
        <vt:i4>5</vt:i4>
      </vt:variant>
      <vt:variant>
        <vt:lpwstr/>
      </vt:variant>
      <vt:variant>
        <vt:lpwstr>Audit</vt:lpwstr>
      </vt:variant>
      <vt:variant>
        <vt:i4>1835013</vt:i4>
      </vt:variant>
      <vt:variant>
        <vt:i4>666</vt:i4>
      </vt:variant>
      <vt:variant>
        <vt:i4>0</vt:i4>
      </vt:variant>
      <vt:variant>
        <vt:i4>5</vt:i4>
      </vt:variant>
      <vt:variant>
        <vt:lpwstr/>
      </vt:variant>
      <vt:variant>
        <vt:lpwstr>Audit</vt:lpwstr>
      </vt:variant>
      <vt:variant>
        <vt:i4>4194369</vt:i4>
      </vt:variant>
      <vt:variant>
        <vt:i4>663</vt:i4>
      </vt:variant>
      <vt:variant>
        <vt:i4>0</vt:i4>
      </vt:variant>
      <vt:variant>
        <vt:i4>5</vt:i4>
      </vt:variant>
      <vt:variant>
        <vt:lpwstr/>
      </vt:variant>
      <vt:variant>
        <vt:lpwstr>Second_line_defense</vt:lpwstr>
      </vt:variant>
      <vt:variant>
        <vt:i4>1835013</vt:i4>
      </vt:variant>
      <vt:variant>
        <vt:i4>660</vt:i4>
      </vt:variant>
      <vt:variant>
        <vt:i4>0</vt:i4>
      </vt:variant>
      <vt:variant>
        <vt:i4>5</vt:i4>
      </vt:variant>
      <vt:variant>
        <vt:lpwstr/>
      </vt:variant>
      <vt:variant>
        <vt:lpwstr>Audit</vt:lpwstr>
      </vt:variant>
      <vt:variant>
        <vt:i4>6619230</vt:i4>
      </vt:variant>
      <vt:variant>
        <vt:i4>657</vt:i4>
      </vt:variant>
      <vt:variant>
        <vt:i4>0</vt:i4>
      </vt:variant>
      <vt:variant>
        <vt:i4>5</vt:i4>
      </vt:variant>
      <vt:variant>
        <vt:lpwstr/>
      </vt:variant>
      <vt:variant>
        <vt:lpwstr>Risk_management</vt:lpwstr>
      </vt:variant>
      <vt:variant>
        <vt:i4>1835013</vt:i4>
      </vt:variant>
      <vt:variant>
        <vt:i4>654</vt:i4>
      </vt:variant>
      <vt:variant>
        <vt:i4>0</vt:i4>
      </vt:variant>
      <vt:variant>
        <vt:i4>5</vt:i4>
      </vt:variant>
      <vt:variant>
        <vt:lpwstr/>
      </vt:variant>
      <vt:variant>
        <vt:lpwstr>Audit</vt:lpwstr>
      </vt:variant>
      <vt:variant>
        <vt:i4>1835013</vt:i4>
      </vt:variant>
      <vt:variant>
        <vt:i4>651</vt:i4>
      </vt:variant>
      <vt:variant>
        <vt:i4>0</vt:i4>
      </vt:variant>
      <vt:variant>
        <vt:i4>5</vt:i4>
      </vt:variant>
      <vt:variant>
        <vt:lpwstr/>
      </vt:variant>
      <vt:variant>
        <vt:lpwstr>Audit</vt:lpwstr>
      </vt:variant>
      <vt:variant>
        <vt:i4>1245218</vt:i4>
      </vt:variant>
      <vt:variant>
        <vt:i4>648</vt:i4>
      </vt:variant>
      <vt:variant>
        <vt:i4>0</vt:i4>
      </vt:variant>
      <vt:variant>
        <vt:i4>5</vt:i4>
      </vt:variant>
      <vt:variant>
        <vt:lpwstr/>
      </vt:variant>
      <vt:variant>
        <vt:lpwstr>Risk_appetite</vt:lpwstr>
      </vt:variant>
      <vt:variant>
        <vt:i4>6291550</vt:i4>
      </vt:variant>
      <vt:variant>
        <vt:i4>645</vt:i4>
      </vt:variant>
      <vt:variant>
        <vt:i4>0</vt:i4>
      </vt:variant>
      <vt:variant>
        <vt:i4>5</vt:i4>
      </vt:variant>
      <vt:variant>
        <vt:lpwstr/>
      </vt:variant>
      <vt:variant>
        <vt:lpwstr>Risk_assessment</vt:lpwstr>
      </vt:variant>
      <vt:variant>
        <vt:i4>4194369</vt:i4>
      </vt:variant>
      <vt:variant>
        <vt:i4>642</vt:i4>
      </vt:variant>
      <vt:variant>
        <vt:i4>0</vt:i4>
      </vt:variant>
      <vt:variant>
        <vt:i4>5</vt:i4>
      </vt:variant>
      <vt:variant>
        <vt:lpwstr/>
      </vt:variant>
      <vt:variant>
        <vt:lpwstr>Second_line_defense</vt:lpwstr>
      </vt:variant>
      <vt:variant>
        <vt:i4>4194369</vt:i4>
      </vt:variant>
      <vt:variant>
        <vt:i4>639</vt:i4>
      </vt:variant>
      <vt:variant>
        <vt:i4>0</vt:i4>
      </vt:variant>
      <vt:variant>
        <vt:i4>5</vt:i4>
      </vt:variant>
      <vt:variant>
        <vt:lpwstr/>
      </vt:variant>
      <vt:variant>
        <vt:lpwstr>Second_line_defense</vt:lpwstr>
      </vt:variant>
      <vt:variant>
        <vt:i4>1245218</vt:i4>
      </vt:variant>
      <vt:variant>
        <vt:i4>636</vt:i4>
      </vt:variant>
      <vt:variant>
        <vt:i4>0</vt:i4>
      </vt:variant>
      <vt:variant>
        <vt:i4>5</vt:i4>
      </vt:variant>
      <vt:variant>
        <vt:lpwstr/>
      </vt:variant>
      <vt:variant>
        <vt:lpwstr>Risk_appetite</vt:lpwstr>
      </vt:variant>
      <vt:variant>
        <vt:i4>4194369</vt:i4>
      </vt:variant>
      <vt:variant>
        <vt:i4>633</vt:i4>
      </vt:variant>
      <vt:variant>
        <vt:i4>0</vt:i4>
      </vt:variant>
      <vt:variant>
        <vt:i4>5</vt:i4>
      </vt:variant>
      <vt:variant>
        <vt:lpwstr/>
      </vt:variant>
      <vt:variant>
        <vt:lpwstr>Second_line_defense</vt:lpwstr>
      </vt:variant>
      <vt:variant>
        <vt:i4>4194369</vt:i4>
      </vt:variant>
      <vt:variant>
        <vt:i4>624</vt:i4>
      </vt:variant>
      <vt:variant>
        <vt:i4>0</vt:i4>
      </vt:variant>
      <vt:variant>
        <vt:i4>5</vt:i4>
      </vt:variant>
      <vt:variant>
        <vt:lpwstr/>
      </vt:variant>
      <vt:variant>
        <vt:lpwstr>Second_line_defense</vt:lpwstr>
      </vt:variant>
      <vt:variant>
        <vt:i4>7209041</vt:i4>
      </vt:variant>
      <vt:variant>
        <vt:i4>621</vt:i4>
      </vt:variant>
      <vt:variant>
        <vt:i4>0</vt:i4>
      </vt:variant>
      <vt:variant>
        <vt:i4>5</vt:i4>
      </vt:variant>
      <vt:variant>
        <vt:lpwstr/>
      </vt:variant>
      <vt:variant>
        <vt:lpwstr>Three_lines_of_defense</vt:lpwstr>
      </vt:variant>
      <vt:variant>
        <vt:i4>6619230</vt:i4>
      </vt:variant>
      <vt:variant>
        <vt:i4>618</vt:i4>
      </vt:variant>
      <vt:variant>
        <vt:i4>0</vt:i4>
      </vt:variant>
      <vt:variant>
        <vt:i4>5</vt:i4>
      </vt:variant>
      <vt:variant>
        <vt:lpwstr/>
      </vt:variant>
      <vt:variant>
        <vt:lpwstr>Risk_management</vt:lpwstr>
      </vt:variant>
      <vt:variant>
        <vt:i4>7209041</vt:i4>
      </vt:variant>
      <vt:variant>
        <vt:i4>615</vt:i4>
      </vt:variant>
      <vt:variant>
        <vt:i4>0</vt:i4>
      </vt:variant>
      <vt:variant>
        <vt:i4>5</vt:i4>
      </vt:variant>
      <vt:variant>
        <vt:lpwstr/>
      </vt:variant>
      <vt:variant>
        <vt:lpwstr>Three_lines_of_defense</vt:lpwstr>
      </vt:variant>
      <vt:variant>
        <vt:i4>6619230</vt:i4>
      </vt:variant>
      <vt:variant>
        <vt:i4>612</vt:i4>
      </vt:variant>
      <vt:variant>
        <vt:i4>0</vt:i4>
      </vt:variant>
      <vt:variant>
        <vt:i4>5</vt:i4>
      </vt:variant>
      <vt:variant>
        <vt:lpwstr/>
      </vt:variant>
      <vt:variant>
        <vt:lpwstr>Risk_management</vt:lpwstr>
      </vt:variant>
      <vt:variant>
        <vt:i4>7209041</vt:i4>
      </vt:variant>
      <vt:variant>
        <vt:i4>609</vt:i4>
      </vt:variant>
      <vt:variant>
        <vt:i4>0</vt:i4>
      </vt:variant>
      <vt:variant>
        <vt:i4>5</vt:i4>
      </vt:variant>
      <vt:variant>
        <vt:lpwstr/>
      </vt:variant>
      <vt:variant>
        <vt:lpwstr>Three_lines_of_defense</vt:lpwstr>
      </vt:variant>
      <vt:variant>
        <vt:i4>6488150</vt:i4>
      </vt:variant>
      <vt:variant>
        <vt:i4>606</vt:i4>
      </vt:variant>
      <vt:variant>
        <vt:i4>0</vt:i4>
      </vt:variant>
      <vt:variant>
        <vt:i4>5</vt:i4>
      </vt:variant>
      <vt:variant>
        <vt:lpwstr/>
      </vt:variant>
      <vt:variant>
        <vt:lpwstr>Risk_tolerance</vt:lpwstr>
      </vt:variant>
      <vt:variant>
        <vt:i4>7340139</vt:i4>
      </vt:variant>
      <vt:variant>
        <vt:i4>603</vt:i4>
      </vt:variant>
      <vt:variant>
        <vt:i4>0</vt:i4>
      </vt:variant>
      <vt:variant>
        <vt:i4>5</vt:i4>
      </vt:variant>
      <vt:variant>
        <vt:lpwstr/>
      </vt:variant>
      <vt:variant>
        <vt:lpwstr>KPI</vt:lpwstr>
      </vt:variant>
      <vt:variant>
        <vt:i4>6488171</vt:i4>
      </vt:variant>
      <vt:variant>
        <vt:i4>600</vt:i4>
      </vt:variant>
      <vt:variant>
        <vt:i4>0</vt:i4>
      </vt:variant>
      <vt:variant>
        <vt:i4>5</vt:i4>
      </vt:variant>
      <vt:variant>
        <vt:lpwstr/>
      </vt:variant>
      <vt:variant>
        <vt:lpwstr>KCI</vt:lpwstr>
      </vt:variant>
      <vt:variant>
        <vt:i4>7471211</vt:i4>
      </vt:variant>
      <vt:variant>
        <vt:i4>597</vt:i4>
      </vt:variant>
      <vt:variant>
        <vt:i4>0</vt:i4>
      </vt:variant>
      <vt:variant>
        <vt:i4>5</vt:i4>
      </vt:variant>
      <vt:variant>
        <vt:lpwstr/>
      </vt:variant>
      <vt:variant>
        <vt:lpwstr>KRI</vt:lpwstr>
      </vt:variant>
      <vt:variant>
        <vt:i4>1245218</vt:i4>
      </vt:variant>
      <vt:variant>
        <vt:i4>594</vt:i4>
      </vt:variant>
      <vt:variant>
        <vt:i4>0</vt:i4>
      </vt:variant>
      <vt:variant>
        <vt:i4>5</vt:i4>
      </vt:variant>
      <vt:variant>
        <vt:lpwstr/>
      </vt:variant>
      <vt:variant>
        <vt:lpwstr>Risk_appetite</vt:lpwstr>
      </vt:variant>
      <vt:variant>
        <vt:i4>6488171</vt:i4>
      </vt:variant>
      <vt:variant>
        <vt:i4>591</vt:i4>
      </vt:variant>
      <vt:variant>
        <vt:i4>0</vt:i4>
      </vt:variant>
      <vt:variant>
        <vt:i4>5</vt:i4>
      </vt:variant>
      <vt:variant>
        <vt:lpwstr/>
      </vt:variant>
      <vt:variant>
        <vt:lpwstr>KCI</vt:lpwstr>
      </vt:variant>
      <vt:variant>
        <vt:i4>7471211</vt:i4>
      </vt:variant>
      <vt:variant>
        <vt:i4>588</vt:i4>
      </vt:variant>
      <vt:variant>
        <vt:i4>0</vt:i4>
      </vt:variant>
      <vt:variant>
        <vt:i4>5</vt:i4>
      </vt:variant>
      <vt:variant>
        <vt:lpwstr/>
      </vt:variant>
      <vt:variant>
        <vt:lpwstr>KRI</vt:lpwstr>
      </vt:variant>
      <vt:variant>
        <vt:i4>6488171</vt:i4>
      </vt:variant>
      <vt:variant>
        <vt:i4>585</vt:i4>
      </vt:variant>
      <vt:variant>
        <vt:i4>0</vt:i4>
      </vt:variant>
      <vt:variant>
        <vt:i4>5</vt:i4>
      </vt:variant>
      <vt:variant>
        <vt:lpwstr/>
      </vt:variant>
      <vt:variant>
        <vt:lpwstr>KCI</vt:lpwstr>
      </vt:variant>
      <vt:variant>
        <vt:i4>7471211</vt:i4>
      </vt:variant>
      <vt:variant>
        <vt:i4>582</vt:i4>
      </vt:variant>
      <vt:variant>
        <vt:i4>0</vt:i4>
      </vt:variant>
      <vt:variant>
        <vt:i4>5</vt:i4>
      </vt:variant>
      <vt:variant>
        <vt:lpwstr/>
      </vt:variant>
      <vt:variant>
        <vt:lpwstr>KRI</vt:lpwstr>
      </vt:variant>
      <vt:variant>
        <vt:i4>7340139</vt:i4>
      </vt:variant>
      <vt:variant>
        <vt:i4>531</vt:i4>
      </vt:variant>
      <vt:variant>
        <vt:i4>0</vt:i4>
      </vt:variant>
      <vt:variant>
        <vt:i4>5</vt:i4>
      </vt:variant>
      <vt:variant>
        <vt:lpwstr/>
      </vt:variant>
      <vt:variant>
        <vt:lpwstr>KPI</vt:lpwstr>
      </vt:variant>
      <vt:variant>
        <vt:i4>7471211</vt:i4>
      </vt:variant>
      <vt:variant>
        <vt:i4>528</vt:i4>
      </vt:variant>
      <vt:variant>
        <vt:i4>0</vt:i4>
      </vt:variant>
      <vt:variant>
        <vt:i4>5</vt:i4>
      </vt:variant>
      <vt:variant>
        <vt:lpwstr/>
      </vt:variant>
      <vt:variant>
        <vt:lpwstr>KRI</vt:lpwstr>
      </vt:variant>
      <vt:variant>
        <vt:i4>6488171</vt:i4>
      </vt:variant>
      <vt:variant>
        <vt:i4>510</vt:i4>
      </vt:variant>
      <vt:variant>
        <vt:i4>0</vt:i4>
      </vt:variant>
      <vt:variant>
        <vt:i4>5</vt:i4>
      </vt:variant>
      <vt:variant>
        <vt:lpwstr/>
      </vt:variant>
      <vt:variant>
        <vt:lpwstr>KCI</vt:lpwstr>
      </vt:variant>
      <vt:variant>
        <vt:i4>7471211</vt:i4>
      </vt:variant>
      <vt:variant>
        <vt:i4>507</vt:i4>
      </vt:variant>
      <vt:variant>
        <vt:i4>0</vt:i4>
      </vt:variant>
      <vt:variant>
        <vt:i4>5</vt:i4>
      </vt:variant>
      <vt:variant>
        <vt:lpwstr/>
      </vt:variant>
      <vt:variant>
        <vt:lpwstr>KRI</vt:lpwstr>
      </vt:variant>
      <vt:variant>
        <vt:i4>7340139</vt:i4>
      </vt:variant>
      <vt:variant>
        <vt:i4>504</vt:i4>
      </vt:variant>
      <vt:variant>
        <vt:i4>0</vt:i4>
      </vt:variant>
      <vt:variant>
        <vt:i4>5</vt:i4>
      </vt:variant>
      <vt:variant>
        <vt:lpwstr/>
      </vt:variant>
      <vt:variant>
        <vt:lpwstr>KPI</vt:lpwstr>
      </vt:variant>
      <vt:variant>
        <vt:i4>6488151</vt:i4>
      </vt:variant>
      <vt:variant>
        <vt:i4>498</vt:i4>
      </vt:variant>
      <vt:variant>
        <vt:i4>0</vt:i4>
      </vt:variant>
      <vt:variant>
        <vt:i4>5</vt:i4>
      </vt:variant>
      <vt:variant>
        <vt:lpwstr/>
      </vt:variant>
      <vt:variant>
        <vt:lpwstr>External_dependency</vt:lpwstr>
      </vt:variant>
      <vt:variant>
        <vt:i4>7471211</vt:i4>
      </vt:variant>
      <vt:variant>
        <vt:i4>489</vt:i4>
      </vt:variant>
      <vt:variant>
        <vt:i4>0</vt:i4>
      </vt:variant>
      <vt:variant>
        <vt:i4>5</vt:i4>
      </vt:variant>
      <vt:variant>
        <vt:lpwstr/>
      </vt:variant>
      <vt:variant>
        <vt:lpwstr>KRI</vt:lpwstr>
      </vt:variant>
      <vt:variant>
        <vt:i4>7340139</vt:i4>
      </vt:variant>
      <vt:variant>
        <vt:i4>486</vt:i4>
      </vt:variant>
      <vt:variant>
        <vt:i4>0</vt:i4>
      </vt:variant>
      <vt:variant>
        <vt:i4>5</vt:i4>
      </vt:variant>
      <vt:variant>
        <vt:lpwstr/>
      </vt:variant>
      <vt:variant>
        <vt:lpwstr>KPI</vt:lpwstr>
      </vt:variant>
      <vt:variant>
        <vt:i4>3211288</vt:i4>
      </vt:variant>
      <vt:variant>
        <vt:i4>480</vt:i4>
      </vt:variant>
      <vt:variant>
        <vt:i4>0</vt:i4>
      </vt:variant>
      <vt:variant>
        <vt:i4>5</vt:i4>
      </vt:variant>
      <vt:variant>
        <vt:lpwstr/>
      </vt:variant>
      <vt:variant>
        <vt:lpwstr>Cyber_resiliency</vt:lpwstr>
      </vt:variant>
      <vt:variant>
        <vt:i4>3276828</vt:i4>
      </vt:variant>
      <vt:variant>
        <vt:i4>477</vt:i4>
      </vt:variant>
      <vt:variant>
        <vt:i4>0</vt:i4>
      </vt:variant>
      <vt:variant>
        <vt:i4>5</vt:i4>
      </vt:variant>
      <vt:variant>
        <vt:lpwstr/>
      </vt:variant>
      <vt:variant>
        <vt:lpwstr>Third_party_service_provider</vt:lpwstr>
      </vt:variant>
      <vt:variant>
        <vt:i4>3276828</vt:i4>
      </vt:variant>
      <vt:variant>
        <vt:i4>474</vt:i4>
      </vt:variant>
      <vt:variant>
        <vt:i4>0</vt:i4>
      </vt:variant>
      <vt:variant>
        <vt:i4>5</vt:i4>
      </vt:variant>
      <vt:variant>
        <vt:lpwstr/>
      </vt:variant>
      <vt:variant>
        <vt:lpwstr>Third_party_service_provider</vt:lpwstr>
      </vt:variant>
      <vt:variant>
        <vt:i4>3211288</vt:i4>
      </vt:variant>
      <vt:variant>
        <vt:i4>471</vt:i4>
      </vt:variant>
      <vt:variant>
        <vt:i4>0</vt:i4>
      </vt:variant>
      <vt:variant>
        <vt:i4>5</vt:i4>
      </vt:variant>
      <vt:variant>
        <vt:lpwstr/>
      </vt:variant>
      <vt:variant>
        <vt:lpwstr>Cyber_resiliency</vt:lpwstr>
      </vt:variant>
      <vt:variant>
        <vt:i4>3211288</vt:i4>
      </vt:variant>
      <vt:variant>
        <vt:i4>468</vt:i4>
      </vt:variant>
      <vt:variant>
        <vt:i4>0</vt:i4>
      </vt:variant>
      <vt:variant>
        <vt:i4>5</vt:i4>
      </vt:variant>
      <vt:variant>
        <vt:lpwstr/>
      </vt:variant>
      <vt:variant>
        <vt:lpwstr>Cyber_resiliency</vt:lpwstr>
      </vt:variant>
      <vt:variant>
        <vt:i4>6291550</vt:i4>
      </vt:variant>
      <vt:variant>
        <vt:i4>465</vt:i4>
      </vt:variant>
      <vt:variant>
        <vt:i4>0</vt:i4>
      </vt:variant>
      <vt:variant>
        <vt:i4>5</vt:i4>
      </vt:variant>
      <vt:variant>
        <vt:lpwstr/>
      </vt:variant>
      <vt:variant>
        <vt:lpwstr>Risk_assessment</vt:lpwstr>
      </vt:variant>
      <vt:variant>
        <vt:i4>589864</vt:i4>
      </vt:variant>
      <vt:variant>
        <vt:i4>456</vt:i4>
      </vt:variant>
      <vt:variant>
        <vt:i4>0</vt:i4>
      </vt:variant>
      <vt:variant>
        <vt:i4>5</vt:i4>
      </vt:variant>
      <vt:variant>
        <vt:lpwstr/>
      </vt:variant>
      <vt:variant>
        <vt:lpwstr>EX_CN_02_01_Contract_Requirements</vt:lpwstr>
      </vt:variant>
      <vt:variant>
        <vt:i4>7340139</vt:i4>
      </vt:variant>
      <vt:variant>
        <vt:i4>453</vt:i4>
      </vt:variant>
      <vt:variant>
        <vt:i4>0</vt:i4>
      </vt:variant>
      <vt:variant>
        <vt:i4>5</vt:i4>
      </vt:variant>
      <vt:variant>
        <vt:lpwstr/>
      </vt:variant>
      <vt:variant>
        <vt:lpwstr>KPI</vt:lpwstr>
      </vt:variant>
      <vt:variant>
        <vt:i4>7471211</vt:i4>
      </vt:variant>
      <vt:variant>
        <vt:i4>450</vt:i4>
      </vt:variant>
      <vt:variant>
        <vt:i4>0</vt:i4>
      </vt:variant>
      <vt:variant>
        <vt:i4>5</vt:i4>
      </vt:variant>
      <vt:variant>
        <vt:lpwstr/>
      </vt:variant>
      <vt:variant>
        <vt:lpwstr>KRI</vt:lpwstr>
      </vt:variant>
      <vt:variant>
        <vt:i4>7209041</vt:i4>
      </vt:variant>
      <vt:variant>
        <vt:i4>447</vt:i4>
      </vt:variant>
      <vt:variant>
        <vt:i4>0</vt:i4>
      </vt:variant>
      <vt:variant>
        <vt:i4>5</vt:i4>
      </vt:variant>
      <vt:variant>
        <vt:lpwstr/>
      </vt:variant>
      <vt:variant>
        <vt:lpwstr>Three_lines_of_defense</vt:lpwstr>
      </vt:variant>
      <vt:variant>
        <vt:i4>6291550</vt:i4>
      </vt:variant>
      <vt:variant>
        <vt:i4>441</vt:i4>
      </vt:variant>
      <vt:variant>
        <vt:i4>0</vt:i4>
      </vt:variant>
      <vt:variant>
        <vt:i4>5</vt:i4>
      </vt:variant>
      <vt:variant>
        <vt:lpwstr/>
      </vt:variant>
      <vt:variant>
        <vt:lpwstr>Risk_assessment</vt:lpwstr>
      </vt:variant>
      <vt:variant>
        <vt:i4>6291550</vt:i4>
      </vt:variant>
      <vt:variant>
        <vt:i4>438</vt:i4>
      </vt:variant>
      <vt:variant>
        <vt:i4>0</vt:i4>
      </vt:variant>
      <vt:variant>
        <vt:i4>5</vt:i4>
      </vt:variant>
      <vt:variant>
        <vt:lpwstr/>
      </vt:variant>
      <vt:variant>
        <vt:lpwstr>Risk_assessment</vt:lpwstr>
      </vt:variant>
      <vt:variant>
        <vt:i4>6291542</vt:i4>
      </vt:variant>
      <vt:variant>
        <vt:i4>435</vt:i4>
      </vt:variant>
      <vt:variant>
        <vt:i4>0</vt:i4>
      </vt:variant>
      <vt:variant>
        <vt:i4>5</vt:i4>
      </vt:variant>
      <vt:variant>
        <vt:lpwstr/>
      </vt:variant>
      <vt:variant>
        <vt:lpwstr>Critical_infrastructure</vt:lpwstr>
      </vt:variant>
      <vt:variant>
        <vt:i4>3211288</vt:i4>
      </vt:variant>
      <vt:variant>
        <vt:i4>432</vt:i4>
      </vt:variant>
      <vt:variant>
        <vt:i4>0</vt:i4>
      </vt:variant>
      <vt:variant>
        <vt:i4>5</vt:i4>
      </vt:variant>
      <vt:variant>
        <vt:lpwstr/>
      </vt:variant>
      <vt:variant>
        <vt:lpwstr>Cyber_resiliency</vt:lpwstr>
      </vt:variant>
      <vt:variant>
        <vt:i4>3801108</vt:i4>
      </vt:variant>
      <vt:variant>
        <vt:i4>429</vt:i4>
      </vt:variant>
      <vt:variant>
        <vt:i4>0</vt:i4>
      </vt:variant>
      <vt:variant>
        <vt:i4>5</vt:i4>
      </vt:variant>
      <vt:variant>
        <vt:lpwstr/>
      </vt:variant>
      <vt:variant>
        <vt:lpwstr>Cyber_threat</vt:lpwstr>
      </vt:variant>
      <vt:variant>
        <vt:i4>4194369</vt:i4>
      </vt:variant>
      <vt:variant>
        <vt:i4>426</vt:i4>
      </vt:variant>
      <vt:variant>
        <vt:i4>0</vt:i4>
      </vt:variant>
      <vt:variant>
        <vt:i4>5</vt:i4>
      </vt:variant>
      <vt:variant>
        <vt:lpwstr/>
      </vt:variant>
      <vt:variant>
        <vt:lpwstr>Second_line_defense</vt:lpwstr>
      </vt:variant>
      <vt:variant>
        <vt:i4>4194382</vt:i4>
      </vt:variant>
      <vt:variant>
        <vt:i4>423</vt:i4>
      </vt:variant>
      <vt:variant>
        <vt:i4>0</vt:i4>
      </vt:variant>
      <vt:variant>
        <vt:i4>5</vt:i4>
      </vt:variant>
      <vt:variant>
        <vt:lpwstr/>
      </vt:variant>
      <vt:variant>
        <vt:lpwstr>First_line_defense</vt:lpwstr>
      </vt:variant>
      <vt:variant>
        <vt:i4>7209041</vt:i4>
      </vt:variant>
      <vt:variant>
        <vt:i4>420</vt:i4>
      </vt:variant>
      <vt:variant>
        <vt:i4>0</vt:i4>
      </vt:variant>
      <vt:variant>
        <vt:i4>5</vt:i4>
      </vt:variant>
      <vt:variant>
        <vt:lpwstr/>
      </vt:variant>
      <vt:variant>
        <vt:lpwstr>Three_lines_of_defense</vt:lpwstr>
      </vt:variant>
      <vt:variant>
        <vt:i4>6488150</vt:i4>
      </vt:variant>
      <vt:variant>
        <vt:i4>417</vt:i4>
      </vt:variant>
      <vt:variant>
        <vt:i4>0</vt:i4>
      </vt:variant>
      <vt:variant>
        <vt:i4>5</vt:i4>
      </vt:variant>
      <vt:variant>
        <vt:lpwstr/>
      </vt:variant>
      <vt:variant>
        <vt:lpwstr>Risk_tolerance</vt:lpwstr>
      </vt:variant>
      <vt:variant>
        <vt:i4>6750294</vt:i4>
      </vt:variant>
      <vt:variant>
        <vt:i4>414</vt:i4>
      </vt:variant>
      <vt:variant>
        <vt:i4>0</vt:i4>
      </vt:variant>
      <vt:variant>
        <vt:i4>5</vt:i4>
      </vt:variant>
      <vt:variant>
        <vt:lpwstr/>
      </vt:variant>
      <vt:variant>
        <vt:lpwstr>Threat_intelligence</vt:lpwstr>
      </vt:variant>
      <vt:variant>
        <vt:i4>7471211</vt:i4>
      </vt:variant>
      <vt:variant>
        <vt:i4>411</vt:i4>
      </vt:variant>
      <vt:variant>
        <vt:i4>0</vt:i4>
      </vt:variant>
      <vt:variant>
        <vt:i4>5</vt:i4>
      </vt:variant>
      <vt:variant>
        <vt:lpwstr/>
      </vt:variant>
      <vt:variant>
        <vt:lpwstr>KRI</vt:lpwstr>
      </vt:variant>
      <vt:variant>
        <vt:i4>6488150</vt:i4>
      </vt:variant>
      <vt:variant>
        <vt:i4>408</vt:i4>
      </vt:variant>
      <vt:variant>
        <vt:i4>0</vt:i4>
      </vt:variant>
      <vt:variant>
        <vt:i4>5</vt:i4>
      </vt:variant>
      <vt:variant>
        <vt:lpwstr/>
      </vt:variant>
      <vt:variant>
        <vt:lpwstr>Risk_tolerance</vt:lpwstr>
      </vt:variant>
      <vt:variant>
        <vt:i4>1245218</vt:i4>
      </vt:variant>
      <vt:variant>
        <vt:i4>405</vt:i4>
      </vt:variant>
      <vt:variant>
        <vt:i4>0</vt:i4>
      </vt:variant>
      <vt:variant>
        <vt:i4>5</vt:i4>
      </vt:variant>
      <vt:variant>
        <vt:lpwstr/>
      </vt:variant>
      <vt:variant>
        <vt:lpwstr>Risk_appetite</vt:lpwstr>
      </vt:variant>
      <vt:variant>
        <vt:i4>6291542</vt:i4>
      </vt:variant>
      <vt:variant>
        <vt:i4>402</vt:i4>
      </vt:variant>
      <vt:variant>
        <vt:i4>0</vt:i4>
      </vt:variant>
      <vt:variant>
        <vt:i4>5</vt:i4>
      </vt:variant>
      <vt:variant>
        <vt:lpwstr/>
      </vt:variant>
      <vt:variant>
        <vt:lpwstr>Critical_infrastructure</vt:lpwstr>
      </vt:variant>
      <vt:variant>
        <vt:i4>7471211</vt:i4>
      </vt:variant>
      <vt:variant>
        <vt:i4>399</vt:i4>
      </vt:variant>
      <vt:variant>
        <vt:i4>0</vt:i4>
      </vt:variant>
      <vt:variant>
        <vt:i4>5</vt:i4>
      </vt:variant>
      <vt:variant>
        <vt:lpwstr/>
      </vt:variant>
      <vt:variant>
        <vt:lpwstr>KRI</vt:lpwstr>
      </vt:variant>
      <vt:variant>
        <vt:i4>7471211</vt:i4>
      </vt:variant>
      <vt:variant>
        <vt:i4>396</vt:i4>
      </vt:variant>
      <vt:variant>
        <vt:i4>0</vt:i4>
      </vt:variant>
      <vt:variant>
        <vt:i4>5</vt:i4>
      </vt:variant>
      <vt:variant>
        <vt:lpwstr/>
      </vt:variant>
      <vt:variant>
        <vt:lpwstr>KRI</vt:lpwstr>
      </vt:variant>
      <vt:variant>
        <vt:i4>1245218</vt:i4>
      </vt:variant>
      <vt:variant>
        <vt:i4>393</vt:i4>
      </vt:variant>
      <vt:variant>
        <vt:i4>0</vt:i4>
      </vt:variant>
      <vt:variant>
        <vt:i4>5</vt:i4>
      </vt:variant>
      <vt:variant>
        <vt:lpwstr/>
      </vt:variant>
      <vt:variant>
        <vt:lpwstr>Risk_appetite</vt:lpwstr>
      </vt:variant>
      <vt:variant>
        <vt:i4>6488150</vt:i4>
      </vt:variant>
      <vt:variant>
        <vt:i4>390</vt:i4>
      </vt:variant>
      <vt:variant>
        <vt:i4>0</vt:i4>
      </vt:variant>
      <vt:variant>
        <vt:i4>5</vt:i4>
      </vt:variant>
      <vt:variant>
        <vt:lpwstr/>
      </vt:variant>
      <vt:variant>
        <vt:lpwstr>Risk_tolerance</vt:lpwstr>
      </vt:variant>
      <vt:variant>
        <vt:i4>6488150</vt:i4>
      </vt:variant>
      <vt:variant>
        <vt:i4>387</vt:i4>
      </vt:variant>
      <vt:variant>
        <vt:i4>0</vt:i4>
      </vt:variant>
      <vt:variant>
        <vt:i4>5</vt:i4>
      </vt:variant>
      <vt:variant>
        <vt:lpwstr/>
      </vt:variant>
      <vt:variant>
        <vt:lpwstr>Risk_tolerance</vt:lpwstr>
      </vt:variant>
      <vt:variant>
        <vt:i4>1245218</vt:i4>
      </vt:variant>
      <vt:variant>
        <vt:i4>384</vt:i4>
      </vt:variant>
      <vt:variant>
        <vt:i4>0</vt:i4>
      </vt:variant>
      <vt:variant>
        <vt:i4>5</vt:i4>
      </vt:variant>
      <vt:variant>
        <vt:lpwstr/>
      </vt:variant>
      <vt:variant>
        <vt:lpwstr>Risk_appetite</vt:lpwstr>
      </vt:variant>
      <vt:variant>
        <vt:i4>6488171</vt:i4>
      </vt:variant>
      <vt:variant>
        <vt:i4>381</vt:i4>
      </vt:variant>
      <vt:variant>
        <vt:i4>0</vt:i4>
      </vt:variant>
      <vt:variant>
        <vt:i4>5</vt:i4>
      </vt:variant>
      <vt:variant>
        <vt:lpwstr/>
      </vt:variant>
      <vt:variant>
        <vt:lpwstr>KCI</vt:lpwstr>
      </vt:variant>
      <vt:variant>
        <vt:i4>7340139</vt:i4>
      </vt:variant>
      <vt:variant>
        <vt:i4>378</vt:i4>
      </vt:variant>
      <vt:variant>
        <vt:i4>0</vt:i4>
      </vt:variant>
      <vt:variant>
        <vt:i4>5</vt:i4>
      </vt:variant>
      <vt:variant>
        <vt:lpwstr/>
      </vt:variant>
      <vt:variant>
        <vt:lpwstr>KPI</vt:lpwstr>
      </vt:variant>
      <vt:variant>
        <vt:i4>7471211</vt:i4>
      </vt:variant>
      <vt:variant>
        <vt:i4>375</vt:i4>
      </vt:variant>
      <vt:variant>
        <vt:i4>0</vt:i4>
      </vt:variant>
      <vt:variant>
        <vt:i4>5</vt:i4>
      </vt:variant>
      <vt:variant>
        <vt:lpwstr/>
      </vt:variant>
      <vt:variant>
        <vt:lpwstr>KRI</vt:lpwstr>
      </vt:variant>
      <vt:variant>
        <vt:i4>8257654</vt:i4>
      </vt:variant>
      <vt:variant>
        <vt:i4>345</vt:i4>
      </vt:variant>
      <vt:variant>
        <vt:i4>0</vt:i4>
      </vt:variant>
      <vt:variant>
        <vt:i4>5</vt:i4>
      </vt:variant>
      <vt:variant>
        <vt:lpwstr/>
      </vt:variant>
      <vt:variant>
        <vt:lpwstr>Recovery_point_obj</vt:lpwstr>
      </vt:variant>
      <vt:variant>
        <vt:i4>8257654</vt:i4>
      </vt:variant>
      <vt:variant>
        <vt:i4>342</vt:i4>
      </vt:variant>
      <vt:variant>
        <vt:i4>0</vt:i4>
      </vt:variant>
      <vt:variant>
        <vt:i4>5</vt:i4>
      </vt:variant>
      <vt:variant>
        <vt:lpwstr/>
      </vt:variant>
      <vt:variant>
        <vt:lpwstr>Recovery_point_obj</vt:lpwstr>
      </vt:variant>
      <vt:variant>
        <vt:i4>3276841</vt:i4>
      </vt:variant>
      <vt:variant>
        <vt:i4>339</vt:i4>
      </vt:variant>
      <vt:variant>
        <vt:i4>0</vt:i4>
      </vt:variant>
      <vt:variant>
        <vt:i4>5</vt:i4>
      </vt:variant>
      <vt:variant>
        <vt:lpwstr/>
      </vt:variant>
      <vt:variant>
        <vt:lpwstr>Recovery_time_obj</vt:lpwstr>
      </vt:variant>
      <vt:variant>
        <vt:i4>6488151</vt:i4>
      </vt:variant>
      <vt:variant>
        <vt:i4>336</vt:i4>
      </vt:variant>
      <vt:variant>
        <vt:i4>0</vt:i4>
      </vt:variant>
      <vt:variant>
        <vt:i4>5</vt:i4>
      </vt:variant>
      <vt:variant>
        <vt:lpwstr/>
      </vt:variant>
      <vt:variant>
        <vt:lpwstr>External_dependency</vt:lpwstr>
      </vt:variant>
      <vt:variant>
        <vt:i4>3211288</vt:i4>
      </vt:variant>
      <vt:variant>
        <vt:i4>330</vt:i4>
      </vt:variant>
      <vt:variant>
        <vt:i4>0</vt:i4>
      </vt:variant>
      <vt:variant>
        <vt:i4>5</vt:i4>
      </vt:variant>
      <vt:variant>
        <vt:lpwstr/>
      </vt:variant>
      <vt:variant>
        <vt:lpwstr>Cyber_resiliency</vt:lpwstr>
      </vt:variant>
      <vt:variant>
        <vt:i4>4784235</vt:i4>
      </vt:variant>
      <vt:variant>
        <vt:i4>327</vt:i4>
      </vt:variant>
      <vt:variant>
        <vt:i4>0</vt:i4>
      </vt:variant>
      <vt:variant>
        <vt:i4>5</vt:i4>
      </vt:variant>
      <vt:variant>
        <vt:lpwstr/>
      </vt:variant>
      <vt:variant>
        <vt:lpwstr>Operational_resilience</vt:lpwstr>
      </vt:variant>
      <vt:variant>
        <vt:i4>6291542</vt:i4>
      </vt:variant>
      <vt:variant>
        <vt:i4>324</vt:i4>
      </vt:variant>
      <vt:variant>
        <vt:i4>0</vt:i4>
      </vt:variant>
      <vt:variant>
        <vt:i4>5</vt:i4>
      </vt:variant>
      <vt:variant>
        <vt:lpwstr/>
      </vt:variant>
      <vt:variant>
        <vt:lpwstr>Critical_infrastructure</vt:lpwstr>
      </vt:variant>
      <vt:variant>
        <vt:i4>6291542</vt:i4>
      </vt:variant>
      <vt:variant>
        <vt:i4>321</vt:i4>
      </vt:variant>
      <vt:variant>
        <vt:i4>0</vt:i4>
      </vt:variant>
      <vt:variant>
        <vt:i4>5</vt:i4>
      </vt:variant>
      <vt:variant>
        <vt:lpwstr/>
      </vt:variant>
      <vt:variant>
        <vt:lpwstr>Critical_infrastructure</vt:lpwstr>
      </vt:variant>
      <vt:variant>
        <vt:i4>1245218</vt:i4>
      </vt:variant>
      <vt:variant>
        <vt:i4>318</vt:i4>
      </vt:variant>
      <vt:variant>
        <vt:i4>0</vt:i4>
      </vt:variant>
      <vt:variant>
        <vt:i4>5</vt:i4>
      </vt:variant>
      <vt:variant>
        <vt:lpwstr/>
      </vt:variant>
      <vt:variant>
        <vt:lpwstr>Risk_appetite</vt:lpwstr>
      </vt:variant>
      <vt:variant>
        <vt:i4>6488150</vt:i4>
      </vt:variant>
      <vt:variant>
        <vt:i4>315</vt:i4>
      </vt:variant>
      <vt:variant>
        <vt:i4>0</vt:i4>
      </vt:variant>
      <vt:variant>
        <vt:i4>5</vt:i4>
      </vt:variant>
      <vt:variant>
        <vt:lpwstr/>
      </vt:variant>
      <vt:variant>
        <vt:lpwstr>Risk_tolerance</vt:lpwstr>
      </vt:variant>
      <vt:variant>
        <vt:i4>1245218</vt:i4>
      </vt:variant>
      <vt:variant>
        <vt:i4>312</vt:i4>
      </vt:variant>
      <vt:variant>
        <vt:i4>0</vt:i4>
      </vt:variant>
      <vt:variant>
        <vt:i4>5</vt:i4>
      </vt:variant>
      <vt:variant>
        <vt:lpwstr/>
      </vt:variant>
      <vt:variant>
        <vt:lpwstr>Risk_appetite</vt:lpwstr>
      </vt:variant>
      <vt:variant>
        <vt:i4>6488150</vt:i4>
      </vt:variant>
      <vt:variant>
        <vt:i4>309</vt:i4>
      </vt:variant>
      <vt:variant>
        <vt:i4>0</vt:i4>
      </vt:variant>
      <vt:variant>
        <vt:i4>5</vt:i4>
      </vt:variant>
      <vt:variant>
        <vt:lpwstr/>
      </vt:variant>
      <vt:variant>
        <vt:lpwstr>Risk_tolerance</vt:lpwstr>
      </vt:variant>
      <vt:variant>
        <vt:i4>5382144</vt:i4>
      </vt:variant>
      <vt:variant>
        <vt:i4>306</vt:i4>
      </vt:variant>
      <vt:variant>
        <vt:i4>0</vt:i4>
      </vt:variant>
      <vt:variant>
        <vt:i4>5</vt:i4>
      </vt:variant>
      <vt:variant>
        <vt:lpwstr/>
      </vt:variant>
      <vt:variant>
        <vt:lpwstr>_Determine_Your_Organization’s</vt:lpwstr>
      </vt:variant>
      <vt:variant>
        <vt:i4>4792358</vt:i4>
      </vt:variant>
      <vt:variant>
        <vt:i4>303</vt:i4>
      </vt:variant>
      <vt:variant>
        <vt:i4>0</vt:i4>
      </vt:variant>
      <vt:variant>
        <vt:i4>5</vt:i4>
      </vt:variant>
      <vt:variant>
        <vt:lpwstr/>
      </vt:variant>
      <vt:variant>
        <vt:lpwstr>_APPENDIX_C_–_1</vt:lpwstr>
      </vt:variant>
      <vt:variant>
        <vt:i4>2031674</vt:i4>
      </vt:variant>
      <vt:variant>
        <vt:i4>296</vt:i4>
      </vt:variant>
      <vt:variant>
        <vt:i4>0</vt:i4>
      </vt:variant>
      <vt:variant>
        <vt:i4>5</vt:i4>
      </vt:variant>
      <vt:variant>
        <vt:lpwstr/>
      </vt:variant>
      <vt:variant>
        <vt:lpwstr>_Toc89343623</vt:lpwstr>
      </vt:variant>
      <vt:variant>
        <vt:i4>1966138</vt:i4>
      </vt:variant>
      <vt:variant>
        <vt:i4>290</vt:i4>
      </vt:variant>
      <vt:variant>
        <vt:i4>0</vt:i4>
      </vt:variant>
      <vt:variant>
        <vt:i4>5</vt:i4>
      </vt:variant>
      <vt:variant>
        <vt:lpwstr/>
      </vt:variant>
      <vt:variant>
        <vt:lpwstr>_Toc89343622</vt:lpwstr>
      </vt:variant>
      <vt:variant>
        <vt:i4>1900602</vt:i4>
      </vt:variant>
      <vt:variant>
        <vt:i4>284</vt:i4>
      </vt:variant>
      <vt:variant>
        <vt:i4>0</vt:i4>
      </vt:variant>
      <vt:variant>
        <vt:i4>5</vt:i4>
      </vt:variant>
      <vt:variant>
        <vt:lpwstr/>
      </vt:variant>
      <vt:variant>
        <vt:lpwstr>_Toc89343621</vt:lpwstr>
      </vt:variant>
      <vt:variant>
        <vt:i4>1835066</vt:i4>
      </vt:variant>
      <vt:variant>
        <vt:i4>278</vt:i4>
      </vt:variant>
      <vt:variant>
        <vt:i4>0</vt:i4>
      </vt:variant>
      <vt:variant>
        <vt:i4>5</vt:i4>
      </vt:variant>
      <vt:variant>
        <vt:lpwstr/>
      </vt:variant>
      <vt:variant>
        <vt:lpwstr>_Toc89343620</vt:lpwstr>
      </vt:variant>
      <vt:variant>
        <vt:i4>1376313</vt:i4>
      </vt:variant>
      <vt:variant>
        <vt:i4>272</vt:i4>
      </vt:variant>
      <vt:variant>
        <vt:i4>0</vt:i4>
      </vt:variant>
      <vt:variant>
        <vt:i4>5</vt:i4>
      </vt:variant>
      <vt:variant>
        <vt:lpwstr/>
      </vt:variant>
      <vt:variant>
        <vt:lpwstr>_Toc89343619</vt:lpwstr>
      </vt:variant>
      <vt:variant>
        <vt:i4>1310777</vt:i4>
      </vt:variant>
      <vt:variant>
        <vt:i4>266</vt:i4>
      </vt:variant>
      <vt:variant>
        <vt:i4>0</vt:i4>
      </vt:variant>
      <vt:variant>
        <vt:i4>5</vt:i4>
      </vt:variant>
      <vt:variant>
        <vt:lpwstr/>
      </vt:variant>
      <vt:variant>
        <vt:lpwstr>_Toc89343618</vt:lpwstr>
      </vt:variant>
      <vt:variant>
        <vt:i4>1769529</vt:i4>
      </vt:variant>
      <vt:variant>
        <vt:i4>260</vt:i4>
      </vt:variant>
      <vt:variant>
        <vt:i4>0</vt:i4>
      </vt:variant>
      <vt:variant>
        <vt:i4>5</vt:i4>
      </vt:variant>
      <vt:variant>
        <vt:lpwstr/>
      </vt:variant>
      <vt:variant>
        <vt:lpwstr>_Toc89343617</vt:lpwstr>
      </vt:variant>
      <vt:variant>
        <vt:i4>1703993</vt:i4>
      </vt:variant>
      <vt:variant>
        <vt:i4>254</vt:i4>
      </vt:variant>
      <vt:variant>
        <vt:i4>0</vt:i4>
      </vt:variant>
      <vt:variant>
        <vt:i4>5</vt:i4>
      </vt:variant>
      <vt:variant>
        <vt:lpwstr/>
      </vt:variant>
      <vt:variant>
        <vt:lpwstr>_Toc89343616</vt:lpwstr>
      </vt:variant>
      <vt:variant>
        <vt:i4>1638457</vt:i4>
      </vt:variant>
      <vt:variant>
        <vt:i4>248</vt:i4>
      </vt:variant>
      <vt:variant>
        <vt:i4>0</vt:i4>
      </vt:variant>
      <vt:variant>
        <vt:i4>5</vt:i4>
      </vt:variant>
      <vt:variant>
        <vt:lpwstr/>
      </vt:variant>
      <vt:variant>
        <vt:lpwstr>_Toc89343615</vt:lpwstr>
      </vt:variant>
      <vt:variant>
        <vt:i4>1572921</vt:i4>
      </vt:variant>
      <vt:variant>
        <vt:i4>242</vt:i4>
      </vt:variant>
      <vt:variant>
        <vt:i4>0</vt:i4>
      </vt:variant>
      <vt:variant>
        <vt:i4>5</vt:i4>
      </vt:variant>
      <vt:variant>
        <vt:lpwstr/>
      </vt:variant>
      <vt:variant>
        <vt:lpwstr>_Toc89343614</vt:lpwstr>
      </vt:variant>
      <vt:variant>
        <vt:i4>2031673</vt:i4>
      </vt:variant>
      <vt:variant>
        <vt:i4>236</vt:i4>
      </vt:variant>
      <vt:variant>
        <vt:i4>0</vt:i4>
      </vt:variant>
      <vt:variant>
        <vt:i4>5</vt:i4>
      </vt:variant>
      <vt:variant>
        <vt:lpwstr/>
      </vt:variant>
      <vt:variant>
        <vt:lpwstr>_Toc89343613</vt:lpwstr>
      </vt:variant>
      <vt:variant>
        <vt:i4>1966137</vt:i4>
      </vt:variant>
      <vt:variant>
        <vt:i4>230</vt:i4>
      </vt:variant>
      <vt:variant>
        <vt:i4>0</vt:i4>
      </vt:variant>
      <vt:variant>
        <vt:i4>5</vt:i4>
      </vt:variant>
      <vt:variant>
        <vt:lpwstr/>
      </vt:variant>
      <vt:variant>
        <vt:lpwstr>_Toc89343612</vt:lpwstr>
      </vt:variant>
      <vt:variant>
        <vt:i4>1900601</vt:i4>
      </vt:variant>
      <vt:variant>
        <vt:i4>224</vt:i4>
      </vt:variant>
      <vt:variant>
        <vt:i4>0</vt:i4>
      </vt:variant>
      <vt:variant>
        <vt:i4>5</vt:i4>
      </vt:variant>
      <vt:variant>
        <vt:lpwstr/>
      </vt:variant>
      <vt:variant>
        <vt:lpwstr>_Toc89343611</vt:lpwstr>
      </vt:variant>
      <vt:variant>
        <vt:i4>1835065</vt:i4>
      </vt:variant>
      <vt:variant>
        <vt:i4>218</vt:i4>
      </vt:variant>
      <vt:variant>
        <vt:i4>0</vt:i4>
      </vt:variant>
      <vt:variant>
        <vt:i4>5</vt:i4>
      </vt:variant>
      <vt:variant>
        <vt:lpwstr/>
      </vt:variant>
      <vt:variant>
        <vt:lpwstr>_Toc89343610</vt:lpwstr>
      </vt:variant>
      <vt:variant>
        <vt:i4>1376312</vt:i4>
      </vt:variant>
      <vt:variant>
        <vt:i4>212</vt:i4>
      </vt:variant>
      <vt:variant>
        <vt:i4>0</vt:i4>
      </vt:variant>
      <vt:variant>
        <vt:i4>5</vt:i4>
      </vt:variant>
      <vt:variant>
        <vt:lpwstr/>
      </vt:variant>
      <vt:variant>
        <vt:lpwstr>_Toc89343609</vt:lpwstr>
      </vt:variant>
      <vt:variant>
        <vt:i4>1310776</vt:i4>
      </vt:variant>
      <vt:variant>
        <vt:i4>206</vt:i4>
      </vt:variant>
      <vt:variant>
        <vt:i4>0</vt:i4>
      </vt:variant>
      <vt:variant>
        <vt:i4>5</vt:i4>
      </vt:variant>
      <vt:variant>
        <vt:lpwstr/>
      </vt:variant>
      <vt:variant>
        <vt:lpwstr>_Toc89343608</vt:lpwstr>
      </vt:variant>
      <vt:variant>
        <vt:i4>1769528</vt:i4>
      </vt:variant>
      <vt:variant>
        <vt:i4>200</vt:i4>
      </vt:variant>
      <vt:variant>
        <vt:i4>0</vt:i4>
      </vt:variant>
      <vt:variant>
        <vt:i4>5</vt:i4>
      </vt:variant>
      <vt:variant>
        <vt:lpwstr/>
      </vt:variant>
      <vt:variant>
        <vt:lpwstr>_Toc89343607</vt:lpwstr>
      </vt:variant>
      <vt:variant>
        <vt:i4>1703992</vt:i4>
      </vt:variant>
      <vt:variant>
        <vt:i4>194</vt:i4>
      </vt:variant>
      <vt:variant>
        <vt:i4>0</vt:i4>
      </vt:variant>
      <vt:variant>
        <vt:i4>5</vt:i4>
      </vt:variant>
      <vt:variant>
        <vt:lpwstr/>
      </vt:variant>
      <vt:variant>
        <vt:lpwstr>_Toc89343606</vt:lpwstr>
      </vt:variant>
      <vt:variant>
        <vt:i4>1638456</vt:i4>
      </vt:variant>
      <vt:variant>
        <vt:i4>188</vt:i4>
      </vt:variant>
      <vt:variant>
        <vt:i4>0</vt:i4>
      </vt:variant>
      <vt:variant>
        <vt:i4>5</vt:i4>
      </vt:variant>
      <vt:variant>
        <vt:lpwstr/>
      </vt:variant>
      <vt:variant>
        <vt:lpwstr>_Toc89343605</vt:lpwstr>
      </vt:variant>
      <vt:variant>
        <vt:i4>1572920</vt:i4>
      </vt:variant>
      <vt:variant>
        <vt:i4>182</vt:i4>
      </vt:variant>
      <vt:variant>
        <vt:i4>0</vt:i4>
      </vt:variant>
      <vt:variant>
        <vt:i4>5</vt:i4>
      </vt:variant>
      <vt:variant>
        <vt:lpwstr/>
      </vt:variant>
      <vt:variant>
        <vt:lpwstr>_Toc89343604</vt:lpwstr>
      </vt:variant>
      <vt:variant>
        <vt:i4>2031672</vt:i4>
      </vt:variant>
      <vt:variant>
        <vt:i4>176</vt:i4>
      </vt:variant>
      <vt:variant>
        <vt:i4>0</vt:i4>
      </vt:variant>
      <vt:variant>
        <vt:i4>5</vt:i4>
      </vt:variant>
      <vt:variant>
        <vt:lpwstr/>
      </vt:variant>
      <vt:variant>
        <vt:lpwstr>_Toc89343603</vt:lpwstr>
      </vt:variant>
      <vt:variant>
        <vt:i4>1966136</vt:i4>
      </vt:variant>
      <vt:variant>
        <vt:i4>170</vt:i4>
      </vt:variant>
      <vt:variant>
        <vt:i4>0</vt:i4>
      </vt:variant>
      <vt:variant>
        <vt:i4>5</vt:i4>
      </vt:variant>
      <vt:variant>
        <vt:lpwstr/>
      </vt:variant>
      <vt:variant>
        <vt:lpwstr>_Toc89343602</vt:lpwstr>
      </vt:variant>
      <vt:variant>
        <vt:i4>1900600</vt:i4>
      </vt:variant>
      <vt:variant>
        <vt:i4>164</vt:i4>
      </vt:variant>
      <vt:variant>
        <vt:i4>0</vt:i4>
      </vt:variant>
      <vt:variant>
        <vt:i4>5</vt:i4>
      </vt:variant>
      <vt:variant>
        <vt:lpwstr/>
      </vt:variant>
      <vt:variant>
        <vt:lpwstr>_Toc89343601</vt:lpwstr>
      </vt:variant>
      <vt:variant>
        <vt:i4>1835064</vt:i4>
      </vt:variant>
      <vt:variant>
        <vt:i4>158</vt:i4>
      </vt:variant>
      <vt:variant>
        <vt:i4>0</vt:i4>
      </vt:variant>
      <vt:variant>
        <vt:i4>5</vt:i4>
      </vt:variant>
      <vt:variant>
        <vt:lpwstr/>
      </vt:variant>
      <vt:variant>
        <vt:lpwstr>_Toc89343600</vt:lpwstr>
      </vt:variant>
      <vt:variant>
        <vt:i4>1441841</vt:i4>
      </vt:variant>
      <vt:variant>
        <vt:i4>152</vt:i4>
      </vt:variant>
      <vt:variant>
        <vt:i4>0</vt:i4>
      </vt:variant>
      <vt:variant>
        <vt:i4>5</vt:i4>
      </vt:variant>
      <vt:variant>
        <vt:lpwstr/>
      </vt:variant>
      <vt:variant>
        <vt:lpwstr>_Toc89343599</vt:lpwstr>
      </vt:variant>
      <vt:variant>
        <vt:i4>1507377</vt:i4>
      </vt:variant>
      <vt:variant>
        <vt:i4>146</vt:i4>
      </vt:variant>
      <vt:variant>
        <vt:i4>0</vt:i4>
      </vt:variant>
      <vt:variant>
        <vt:i4>5</vt:i4>
      </vt:variant>
      <vt:variant>
        <vt:lpwstr/>
      </vt:variant>
      <vt:variant>
        <vt:lpwstr>_Toc89343598</vt:lpwstr>
      </vt:variant>
      <vt:variant>
        <vt:i4>1572913</vt:i4>
      </vt:variant>
      <vt:variant>
        <vt:i4>140</vt:i4>
      </vt:variant>
      <vt:variant>
        <vt:i4>0</vt:i4>
      </vt:variant>
      <vt:variant>
        <vt:i4>5</vt:i4>
      </vt:variant>
      <vt:variant>
        <vt:lpwstr/>
      </vt:variant>
      <vt:variant>
        <vt:lpwstr>_Toc89343597</vt:lpwstr>
      </vt:variant>
      <vt:variant>
        <vt:i4>1638449</vt:i4>
      </vt:variant>
      <vt:variant>
        <vt:i4>134</vt:i4>
      </vt:variant>
      <vt:variant>
        <vt:i4>0</vt:i4>
      </vt:variant>
      <vt:variant>
        <vt:i4>5</vt:i4>
      </vt:variant>
      <vt:variant>
        <vt:lpwstr/>
      </vt:variant>
      <vt:variant>
        <vt:lpwstr>_Toc89343596</vt:lpwstr>
      </vt:variant>
      <vt:variant>
        <vt:i4>1703985</vt:i4>
      </vt:variant>
      <vt:variant>
        <vt:i4>128</vt:i4>
      </vt:variant>
      <vt:variant>
        <vt:i4>0</vt:i4>
      </vt:variant>
      <vt:variant>
        <vt:i4>5</vt:i4>
      </vt:variant>
      <vt:variant>
        <vt:lpwstr/>
      </vt:variant>
      <vt:variant>
        <vt:lpwstr>_Toc89343595</vt:lpwstr>
      </vt:variant>
      <vt:variant>
        <vt:i4>1769521</vt:i4>
      </vt:variant>
      <vt:variant>
        <vt:i4>122</vt:i4>
      </vt:variant>
      <vt:variant>
        <vt:i4>0</vt:i4>
      </vt:variant>
      <vt:variant>
        <vt:i4>5</vt:i4>
      </vt:variant>
      <vt:variant>
        <vt:lpwstr/>
      </vt:variant>
      <vt:variant>
        <vt:lpwstr>_Toc89343594</vt:lpwstr>
      </vt:variant>
      <vt:variant>
        <vt:i4>1835057</vt:i4>
      </vt:variant>
      <vt:variant>
        <vt:i4>116</vt:i4>
      </vt:variant>
      <vt:variant>
        <vt:i4>0</vt:i4>
      </vt:variant>
      <vt:variant>
        <vt:i4>5</vt:i4>
      </vt:variant>
      <vt:variant>
        <vt:lpwstr/>
      </vt:variant>
      <vt:variant>
        <vt:lpwstr>_Toc89343593</vt:lpwstr>
      </vt:variant>
      <vt:variant>
        <vt:i4>1900593</vt:i4>
      </vt:variant>
      <vt:variant>
        <vt:i4>110</vt:i4>
      </vt:variant>
      <vt:variant>
        <vt:i4>0</vt:i4>
      </vt:variant>
      <vt:variant>
        <vt:i4>5</vt:i4>
      </vt:variant>
      <vt:variant>
        <vt:lpwstr/>
      </vt:variant>
      <vt:variant>
        <vt:lpwstr>_Toc89343592</vt:lpwstr>
      </vt:variant>
      <vt:variant>
        <vt:i4>1966129</vt:i4>
      </vt:variant>
      <vt:variant>
        <vt:i4>104</vt:i4>
      </vt:variant>
      <vt:variant>
        <vt:i4>0</vt:i4>
      </vt:variant>
      <vt:variant>
        <vt:i4>5</vt:i4>
      </vt:variant>
      <vt:variant>
        <vt:lpwstr/>
      </vt:variant>
      <vt:variant>
        <vt:lpwstr>_Toc89343591</vt:lpwstr>
      </vt:variant>
      <vt:variant>
        <vt:i4>2031665</vt:i4>
      </vt:variant>
      <vt:variant>
        <vt:i4>98</vt:i4>
      </vt:variant>
      <vt:variant>
        <vt:i4>0</vt:i4>
      </vt:variant>
      <vt:variant>
        <vt:i4>5</vt:i4>
      </vt:variant>
      <vt:variant>
        <vt:lpwstr/>
      </vt:variant>
      <vt:variant>
        <vt:lpwstr>_Toc89343590</vt:lpwstr>
      </vt:variant>
      <vt:variant>
        <vt:i4>1441840</vt:i4>
      </vt:variant>
      <vt:variant>
        <vt:i4>92</vt:i4>
      </vt:variant>
      <vt:variant>
        <vt:i4>0</vt:i4>
      </vt:variant>
      <vt:variant>
        <vt:i4>5</vt:i4>
      </vt:variant>
      <vt:variant>
        <vt:lpwstr/>
      </vt:variant>
      <vt:variant>
        <vt:lpwstr>_Toc89343589</vt:lpwstr>
      </vt:variant>
      <vt:variant>
        <vt:i4>1507376</vt:i4>
      </vt:variant>
      <vt:variant>
        <vt:i4>86</vt:i4>
      </vt:variant>
      <vt:variant>
        <vt:i4>0</vt:i4>
      </vt:variant>
      <vt:variant>
        <vt:i4>5</vt:i4>
      </vt:variant>
      <vt:variant>
        <vt:lpwstr/>
      </vt:variant>
      <vt:variant>
        <vt:lpwstr>_Toc89343588</vt:lpwstr>
      </vt:variant>
      <vt:variant>
        <vt:i4>1572912</vt:i4>
      </vt:variant>
      <vt:variant>
        <vt:i4>80</vt:i4>
      </vt:variant>
      <vt:variant>
        <vt:i4>0</vt:i4>
      </vt:variant>
      <vt:variant>
        <vt:i4>5</vt:i4>
      </vt:variant>
      <vt:variant>
        <vt:lpwstr/>
      </vt:variant>
      <vt:variant>
        <vt:lpwstr>_Toc89343587</vt:lpwstr>
      </vt:variant>
      <vt:variant>
        <vt:i4>1638448</vt:i4>
      </vt:variant>
      <vt:variant>
        <vt:i4>74</vt:i4>
      </vt:variant>
      <vt:variant>
        <vt:i4>0</vt:i4>
      </vt:variant>
      <vt:variant>
        <vt:i4>5</vt:i4>
      </vt:variant>
      <vt:variant>
        <vt:lpwstr/>
      </vt:variant>
      <vt:variant>
        <vt:lpwstr>_Toc89343586</vt:lpwstr>
      </vt:variant>
      <vt:variant>
        <vt:i4>1703984</vt:i4>
      </vt:variant>
      <vt:variant>
        <vt:i4>68</vt:i4>
      </vt:variant>
      <vt:variant>
        <vt:i4>0</vt:i4>
      </vt:variant>
      <vt:variant>
        <vt:i4>5</vt:i4>
      </vt:variant>
      <vt:variant>
        <vt:lpwstr/>
      </vt:variant>
      <vt:variant>
        <vt:lpwstr>_Toc89343585</vt:lpwstr>
      </vt:variant>
      <vt:variant>
        <vt:i4>1769520</vt:i4>
      </vt:variant>
      <vt:variant>
        <vt:i4>62</vt:i4>
      </vt:variant>
      <vt:variant>
        <vt:i4>0</vt:i4>
      </vt:variant>
      <vt:variant>
        <vt:i4>5</vt:i4>
      </vt:variant>
      <vt:variant>
        <vt:lpwstr/>
      </vt:variant>
      <vt:variant>
        <vt:lpwstr>_Toc89343584</vt:lpwstr>
      </vt:variant>
      <vt:variant>
        <vt:i4>1835056</vt:i4>
      </vt:variant>
      <vt:variant>
        <vt:i4>56</vt:i4>
      </vt:variant>
      <vt:variant>
        <vt:i4>0</vt:i4>
      </vt:variant>
      <vt:variant>
        <vt:i4>5</vt:i4>
      </vt:variant>
      <vt:variant>
        <vt:lpwstr/>
      </vt:variant>
      <vt:variant>
        <vt:lpwstr>_Toc89343583</vt:lpwstr>
      </vt:variant>
      <vt:variant>
        <vt:i4>1900592</vt:i4>
      </vt:variant>
      <vt:variant>
        <vt:i4>50</vt:i4>
      </vt:variant>
      <vt:variant>
        <vt:i4>0</vt:i4>
      </vt:variant>
      <vt:variant>
        <vt:i4>5</vt:i4>
      </vt:variant>
      <vt:variant>
        <vt:lpwstr/>
      </vt:variant>
      <vt:variant>
        <vt:lpwstr>_Toc89343582</vt:lpwstr>
      </vt:variant>
      <vt:variant>
        <vt:i4>1966128</vt:i4>
      </vt:variant>
      <vt:variant>
        <vt:i4>44</vt:i4>
      </vt:variant>
      <vt:variant>
        <vt:i4>0</vt:i4>
      </vt:variant>
      <vt:variant>
        <vt:i4>5</vt:i4>
      </vt:variant>
      <vt:variant>
        <vt:lpwstr/>
      </vt:variant>
      <vt:variant>
        <vt:lpwstr>_Toc89343581</vt:lpwstr>
      </vt:variant>
      <vt:variant>
        <vt:i4>2031664</vt:i4>
      </vt:variant>
      <vt:variant>
        <vt:i4>38</vt:i4>
      </vt:variant>
      <vt:variant>
        <vt:i4>0</vt:i4>
      </vt:variant>
      <vt:variant>
        <vt:i4>5</vt:i4>
      </vt:variant>
      <vt:variant>
        <vt:lpwstr/>
      </vt:variant>
      <vt:variant>
        <vt:lpwstr>_Toc89343580</vt:lpwstr>
      </vt:variant>
      <vt:variant>
        <vt:i4>1441855</vt:i4>
      </vt:variant>
      <vt:variant>
        <vt:i4>32</vt:i4>
      </vt:variant>
      <vt:variant>
        <vt:i4>0</vt:i4>
      </vt:variant>
      <vt:variant>
        <vt:i4>5</vt:i4>
      </vt:variant>
      <vt:variant>
        <vt:lpwstr/>
      </vt:variant>
      <vt:variant>
        <vt:lpwstr>_Toc89343579</vt:lpwstr>
      </vt:variant>
      <vt:variant>
        <vt:i4>1507391</vt:i4>
      </vt:variant>
      <vt:variant>
        <vt:i4>26</vt:i4>
      </vt:variant>
      <vt:variant>
        <vt:i4>0</vt:i4>
      </vt:variant>
      <vt:variant>
        <vt:i4>5</vt:i4>
      </vt:variant>
      <vt:variant>
        <vt:lpwstr/>
      </vt:variant>
      <vt:variant>
        <vt:lpwstr>_Toc89343578</vt:lpwstr>
      </vt:variant>
      <vt:variant>
        <vt:i4>1572927</vt:i4>
      </vt:variant>
      <vt:variant>
        <vt:i4>20</vt:i4>
      </vt:variant>
      <vt:variant>
        <vt:i4>0</vt:i4>
      </vt:variant>
      <vt:variant>
        <vt:i4>5</vt:i4>
      </vt:variant>
      <vt:variant>
        <vt:lpwstr/>
      </vt:variant>
      <vt:variant>
        <vt:lpwstr>_Toc89343577</vt:lpwstr>
      </vt:variant>
      <vt:variant>
        <vt:i4>1638463</vt:i4>
      </vt:variant>
      <vt:variant>
        <vt:i4>14</vt:i4>
      </vt:variant>
      <vt:variant>
        <vt:i4>0</vt:i4>
      </vt:variant>
      <vt:variant>
        <vt:i4>5</vt:i4>
      </vt:variant>
      <vt:variant>
        <vt:lpwstr/>
      </vt:variant>
      <vt:variant>
        <vt:lpwstr>_Toc89343576</vt:lpwstr>
      </vt:variant>
      <vt:variant>
        <vt:i4>1703999</vt:i4>
      </vt:variant>
      <vt:variant>
        <vt:i4>8</vt:i4>
      </vt:variant>
      <vt:variant>
        <vt:i4>0</vt:i4>
      </vt:variant>
      <vt:variant>
        <vt:i4>5</vt:i4>
      </vt:variant>
      <vt:variant>
        <vt:lpwstr/>
      </vt:variant>
      <vt:variant>
        <vt:lpwstr>_Toc89343575</vt:lpwstr>
      </vt:variant>
      <vt:variant>
        <vt:i4>1769535</vt:i4>
      </vt:variant>
      <vt:variant>
        <vt:i4>2</vt:i4>
      </vt:variant>
      <vt:variant>
        <vt:i4>0</vt:i4>
      </vt:variant>
      <vt:variant>
        <vt:i4>5</vt:i4>
      </vt:variant>
      <vt:variant>
        <vt:lpwstr/>
      </vt:variant>
      <vt:variant>
        <vt:lpwstr>_Toc89343574</vt:lpwstr>
      </vt:variant>
      <vt:variant>
        <vt:i4>7143521</vt:i4>
      </vt:variant>
      <vt:variant>
        <vt:i4>24</vt:i4>
      </vt:variant>
      <vt:variant>
        <vt:i4>0</vt:i4>
      </vt:variant>
      <vt:variant>
        <vt:i4>5</vt:i4>
      </vt:variant>
      <vt:variant>
        <vt:lpwstr>https://www.mitre.org/publications/technical-papers/cyber-resiliency-design-principles</vt:lpwstr>
      </vt:variant>
      <vt:variant>
        <vt:lpwstr/>
      </vt:variant>
      <vt:variant>
        <vt:i4>6619237</vt:i4>
      </vt:variant>
      <vt:variant>
        <vt:i4>21</vt:i4>
      </vt:variant>
      <vt:variant>
        <vt:i4>0</vt:i4>
      </vt:variant>
      <vt:variant>
        <vt:i4>5</vt:i4>
      </vt:variant>
      <vt:variant>
        <vt:lpwstr>https://cyberriskinstitute.org/the-profile/</vt:lpwstr>
      </vt:variant>
      <vt:variant>
        <vt:lpwstr/>
      </vt:variant>
      <vt:variant>
        <vt:i4>2293819</vt:i4>
      </vt:variant>
      <vt:variant>
        <vt:i4>18</vt:i4>
      </vt:variant>
      <vt:variant>
        <vt:i4>0</vt:i4>
      </vt:variant>
      <vt:variant>
        <vt:i4>5</vt:i4>
      </vt:variant>
      <vt:variant>
        <vt:lpwstr>https://www.fsb.org/2018/11/cyber-lexicon/</vt:lpwstr>
      </vt:variant>
      <vt:variant>
        <vt:lpwstr/>
      </vt:variant>
      <vt:variant>
        <vt:i4>1638478</vt:i4>
      </vt:variant>
      <vt:variant>
        <vt:i4>15</vt:i4>
      </vt:variant>
      <vt:variant>
        <vt:i4>0</vt:i4>
      </vt:variant>
      <vt:variant>
        <vt:i4>5</vt:i4>
      </vt:variant>
      <vt:variant>
        <vt:lpwstr>https://ithandbook.ffiec.gov/</vt:lpwstr>
      </vt:variant>
      <vt:variant>
        <vt:lpwstr/>
      </vt:variant>
      <vt:variant>
        <vt:i4>4391007</vt:i4>
      </vt:variant>
      <vt:variant>
        <vt:i4>9</vt:i4>
      </vt:variant>
      <vt:variant>
        <vt:i4>0</vt:i4>
      </vt:variant>
      <vt:variant>
        <vt:i4>5</vt:i4>
      </vt:variant>
      <vt:variant>
        <vt:lpwstr>https://eur-lex.europa.eu/legal-content/EN/TXT/PDF/?uri=CELEX:32008L0114&amp;from=EN</vt:lpwstr>
      </vt:variant>
      <vt:variant>
        <vt:lpwstr/>
      </vt:variant>
      <vt:variant>
        <vt:i4>1572932</vt:i4>
      </vt:variant>
      <vt:variant>
        <vt:i4>6</vt:i4>
      </vt:variant>
      <vt:variant>
        <vt:i4>0</vt:i4>
      </vt:variant>
      <vt:variant>
        <vt:i4>5</vt:i4>
      </vt:variant>
      <vt:variant>
        <vt:lpwstr>https://www.nist.gov/cyberframework/framework</vt:lpwstr>
      </vt:variant>
      <vt:variant>
        <vt:lpwstr/>
      </vt:variant>
      <vt:variant>
        <vt:i4>3342374</vt:i4>
      </vt:variant>
      <vt:variant>
        <vt:i4>3</vt:i4>
      </vt:variant>
      <vt:variant>
        <vt:i4>0</vt:i4>
      </vt:variant>
      <vt:variant>
        <vt:i4>5</vt:i4>
      </vt:variant>
      <vt:variant>
        <vt:lpwstr>http://www.cyberriskinstitute.org/</vt:lpwstr>
      </vt:variant>
      <vt:variant>
        <vt:lpwstr/>
      </vt:variant>
      <vt:variant>
        <vt:i4>6619237</vt:i4>
      </vt:variant>
      <vt:variant>
        <vt:i4>0</vt:i4>
      </vt:variant>
      <vt:variant>
        <vt:i4>0</vt:i4>
      </vt:variant>
      <vt:variant>
        <vt:i4>5</vt:i4>
      </vt:variant>
      <vt:variant>
        <vt:lpwstr>https://cyberriskinstitute.org/the-profile/</vt:lpwstr>
      </vt:variant>
      <vt:variant>
        <vt:lpwstr/>
      </vt:variant>
      <vt:variant>
        <vt:i4>3342374</vt:i4>
      </vt:variant>
      <vt:variant>
        <vt:i4>0</vt:i4>
      </vt:variant>
      <vt:variant>
        <vt:i4>0</vt:i4>
      </vt:variant>
      <vt:variant>
        <vt:i4>5</vt:i4>
      </vt:variant>
      <vt:variant>
        <vt:lpwstr>http://www.cyberriskinstitute.org/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Supply Chain - Mike T.</dc:title>
  <dc:subject/>
  <dc:creator>Stephanie Wake</dc:creator>
  <cp:keywords/>
  <dc:description/>
  <cp:lastModifiedBy>Angela Patel</cp:lastModifiedBy>
  <cp:revision>11</cp:revision>
  <cp:lastPrinted>2023-10-25T12:21:00Z</cp:lastPrinted>
  <dcterms:created xsi:type="dcterms:W3CDTF">2025-12-15T21:18:00Z</dcterms:created>
  <dcterms:modified xsi:type="dcterms:W3CDTF">2026-02-11T17:14:00Z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0x01010024424BE0E4E44F41B35D25EFD6504971</vt:lpwstr>
  </property>
  <property fmtid="{D5CDD505-2E9C-101B-9397-08002B2CF9AE}" pid="3" name="TitusGUID">
    <vt:lpwstr>68e05067-e0f4-48cc-8cd0-77ff50814186</vt:lpwstr>
  </property>
  <property fmtid="{D5CDD505-2E9C-101B-9397-08002B2CF9AE}" pid="4" name="_dlc_DocIdItemGuid">
    <vt:lpwstr>8bd71ee4-d7a9-4323-a957-b7fe9f258b88</vt:lpwstr>
  </property>
  <property fmtid="{D5CDD505-2E9C-101B-9397-08002B2CF9AE}" pid="5" name="_dlc_DocId">
    <vt:lpwstr>3HQWHFDH5QTY-825899837-49</vt:lpwstr>
  </property>
  <property fmtid="{D5CDD505-2E9C-101B-9397-08002B2CF9AE}" pid="6" name="_dlc_DocIdUrl">
    <vt:lpwstr>https://team.frb.gov/div/bsreg/sections/OIT/FSSCC-Review/_layouts/15/DocIdRedir.aspx?ID=3HQWHFDH5QTY-825899837-49, 3HQWHFDH5QTY-825899837-49</vt:lpwstr>
  </property>
</Properties>
</file>