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E558E8" w14:textId="185535F8" w:rsidR="0027348F" w:rsidRDefault="0027348F" w:rsidP="0027348F">
      <w:pPr>
        <w:pStyle w:val="Title"/>
        <w:tabs>
          <w:tab w:val="left" w:pos="4500"/>
        </w:tabs>
        <w:jc w:val="left"/>
      </w:pPr>
    </w:p>
    <w:p w14:paraId="738B4452" w14:textId="53540CF9" w:rsidR="00D1076C" w:rsidRPr="00A6032B" w:rsidRDefault="00500FC1" w:rsidP="009C6D19">
      <w:pPr>
        <w:pStyle w:val="Title"/>
        <w:ind w:left="720"/>
        <w:jc w:val="left"/>
        <w:rPr>
          <w:rFonts w:ascii="Aptos" w:hAnsi="Aptos"/>
          <w:color w:val="34246B" w:themeColor="accent2"/>
          <w:sz w:val="56"/>
          <w:szCs w:val="56"/>
        </w:rPr>
      </w:pPr>
      <w:r w:rsidRPr="00A6032B">
        <w:rPr>
          <w:rFonts w:ascii="Aptos" w:hAnsi="Aptos"/>
          <w:color w:val="34246B" w:themeColor="accent2"/>
          <w:sz w:val="56"/>
          <w:szCs w:val="56"/>
        </w:rPr>
        <w:t xml:space="preserve">The </w:t>
      </w:r>
      <w:r w:rsidR="00BB5939" w:rsidRPr="00A6032B">
        <w:rPr>
          <w:rFonts w:ascii="Aptos" w:hAnsi="Aptos"/>
          <w:color w:val="34246B" w:themeColor="accent2"/>
          <w:sz w:val="56"/>
          <w:szCs w:val="56"/>
        </w:rPr>
        <w:t xml:space="preserve">CRI </w:t>
      </w:r>
      <w:r w:rsidR="007833E1" w:rsidRPr="00A6032B">
        <w:rPr>
          <w:rFonts w:ascii="Aptos" w:hAnsi="Aptos"/>
          <w:color w:val="34246B" w:themeColor="accent2"/>
          <w:sz w:val="56"/>
          <w:szCs w:val="56"/>
        </w:rPr>
        <w:t xml:space="preserve">Financial Services </w:t>
      </w:r>
      <w:r w:rsidRPr="00A6032B">
        <w:rPr>
          <w:rFonts w:ascii="Aptos" w:hAnsi="Aptos"/>
          <w:color w:val="34246B" w:themeColor="accent2"/>
          <w:sz w:val="56"/>
          <w:szCs w:val="56"/>
        </w:rPr>
        <w:br/>
      </w:r>
      <w:r w:rsidR="00D1076C" w:rsidRPr="00A6032B">
        <w:rPr>
          <w:rFonts w:ascii="Aptos" w:hAnsi="Aptos"/>
          <w:color w:val="34246B" w:themeColor="accent2"/>
          <w:sz w:val="56"/>
          <w:szCs w:val="56"/>
        </w:rPr>
        <w:t>AI</w:t>
      </w:r>
      <w:r w:rsidR="007833E1" w:rsidRPr="00A6032B">
        <w:rPr>
          <w:rFonts w:ascii="Aptos" w:hAnsi="Aptos"/>
          <w:color w:val="34246B" w:themeColor="accent2"/>
          <w:sz w:val="56"/>
          <w:szCs w:val="56"/>
        </w:rPr>
        <w:t xml:space="preserve"> Risk Management Framework </w:t>
      </w:r>
      <w:r w:rsidR="00920410" w:rsidRPr="00A6032B">
        <w:rPr>
          <w:rFonts w:ascii="Aptos" w:hAnsi="Aptos"/>
          <w:color w:val="34246B" w:themeColor="accent2"/>
          <w:sz w:val="56"/>
          <w:szCs w:val="56"/>
        </w:rPr>
        <w:br/>
      </w:r>
      <w:r w:rsidR="00360FEF" w:rsidRPr="00A6032B">
        <w:rPr>
          <w:rFonts w:ascii="Aptos" w:hAnsi="Aptos"/>
          <w:color w:val="34246B" w:themeColor="accent2"/>
          <w:sz w:val="56"/>
          <w:szCs w:val="56"/>
        </w:rPr>
        <w:t>Ver</w:t>
      </w:r>
      <w:r w:rsidR="00BA7370" w:rsidRPr="00A6032B">
        <w:rPr>
          <w:rFonts w:ascii="Aptos" w:hAnsi="Aptos"/>
          <w:color w:val="34246B" w:themeColor="accent2"/>
          <w:sz w:val="56"/>
          <w:szCs w:val="56"/>
        </w:rPr>
        <w:t>sion</w:t>
      </w:r>
      <w:r w:rsidR="00360FEF" w:rsidRPr="00A6032B">
        <w:rPr>
          <w:rFonts w:ascii="Aptos" w:hAnsi="Aptos"/>
          <w:color w:val="34246B" w:themeColor="accent2"/>
          <w:sz w:val="56"/>
          <w:szCs w:val="56"/>
        </w:rPr>
        <w:t xml:space="preserve"> </w:t>
      </w:r>
      <w:r w:rsidR="00F33F7C" w:rsidRPr="00A6032B">
        <w:rPr>
          <w:rFonts w:ascii="Aptos" w:hAnsi="Aptos"/>
          <w:color w:val="34246B" w:themeColor="accent2"/>
          <w:sz w:val="56"/>
          <w:szCs w:val="56"/>
        </w:rPr>
        <w:t>1.0</w:t>
      </w:r>
    </w:p>
    <w:p w14:paraId="4FCACC46" w14:textId="77777777" w:rsidR="00A6032B" w:rsidRDefault="00A6032B" w:rsidP="00BA7370">
      <w:pPr>
        <w:pStyle w:val="SubtitleOrange"/>
        <w:spacing w:after="120"/>
        <w:ind w:left="1440"/>
        <w:rPr>
          <w:rFonts w:ascii="Aptos" w:hAnsi="Aptos"/>
          <w:sz w:val="44"/>
          <w:szCs w:val="44"/>
        </w:rPr>
      </w:pPr>
    </w:p>
    <w:p w14:paraId="44237B4B" w14:textId="611A7A18" w:rsidR="0027348F" w:rsidRPr="000B51E8" w:rsidRDefault="00F75F41" w:rsidP="00AE02C7">
      <w:pPr>
        <w:pStyle w:val="SubtitleOrange"/>
        <w:spacing w:after="120"/>
        <w:ind w:firstLine="720"/>
        <w:rPr>
          <w:rFonts w:ascii="Aptos" w:hAnsi="Aptos"/>
          <w:sz w:val="48"/>
          <w:szCs w:val="48"/>
        </w:rPr>
      </w:pPr>
      <w:r w:rsidRPr="000B51E8">
        <w:rPr>
          <w:rFonts w:ascii="Aptos" w:hAnsi="Aptos"/>
          <w:sz w:val="48"/>
          <w:szCs w:val="48"/>
        </w:rPr>
        <w:t>Guidebook</w:t>
      </w:r>
    </w:p>
    <w:p w14:paraId="5F08DA30" w14:textId="77777777" w:rsidR="00CB1023" w:rsidRDefault="00CB1023" w:rsidP="009C6D19">
      <w:pPr>
        <w:pStyle w:val="CoverBodyGrey"/>
        <w:spacing w:after="120"/>
        <w:ind w:left="720"/>
        <w:rPr>
          <w:rFonts w:ascii="Aptos" w:hAnsi="Aptos"/>
        </w:rPr>
      </w:pPr>
    </w:p>
    <w:p w14:paraId="30BAA615" w14:textId="77777777" w:rsidR="00005A4A" w:rsidRDefault="00005A4A" w:rsidP="009C6D19">
      <w:pPr>
        <w:pStyle w:val="CoverBodyGrey"/>
        <w:spacing w:after="120"/>
        <w:ind w:left="720"/>
        <w:rPr>
          <w:rFonts w:ascii="Aptos" w:hAnsi="Aptos"/>
        </w:rPr>
      </w:pPr>
    </w:p>
    <w:p w14:paraId="39727FCD" w14:textId="77777777" w:rsidR="00005A4A" w:rsidRPr="00A6032B" w:rsidRDefault="00005A4A" w:rsidP="009C6D19">
      <w:pPr>
        <w:pStyle w:val="CoverBodyGrey"/>
        <w:spacing w:after="120"/>
        <w:ind w:left="720"/>
        <w:rPr>
          <w:rFonts w:ascii="Aptos" w:hAnsi="Aptos"/>
        </w:rPr>
      </w:pPr>
    </w:p>
    <w:p w14:paraId="740A6BBD" w14:textId="5CFED866" w:rsidR="0027348F" w:rsidRPr="00005A4A" w:rsidRDefault="003543AD" w:rsidP="00AE02C7">
      <w:pPr>
        <w:pStyle w:val="CoverBodyGrey"/>
        <w:spacing w:after="120"/>
        <w:ind w:firstLine="720"/>
        <w:rPr>
          <w:rFonts w:ascii="Aptos" w:hAnsi="Aptos"/>
          <w:sz w:val="36"/>
        </w:rPr>
      </w:pPr>
      <w:r>
        <w:rPr>
          <w:rFonts w:ascii="Aptos" w:hAnsi="Aptos"/>
          <w:sz w:val="36"/>
        </w:rPr>
        <w:t>February</w:t>
      </w:r>
      <w:r w:rsidR="00B24299" w:rsidRPr="00005A4A">
        <w:rPr>
          <w:rFonts w:ascii="Aptos" w:hAnsi="Aptos"/>
          <w:sz w:val="36"/>
        </w:rPr>
        <w:t xml:space="preserve"> 202</w:t>
      </w:r>
      <w:r>
        <w:rPr>
          <w:rFonts w:ascii="Aptos" w:hAnsi="Aptos"/>
          <w:sz w:val="36"/>
        </w:rPr>
        <w:t>6</w:t>
      </w:r>
    </w:p>
    <w:p w14:paraId="63070A59" w14:textId="77777777" w:rsidR="00D50B66" w:rsidRDefault="00D50B66" w:rsidP="009C6D19">
      <w:pPr>
        <w:pStyle w:val="CoverBodyGrey"/>
        <w:spacing w:after="120"/>
        <w:ind w:left="1440"/>
        <w:rPr>
          <w:rFonts w:ascii="Aptos" w:hAnsi="Aptos"/>
        </w:rPr>
      </w:pPr>
    </w:p>
    <w:p w14:paraId="2055E361" w14:textId="77777777" w:rsidR="00613B76" w:rsidRPr="00A6032B" w:rsidRDefault="00613B76" w:rsidP="009C6D19">
      <w:pPr>
        <w:pStyle w:val="CoverBodyGrey"/>
        <w:spacing w:after="120"/>
        <w:ind w:left="1440"/>
        <w:rPr>
          <w:rFonts w:ascii="Aptos" w:hAnsi="Aptos"/>
        </w:rPr>
      </w:pPr>
    </w:p>
    <w:p w14:paraId="7D758A28" w14:textId="4F706D7D" w:rsidR="00F81BB2" w:rsidRPr="00BB1202" w:rsidRDefault="00D50B66" w:rsidP="00AE02C7">
      <w:pPr>
        <w:pStyle w:val="CoverBodyGrey"/>
        <w:spacing w:after="120"/>
        <w:jc w:val="center"/>
        <w:rPr>
          <w:rFonts w:ascii="Aptos" w:hAnsi="Aptos"/>
          <w:i/>
          <w:iCs/>
          <w:color w:val="B31E3E" w:themeColor="accent1"/>
          <w:sz w:val="28"/>
          <w:szCs w:val="32"/>
        </w:rPr>
      </w:pPr>
      <w:bookmarkStart w:id="0" w:name="_Toc14700758"/>
      <w:bookmarkStart w:id="1" w:name="_Toc14702154"/>
      <w:bookmarkStart w:id="2" w:name="_Toc14705147"/>
      <w:bookmarkStart w:id="3" w:name="_Toc14705368"/>
      <w:r w:rsidRPr="00BB1202">
        <w:rPr>
          <w:rFonts w:ascii="Aptos" w:hAnsi="Aptos"/>
          <w:noProof/>
        </w:rPr>
        <w:drawing>
          <wp:anchor distT="0" distB="0" distL="114300" distR="114300" simplePos="0" relativeHeight="251649024" behindDoc="1" locked="0" layoutInCell="1" allowOverlap="1" wp14:anchorId="44C5F6CE" wp14:editId="78B18E50">
            <wp:simplePos x="0" y="0"/>
            <wp:positionH relativeFrom="column">
              <wp:posOffset>62230</wp:posOffset>
            </wp:positionH>
            <wp:positionV relativeFrom="page">
              <wp:posOffset>6570980</wp:posOffset>
            </wp:positionV>
            <wp:extent cx="6403340" cy="2588895"/>
            <wp:effectExtent l="0" t="0" r="0" b="1905"/>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rot="10800000" flipH="1">
                      <a:off x="0" y="0"/>
                      <a:ext cx="6403340" cy="2588895"/>
                    </a:xfrm>
                    <a:prstGeom prst="rect">
                      <a:avLst/>
                    </a:prstGeom>
                  </pic:spPr>
                </pic:pic>
              </a:graphicData>
            </a:graphic>
            <wp14:sizeRelH relativeFrom="page">
              <wp14:pctWidth>0</wp14:pctWidth>
            </wp14:sizeRelH>
            <wp14:sizeRelV relativeFrom="page">
              <wp14:pctHeight>0</wp14:pctHeight>
            </wp14:sizeRelV>
          </wp:anchor>
        </w:drawing>
      </w:r>
      <w:r w:rsidR="00A05789" w:rsidRPr="00A05789">
        <w:rPr>
          <w:rFonts w:ascii="Aptos" w:hAnsi="Aptos"/>
          <w:i/>
          <w:iCs/>
          <w:noProof/>
          <w:color w:val="B31E3E" w:themeColor="accent1"/>
          <w:sz w:val="28"/>
          <w:szCs w:val="32"/>
        </w:rPr>
        <w:drawing>
          <wp:inline distT="0" distB="0" distL="0" distR="0" wp14:anchorId="06C43CFD" wp14:editId="343E30EA">
            <wp:extent cx="4825497" cy="680261"/>
            <wp:effectExtent l="0" t="0" r="0" b="5715"/>
            <wp:docPr id="13" name="Picture 12">
              <a:extLst xmlns:a="http://schemas.openxmlformats.org/drawingml/2006/main">
                <a:ext uri="{FF2B5EF4-FFF2-40B4-BE49-F238E27FC236}">
                  <a16:creationId xmlns:a16="http://schemas.microsoft.com/office/drawing/2014/main" id="{2BDF3D50-1400-BD31-1A55-33D5BCD620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2BDF3D50-1400-BD31-1A55-33D5BCD6206D}"/>
                        </a:ext>
                      </a:extLst>
                    </pic:cNvPr>
                    <pic:cNvPicPr>
                      <a:picLocks noChangeAspect="1"/>
                    </pic:cNvPicPr>
                  </pic:nvPicPr>
                  <pic:blipFill>
                    <a:blip r:embed="rId12"/>
                    <a:stretch>
                      <a:fillRect/>
                    </a:stretch>
                  </pic:blipFill>
                  <pic:spPr>
                    <a:xfrm>
                      <a:off x="0" y="0"/>
                      <a:ext cx="4879279" cy="687843"/>
                    </a:xfrm>
                    <a:prstGeom prst="rect">
                      <a:avLst/>
                    </a:prstGeom>
                  </pic:spPr>
                </pic:pic>
              </a:graphicData>
            </a:graphic>
          </wp:inline>
        </w:drawing>
      </w:r>
    </w:p>
    <w:p w14:paraId="2712B2B9" w14:textId="12A67490" w:rsidR="00715921" w:rsidRPr="00EA028D" w:rsidRDefault="00AE02C7" w:rsidP="00EA028D">
      <w:pPr>
        <w:pStyle w:val="CoverBodyGrey"/>
        <w:spacing w:after="120"/>
        <w:ind w:left="720"/>
        <w:rPr>
          <w:rFonts w:ascii="Aptos" w:hAnsi="Aptos"/>
          <w:sz w:val="24"/>
          <w:szCs w:val="24"/>
        </w:rPr>
      </w:pPr>
      <w:r w:rsidRPr="00EA028D">
        <w:rPr>
          <w:rFonts w:ascii="Aptos" w:hAnsi="Aptos"/>
          <w:sz w:val="24"/>
          <w:szCs w:val="24"/>
        </w:rPr>
        <w:t>Developed in collaboration with the Financial Services Sector Coordinating Council and the U.S. Department of the Treasury</w:t>
      </w:r>
    </w:p>
    <w:p w14:paraId="425D8497" w14:textId="33BDA5CB" w:rsidR="00715921" w:rsidRPr="00BB1202" w:rsidRDefault="00715921">
      <w:pPr>
        <w:rPr>
          <w:rFonts w:ascii="Aptos" w:hAnsi="Aptos"/>
          <w:i/>
          <w:iCs/>
          <w:color w:val="B31E3E" w:themeColor="accent1"/>
          <w:sz w:val="28"/>
          <w:szCs w:val="32"/>
        </w:rPr>
      </w:pPr>
    </w:p>
    <w:p w14:paraId="5DB9AC51" w14:textId="4576B0EF" w:rsidR="00715921" w:rsidRPr="00BB1202" w:rsidRDefault="00715921">
      <w:pPr>
        <w:rPr>
          <w:rFonts w:ascii="Aptos" w:hAnsi="Aptos"/>
          <w:i/>
          <w:iCs/>
          <w:color w:val="B31E3E" w:themeColor="accent1"/>
          <w:sz w:val="28"/>
          <w:szCs w:val="32"/>
        </w:rPr>
      </w:pPr>
    </w:p>
    <w:p w14:paraId="295FE1A6" w14:textId="040384B0" w:rsidR="00715921" w:rsidRPr="00BB1202" w:rsidRDefault="00715921">
      <w:pPr>
        <w:rPr>
          <w:rFonts w:ascii="Aptos" w:hAnsi="Aptos"/>
          <w:i/>
          <w:iCs/>
          <w:color w:val="B31E3E" w:themeColor="accent1"/>
          <w:sz w:val="28"/>
          <w:szCs w:val="32"/>
        </w:rPr>
      </w:pPr>
    </w:p>
    <w:p w14:paraId="35715BFE" w14:textId="7088C2AE" w:rsidR="00715921" w:rsidRPr="00BB1202" w:rsidRDefault="00512AE6">
      <w:pPr>
        <w:rPr>
          <w:rFonts w:ascii="Aptos" w:hAnsi="Aptos"/>
          <w:i/>
          <w:iCs/>
          <w:color w:val="B31E3E" w:themeColor="accent1"/>
          <w:sz w:val="28"/>
          <w:szCs w:val="32"/>
        </w:rPr>
      </w:pPr>
      <w:r w:rsidRPr="00BB1202">
        <w:rPr>
          <w:rFonts w:ascii="Aptos" w:hAnsi="Aptos"/>
          <w:noProof/>
        </w:rPr>
        <mc:AlternateContent>
          <mc:Choice Requires="wps">
            <w:drawing>
              <wp:anchor distT="0" distB="0" distL="114300" distR="114300" simplePos="0" relativeHeight="251667456" behindDoc="0" locked="0" layoutInCell="1" allowOverlap="1" wp14:anchorId="26288ABF" wp14:editId="68C18088">
                <wp:simplePos x="0" y="0"/>
                <wp:positionH relativeFrom="column">
                  <wp:posOffset>246380</wp:posOffset>
                </wp:positionH>
                <wp:positionV relativeFrom="page">
                  <wp:posOffset>7617681</wp:posOffset>
                </wp:positionV>
                <wp:extent cx="5036820" cy="1477645"/>
                <wp:effectExtent l="0" t="0" r="0" b="0"/>
                <wp:wrapSquare wrapText="bothSides"/>
                <wp:docPr id="450" name="Text Box 450"/>
                <wp:cNvGraphicFramePr/>
                <a:graphic xmlns:a="http://schemas.openxmlformats.org/drawingml/2006/main">
                  <a:graphicData uri="http://schemas.microsoft.com/office/word/2010/wordprocessingShape">
                    <wps:wsp>
                      <wps:cNvSpPr txBox="1"/>
                      <wps:spPr>
                        <a:xfrm>
                          <a:off x="0" y="0"/>
                          <a:ext cx="5036820" cy="1477645"/>
                        </a:xfrm>
                        <a:prstGeom prst="rect">
                          <a:avLst/>
                        </a:prstGeom>
                        <a:noFill/>
                        <a:ln w="6350">
                          <a:noFill/>
                        </a:ln>
                      </wps:spPr>
                      <wps:txbx>
                        <w:txbxContent>
                          <w:p w14:paraId="72FF430D" w14:textId="77777777" w:rsidR="00D50B66" w:rsidRDefault="00586F89" w:rsidP="00301CA3">
                            <w:pPr>
                              <w:pStyle w:val="CoverBodyGrey"/>
                              <w:rPr>
                                <w:rFonts w:ascii="Aptos" w:hAnsi="Aptos"/>
                                <w:color w:val="FFFFFF" w:themeColor="background1"/>
                              </w:rPr>
                            </w:pPr>
                            <w:r w:rsidRPr="00301CA3">
                              <w:br/>
                            </w:r>
                            <w:r w:rsidRPr="00E43F58">
                              <w:rPr>
                                <w:rFonts w:ascii="Aptos" w:hAnsi="Aptos"/>
                                <w:color w:val="FFFFFF" w:themeColor="background1"/>
                              </w:rPr>
                              <w:t>Cyber Risk Institute</w:t>
                            </w:r>
                            <w:r w:rsidRPr="00E43F58">
                              <w:rPr>
                                <w:rFonts w:ascii="Aptos" w:hAnsi="Aptos"/>
                                <w:color w:val="FFFFFF" w:themeColor="background1"/>
                              </w:rPr>
                              <w:br/>
                              <w:t>Washington, D</w:t>
                            </w:r>
                            <w:r w:rsidR="00CB1023" w:rsidRPr="00E43F58">
                              <w:rPr>
                                <w:rFonts w:ascii="Aptos" w:hAnsi="Aptos"/>
                                <w:color w:val="FFFFFF" w:themeColor="background1"/>
                              </w:rPr>
                              <w:t>.</w:t>
                            </w:r>
                            <w:r w:rsidRPr="00E43F58">
                              <w:rPr>
                                <w:rFonts w:ascii="Aptos" w:hAnsi="Aptos"/>
                                <w:color w:val="FFFFFF" w:themeColor="background1"/>
                              </w:rPr>
                              <w:t>C</w:t>
                            </w:r>
                            <w:r w:rsidR="00CB1023" w:rsidRPr="00E43F58">
                              <w:rPr>
                                <w:rFonts w:ascii="Aptos" w:hAnsi="Aptos"/>
                                <w:color w:val="FFFFFF" w:themeColor="background1"/>
                              </w:rPr>
                              <w:t>.</w:t>
                            </w:r>
                          </w:p>
                          <w:p w14:paraId="2BE631A5" w14:textId="074B68C7" w:rsidR="00586F89" w:rsidRPr="00E43F58" w:rsidRDefault="00586F89" w:rsidP="00301CA3">
                            <w:pPr>
                              <w:pStyle w:val="CoverBodyGrey"/>
                              <w:rPr>
                                <w:rFonts w:ascii="Aptos" w:hAnsi="Aptos" w:cs="Times New Roman"/>
                                <w:sz w:val="28"/>
                                <w:szCs w:val="32"/>
                              </w:rPr>
                            </w:pPr>
                            <w:r w:rsidRPr="00E43F58">
                              <w:rPr>
                                <w:rFonts w:ascii="Aptos" w:hAnsi="Aptos"/>
                              </w:rPr>
                              <w:br/>
                            </w:r>
                            <w:hyperlink r:id="rId13" w:history="1">
                              <w:r w:rsidR="000200FA" w:rsidRPr="00E43F58">
                                <w:rPr>
                                  <w:rStyle w:val="Hyperlink"/>
                                  <w:rFonts w:ascii="Aptos" w:hAnsi="Aptos"/>
                                  <w:color w:val="FFFFFF" w:themeColor="background1"/>
                                </w:rPr>
                                <w:t>CyberRiskInstitute.org</w:t>
                              </w:r>
                              <w:r w:rsidR="000200FA" w:rsidRPr="00E43F58">
                                <w:rPr>
                                  <w:rStyle w:val="Hyperlink"/>
                                  <w:rFonts w:ascii="Aptos" w:hAnsi="Aptos"/>
                                  <w:color w:val="FFFFFF" w:themeColor="background1"/>
                                </w:rPr>
                                <w:br w:type="page"/>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288ABF" id="_x0000_t202" coordsize="21600,21600" o:spt="202" path="m,l,21600r21600,l21600,xe">
                <v:stroke joinstyle="miter"/>
                <v:path gradientshapeok="t" o:connecttype="rect"/>
              </v:shapetype>
              <v:shape id="Text Box 450" o:spid="_x0000_s1026" type="#_x0000_t202" style="position:absolute;margin-left:19.4pt;margin-top:599.8pt;width:396.6pt;height:116.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oGYGAIAAC0EAAAOAAAAZHJzL2Uyb0RvYy54bWysU8lu2zAQvRfoPxC815IdL4lgOXATuChg&#10;JAGcImeaIi0BFIclaUvu13dIyQvSnoJcRkO+0SzvDef3ba3IQVhXgc7pcJBSIjSHotK7nP56XX27&#10;pcR5pgumQIucHoWj94uvX+aNycQISlCFsASTaJc1Jqel9yZLEsdLUTM3ACM0ghJszTwe7S4pLGsw&#10;e62SUZpOkwZsYSxw4RzePnYgXcT8Ugrun6V0whOVU+zNR2uj3QabLOYs21lmyor3bbAPdFGzSmPR&#10;c6pH5hnZ2+qfVHXFLTiQfsChTkDKios4A04zTN9NsymZEXEWJMeZM03u89Lyp8PGvFji2+/QooCB&#10;kMa4zOFlmKeVtg5f7JQgjhQez7SJ1hOOl5P0Zno7QogjNhzPZtPxJORJLr8b6/wPATUJTk4t6hLp&#10;Yoe1813oKSRU07CqlIraKE2anE5vJmn84YxgcqWxxqXZ4Pl22/YTbKE44mAWOs2d4asKi6+Z8y/M&#10;osjYMC6uf0YjFWAR6D1KSrB//ncf4pF7RClpcGly6n7vmRWUqJ8aVbkbjsdhy+JhPJkFUuw1sr1G&#10;9L5+ANzLIT4Rw6Mb4r06udJC/Yb7vQxVEWKaY+2c+pP74LtVxvfBxXIZg3CvDPNrvTE8pA50Bmpf&#10;2zdmTc+/R+me4LReLHsnQxfbCbHce5BV1CgQ3LHa8447GVXu309Y+utzjLq88sVfAAAA//8DAFBL&#10;AwQUAAYACAAAACEAMfMBY+MAAAAMAQAADwAAAGRycy9kb3ducmV2LnhtbEyPwU7DMBBE70j8g7VI&#10;3KjTBKo0jVNVkSokBIeWXrg58TaJGq9D7LaBr2c5wXFnRzNv8vVke3HB0XeOFMxnEQik2pmOGgWH&#10;9+1DCsIHTUb3jlDBF3pYF7c3uc6Mu9IOL/vQCA4hn2kFbQhDJqWvW7Taz9yAxL+jG60OfI6NNKO+&#10;crjtZRxFC2l1R9zQ6gHLFuvT/mwVvJTbN72rYpt+9+Xz63EzfB4+npS6v5s2KxABp/Bnhl98RoeC&#10;mSp3JuNFryBJmTywPl8uFyDYkSYxr6tYekziBGSRy/8jih8AAAD//wMAUEsBAi0AFAAGAAgAAAAh&#10;ALaDOJL+AAAA4QEAABMAAAAAAAAAAAAAAAAAAAAAAFtDb250ZW50X1R5cGVzXS54bWxQSwECLQAU&#10;AAYACAAAACEAOP0h/9YAAACUAQAACwAAAAAAAAAAAAAAAAAvAQAAX3JlbHMvLnJlbHNQSwECLQAU&#10;AAYACAAAACEAfa6BmBgCAAAtBAAADgAAAAAAAAAAAAAAAAAuAgAAZHJzL2Uyb0RvYy54bWxQSwEC&#10;LQAUAAYACAAAACEAMfMBY+MAAAAMAQAADwAAAAAAAAAAAAAAAAByBAAAZHJzL2Rvd25yZXYueG1s&#10;UEsFBgAAAAAEAAQA8wAAAIIFAAAAAA==&#10;" filled="f" stroked="f" strokeweight=".5pt">
                <v:textbox>
                  <w:txbxContent>
                    <w:p w14:paraId="72FF430D" w14:textId="77777777" w:rsidR="00D50B66" w:rsidRDefault="00586F89" w:rsidP="00301CA3">
                      <w:pPr>
                        <w:pStyle w:val="CoverBodyGrey"/>
                        <w:rPr>
                          <w:rFonts w:ascii="Aptos" w:hAnsi="Aptos"/>
                          <w:color w:val="FFFFFF" w:themeColor="background1"/>
                        </w:rPr>
                      </w:pPr>
                      <w:r w:rsidRPr="00301CA3">
                        <w:br/>
                      </w:r>
                      <w:r w:rsidRPr="00E43F58">
                        <w:rPr>
                          <w:rFonts w:ascii="Aptos" w:hAnsi="Aptos"/>
                          <w:color w:val="FFFFFF" w:themeColor="background1"/>
                        </w:rPr>
                        <w:t>Cyber Risk Institute</w:t>
                      </w:r>
                      <w:r w:rsidRPr="00E43F58">
                        <w:rPr>
                          <w:rFonts w:ascii="Aptos" w:hAnsi="Aptos"/>
                          <w:color w:val="FFFFFF" w:themeColor="background1"/>
                        </w:rPr>
                        <w:br/>
                        <w:t>Washington, D</w:t>
                      </w:r>
                      <w:r w:rsidR="00CB1023" w:rsidRPr="00E43F58">
                        <w:rPr>
                          <w:rFonts w:ascii="Aptos" w:hAnsi="Aptos"/>
                          <w:color w:val="FFFFFF" w:themeColor="background1"/>
                        </w:rPr>
                        <w:t>.</w:t>
                      </w:r>
                      <w:r w:rsidRPr="00E43F58">
                        <w:rPr>
                          <w:rFonts w:ascii="Aptos" w:hAnsi="Aptos"/>
                          <w:color w:val="FFFFFF" w:themeColor="background1"/>
                        </w:rPr>
                        <w:t>C</w:t>
                      </w:r>
                      <w:r w:rsidR="00CB1023" w:rsidRPr="00E43F58">
                        <w:rPr>
                          <w:rFonts w:ascii="Aptos" w:hAnsi="Aptos"/>
                          <w:color w:val="FFFFFF" w:themeColor="background1"/>
                        </w:rPr>
                        <w:t>.</w:t>
                      </w:r>
                    </w:p>
                    <w:p w14:paraId="2BE631A5" w14:textId="074B68C7" w:rsidR="00586F89" w:rsidRPr="00E43F58" w:rsidRDefault="00586F89" w:rsidP="00301CA3">
                      <w:pPr>
                        <w:pStyle w:val="CoverBodyGrey"/>
                        <w:rPr>
                          <w:rFonts w:ascii="Aptos" w:hAnsi="Aptos" w:cs="Times New Roman"/>
                          <w:sz w:val="28"/>
                          <w:szCs w:val="32"/>
                        </w:rPr>
                      </w:pPr>
                      <w:r w:rsidRPr="00E43F58">
                        <w:rPr>
                          <w:rFonts w:ascii="Aptos" w:hAnsi="Aptos"/>
                        </w:rPr>
                        <w:br/>
                      </w:r>
                      <w:hyperlink r:id="rId14" w:history="1">
                        <w:r w:rsidR="000200FA" w:rsidRPr="00E43F58">
                          <w:rPr>
                            <w:rStyle w:val="Hyperlink"/>
                            <w:rFonts w:ascii="Aptos" w:hAnsi="Aptos"/>
                            <w:color w:val="FFFFFF" w:themeColor="background1"/>
                          </w:rPr>
                          <w:t>CyberRiskInstitute.org</w:t>
                        </w:r>
                        <w:r w:rsidR="000200FA" w:rsidRPr="00E43F58">
                          <w:rPr>
                            <w:rStyle w:val="Hyperlink"/>
                            <w:rFonts w:ascii="Aptos" w:hAnsi="Aptos"/>
                            <w:color w:val="FFFFFF" w:themeColor="background1"/>
                          </w:rPr>
                          <w:br w:type="page"/>
                        </w:r>
                      </w:hyperlink>
                    </w:p>
                  </w:txbxContent>
                </v:textbox>
                <w10:wrap type="square" anchory="page"/>
              </v:shape>
            </w:pict>
          </mc:Fallback>
        </mc:AlternateContent>
      </w:r>
    </w:p>
    <w:p w14:paraId="17B2113E" w14:textId="7C94B8F6" w:rsidR="00715921" w:rsidRPr="00BB1202" w:rsidRDefault="00715921">
      <w:pPr>
        <w:rPr>
          <w:rFonts w:ascii="Aptos" w:hAnsi="Aptos"/>
          <w:i/>
          <w:iCs/>
          <w:color w:val="B31E3E" w:themeColor="accent1"/>
          <w:sz w:val="28"/>
          <w:szCs w:val="32"/>
        </w:rPr>
      </w:pPr>
    </w:p>
    <w:bookmarkStart w:id="4" w:name="_ABOUT_THE_PROFILE"/>
    <w:bookmarkStart w:id="5" w:name="_Toc14449287"/>
    <w:bookmarkStart w:id="6" w:name="_Toc14700759"/>
    <w:bookmarkStart w:id="7" w:name="_Toc43996376"/>
    <w:bookmarkStart w:id="8" w:name="_Hlk44341187"/>
    <w:bookmarkEnd w:id="0"/>
    <w:bookmarkEnd w:id="1"/>
    <w:bookmarkEnd w:id="2"/>
    <w:bookmarkEnd w:id="3"/>
    <w:bookmarkEnd w:id="4"/>
    <w:p w14:paraId="4FBE35C0" w14:textId="37EC9941" w:rsidR="006B5A2B" w:rsidRPr="00827072" w:rsidRDefault="00E766A1" w:rsidP="004576A8">
      <w:pPr>
        <w:rPr>
          <w:b/>
          <w:bCs/>
          <w:noProof/>
          <w:color w:val="34246B" w:themeColor="accent2"/>
          <w:sz w:val="32"/>
          <w:szCs w:val="32"/>
        </w:rPr>
      </w:pPr>
      <w:r w:rsidRPr="00827072">
        <w:rPr>
          <w:rFonts w:ascii="Aptos" w:hAnsi="Aptos"/>
          <w:b/>
          <w:bCs/>
          <w:color w:val="34246B" w:themeColor="accent2"/>
          <w:sz w:val="32"/>
          <w:szCs w:val="32"/>
        </w:rPr>
        <w:fldChar w:fldCharType="begin"/>
      </w:r>
      <w:r w:rsidRPr="00827072">
        <w:rPr>
          <w:rFonts w:ascii="Aptos" w:hAnsi="Aptos"/>
          <w:b/>
          <w:bCs/>
          <w:color w:val="34246B" w:themeColor="accent2"/>
          <w:sz w:val="32"/>
          <w:szCs w:val="32"/>
        </w:rPr>
        <w:instrText xml:space="preserve"> TOC \o "1-2" \h \z </w:instrText>
      </w:r>
      <w:r w:rsidRPr="00827072">
        <w:rPr>
          <w:rFonts w:ascii="Aptos" w:hAnsi="Aptos"/>
          <w:b/>
          <w:bCs/>
          <w:color w:val="34246B" w:themeColor="accent2"/>
          <w:sz w:val="32"/>
          <w:szCs w:val="32"/>
        </w:rPr>
        <w:fldChar w:fldCharType="separate"/>
      </w:r>
    </w:p>
    <w:p w14:paraId="602C7F4E" w14:textId="77777777" w:rsidR="00AE02C7" w:rsidRDefault="00AE02C7">
      <w:pPr>
        <w:rPr>
          <w:rFonts w:ascii="Aptos" w:hAnsi="Aptos"/>
          <w:b/>
          <w:bCs/>
          <w:caps/>
          <w:color w:val="34246B" w:themeColor="accent2"/>
          <w:sz w:val="32"/>
          <w:szCs w:val="32"/>
        </w:rPr>
      </w:pPr>
      <w:r>
        <w:rPr>
          <w:rFonts w:ascii="Aptos" w:hAnsi="Aptos"/>
          <w:b/>
          <w:bCs/>
          <w:caps/>
          <w:color w:val="34246B" w:themeColor="accent2"/>
          <w:sz w:val="32"/>
          <w:szCs w:val="32"/>
        </w:rPr>
        <w:br w:type="page"/>
      </w:r>
    </w:p>
    <w:p w14:paraId="020A4A47" w14:textId="45D6E56E" w:rsidR="00D21B14" w:rsidRPr="00497868" w:rsidRDefault="00E766A1" w:rsidP="000B51E8">
      <w:pPr>
        <w:spacing w:line="269" w:lineRule="auto"/>
        <w:rPr>
          <w:rFonts w:ascii="Aptos" w:hAnsi="Aptos"/>
          <w:b/>
          <w:bCs/>
          <w:color w:val="34246B" w:themeColor="accent2"/>
          <w:sz w:val="28"/>
          <w:szCs w:val="28"/>
        </w:rPr>
      </w:pPr>
      <w:r w:rsidRPr="00827072">
        <w:rPr>
          <w:rFonts w:ascii="Aptos" w:hAnsi="Aptos"/>
          <w:b/>
          <w:bCs/>
          <w:caps/>
          <w:color w:val="34246B" w:themeColor="accent2"/>
          <w:sz w:val="32"/>
          <w:szCs w:val="32"/>
        </w:rPr>
        <w:lastRenderedPageBreak/>
        <w:fldChar w:fldCharType="end"/>
      </w:r>
      <w:bookmarkStart w:id="9" w:name="_Toc203286669"/>
      <w:bookmarkStart w:id="10" w:name="_Toc203287059"/>
      <w:r w:rsidR="00640B33" w:rsidRPr="00497868">
        <w:rPr>
          <w:rFonts w:ascii="Aptos" w:hAnsi="Aptos"/>
          <w:b/>
          <w:bCs/>
          <w:color w:val="34246B" w:themeColor="accent2"/>
          <w:sz w:val="28"/>
          <w:szCs w:val="28"/>
        </w:rPr>
        <w:t>ABOUT THE CYBER RISK INSTITUTE</w:t>
      </w:r>
      <w:bookmarkEnd w:id="9"/>
      <w:bookmarkEnd w:id="10"/>
    </w:p>
    <w:p w14:paraId="5FD029AF" w14:textId="77777777" w:rsidR="00D21B14" w:rsidRPr="00BF0C10" w:rsidRDefault="00D21B14" w:rsidP="00497868">
      <w:pPr>
        <w:jc w:val="both"/>
        <w:rPr>
          <w:rFonts w:ascii="Aptos" w:hAnsi="Aptos"/>
          <w:color w:val="auto"/>
          <w:sz w:val="20"/>
          <w:szCs w:val="20"/>
        </w:rPr>
      </w:pPr>
    </w:p>
    <w:p w14:paraId="4FDBF8A4" w14:textId="4A838F7D" w:rsidR="00D21B14" w:rsidRPr="00497868" w:rsidRDefault="00D21B14" w:rsidP="00497868">
      <w:pPr>
        <w:jc w:val="both"/>
        <w:rPr>
          <w:rFonts w:ascii="Aptos" w:hAnsi="Aptos"/>
          <w:color w:val="auto"/>
          <w:sz w:val="20"/>
          <w:szCs w:val="20"/>
        </w:rPr>
      </w:pPr>
      <w:r w:rsidRPr="00497868">
        <w:rPr>
          <w:rFonts w:ascii="Aptos" w:hAnsi="Aptos"/>
          <w:color w:val="auto"/>
          <w:sz w:val="20"/>
          <w:szCs w:val="20"/>
        </w:rPr>
        <w:t xml:space="preserve">The Cyber Risk Institute (CRI) is a non-profit coalition of financial institutions and trade associations dedicated to </w:t>
      </w:r>
      <w:r w:rsidR="00F22AD1" w:rsidRPr="00497868">
        <w:rPr>
          <w:rFonts w:ascii="Aptos" w:hAnsi="Aptos"/>
          <w:color w:val="auto"/>
          <w:sz w:val="20"/>
          <w:szCs w:val="20"/>
        </w:rPr>
        <w:t xml:space="preserve">advancing the development and harmonization of cybersecurity, technology, and artificial intelligence (AI) </w:t>
      </w:r>
      <w:r w:rsidRPr="00497868">
        <w:rPr>
          <w:rFonts w:ascii="Aptos" w:hAnsi="Aptos"/>
          <w:color w:val="auto"/>
          <w:sz w:val="20"/>
          <w:szCs w:val="20"/>
        </w:rPr>
        <w:t>risk management standard</w:t>
      </w:r>
      <w:r w:rsidR="004F378B" w:rsidRPr="00497868">
        <w:rPr>
          <w:rFonts w:ascii="Aptos" w:hAnsi="Aptos"/>
          <w:color w:val="auto"/>
          <w:sz w:val="20"/>
          <w:szCs w:val="20"/>
        </w:rPr>
        <w:t>s</w:t>
      </w:r>
      <w:r w:rsidRPr="00497868">
        <w:rPr>
          <w:rFonts w:ascii="Aptos" w:hAnsi="Aptos"/>
          <w:color w:val="auto"/>
          <w:sz w:val="20"/>
          <w:szCs w:val="20"/>
        </w:rPr>
        <w:t xml:space="preserve">. CRI is committed to providing practical, industry-driven solutions for emerging risks, including </w:t>
      </w:r>
      <w:r w:rsidR="00387495">
        <w:rPr>
          <w:rFonts w:ascii="Aptos" w:hAnsi="Aptos"/>
          <w:color w:val="auto"/>
          <w:sz w:val="20"/>
          <w:szCs w:val="20"/>
        </w:rPr>
        <w:t>AI</w:t>
      </w:r>
      <w:r w:rsidRPr="00497868">
        <w:rPr>
          <w:rFonts w:ascii="Aptos" w:hAnsi="Aptos"/>
          <w:color w:val="auto"/>
          <w:sz w:val="20"/>
          <w:szCs w:val="20"/>
        </w:rPr>
        <w:t xml:space="preserve">, and leverages its expertise in cyber and technology risk management as </w:t>
      </w:r>
      <w:r w:rsidR="00942359" w:rsidRPr="00497868">
        <w:rPr>
          <w:rFonts w:ascii="Aptos" w:hAnsi="Aptos"/>
          <w:color w:val="auto"/>
          <w:sz w:val="20"/>
          <w:szCs w:val="20"/>
        </w:rPr>
        <w:t>a solid foundation</w:t>
      </w:r>
      <w:r w:rsidRPr="00497868">
        <w:rPr>
          <w:rFonts w:ascii="Aptos" w:hAnsi="Aptos"/>
          <w:color w:val="auto"/>
          <w:sz w:val="20"/>
          <w:szCs w:val="20"/>
        </w:rPr>
        <w:t xml:space="preserve"> for AI </w:t>
      </w:r>
      <w:r w:rsidR="008A3403">
        <w:rPr>
          <w:rFonts w:ascii="Aptos" w:hAnsi="Aptos"/>
          <w:color w:val="auto"/>
          <w:sz w:val="20"/>
          <w:szCs w:val="20"/>
        </w:rPr>
        <w:t xml:space="preserve">governance and </w:t>
      </w:r>
      <w:r w:rsidRPr="00497868">
        <w:rPr>
          <w:rFonts w:ascii="Aptos" w:hAnsi="Aptos"/>
          <w:color w:val="auto"/>
          <w:sz w:val="20"/>
          <w:szCs w:val="20"/>
        </w:rPr>
        <w:t xml:space="preserve">risk management. </w:t>
      </w:r>
    </w:p>
    <w:p w14:paraId="5F56F718" w14:textId="77777777" w:rsidR="00B02B31" w:rsidRPr="00497868" w:rsidRDefault="00B02B31" w:rsidP="00497868">
      <w:pPr>
        <w:jc w:val="both"/>
        <w:rPr>
          <w:rFonts w:ascii="Aptos" w:hAnsi="Aptos"/>
          <w:color w:val="auto"/>
          <w:sz w:val="20"/>
          <w:szCs w:val="20"/>
        </w:rPr>
      </w:pPr>
    </w:p>
    <w:p w14:paraId="274C9012" w14:textId="5FEC519F" w:rsidR="00D21B14" w:rsidRPr="00497868" w:rsidRDefault="00D21B14" w:rsidP="00497868">
      <w:pPr>
        <w:jc w:val="both"/>
        <w:rPr>
          <w:rFonts w:ascii="Aptos" w:hAnsi="Aptos"/>
          <w:color w:val="auto"/>
          <w:sz w:val="20"/>
          <w:szCs w:val="20"/>
        </w:rPr>
      </w:pPr>
      <w:r w:rsidRPr="00497868">
        <w:rPr>
          <w:rFonts w:ascii="Aptos" w:hAnsi="Aptos"/>
          <w:color w:val="auto"/>
          <w:sz w:val="20"/>
          <w:szCs w:val="20"/>
        </w:rPr>
        <w:t>By providing clear guidance and support, CRI assist</w:t>
      </w:r>
      <w:r w:rsidR="00E43257" w:rsidRPr="00497868">
        <w:rPr>
          <w:rFonts w:ascii="Aptos" w:hAnsi="Aptos"/>
          <w:color w:val="auto"/>
          <w:sz w:val="20"/>
          <w:szCs w:val="20"/>
        </w:rPr>
        <w:t>s</w:t>
      </w:r>
      <w:r w:rsidRPr="00497868">
        <w:rPr>
          <w:rFonts w:ascii="Aptos" w:hAnsi="Aptos"/>
          <w:color w:val="auto"/>
          <w:sz w:val="20"/>
          <w:szCs w:val="20"/>
        </w:rPr>
        <w:t xml:space="preserve"> organizations in mitigating new</w:t>
      </w:r>
      <w:r w:rsidR="00A527A4" w:rsidRPr="00497868">
        <w:rPr>
          <w:rFonts w:ascii="Aptos" w:hAnsi="Aptos"/>
          <w:color w:val="auto"/>
          <w:sz w:val="20"/>
          <w:szCs w:val="20"/>
        </w:rPr>
        <w:t xml:space="preserve"> and emerging</w:t>
      </w:r>
      <w:r w:rsidRPr="00497868">
        <w:rPr>
          <w:rFonts w:ascii="Aptos" w:hAnsi="Aptos"/>
          <w:color w:val="auto"/>
          <w:sz w:val="20"/>
          <w:szCs w:val="20"/>
        </w:rPr>
        <w:t xml:space="preserve"> threats </w:t>
      </w:r>
      <w:r w:rsidR="00EE18AA" w:rsidRPr="00497868">
        <w:rPr>
          <w:rFonts w:ascii="Aptos" w:hAnsi="Aptos"/>
          <w:color w:val="auto"/>
          <w:sz w:val="20"/>
          <w:szCs w:val="20"/>
        </w:rPr>
        <w:t>while enhancing</w:t>
      </w:r>
      <w:r w:rsidRPr="00497868">
        <w:rPr>
          <w:rFonts w:ascii="Aptos" w:hAnsi="Aptos"/>
          <w:color w:val="auto"/>
          <w:sz w:val="20"/>
          <w:szCs w:val="20"/>
        </w:rPr>
        <w:t xml:space="preserve"> risk </w:t>
      </w:r>
      <w:r w:rsidR="00B05AC4" w:rsidRPr="00497868">
        <w:rPr>
          <w:rFonts w:ascii="Aptos" w:hAnsi="Aptos"/>
          <w:color w:val="auto"/>
          <w:sz w:val="20"/>
          <w:szCs w:val="20"/>
        </w:rPr>
        <w:t xml:space="preserve">practices </w:t>
      </w:r>
      <w:r w:rsidRPr="00497868">
        <w:rPr>
          <w:rFonts w:ascii="Aptos" w:hAnsi="Aptos"/>
          <w:color w:val="auto"/>
          <w:sz w:val="20"/>
          <w:szCs w:val="20"/>
        </w:rPr>
        <w:t xml:space="preserve">across the financial sector. Building </w:t>
      </w:r>
      <w:r w:rsidR="00EE18AA" w:rsidRPr="00497868">
        <w:rPr>
          <w:rFonts w:ascii="Aptos" w:hAnsi="Aptos"/>
          <w:color w:val="auto"/>
          <w:sz w:val="20"/>
          <w:szCs w:val="20"/>
        </w:rPr>
        <w:t>on</w:t>
      </w:r>
      <w:r w:rsidRPr="00497868">
        <w:rPr>
          <w:rFonts w:ascii="Aptos" w:hAnsi="Aptos"/>
          <w:color w:val="auto"/>
          <w:sz w:val="20"/>
          <w:szCs w:val="20"/>
        </w:rPr>
        <w:t xml:space="preserve"> CRI's existing work in </w:t>
      </w:r>
      <w:r w:rsidR="00E26A98" w:rsidRPr="00497868">
        <w:rPr>
          <w:rFonts w:ascii="Aptos" w:hAnsi="Aptos"/>
          <w:color w:val="auto"/>
          <w:sz w:val="20"/>
          <w:szCs w:val="20"/>
        </w:rPr>
        <w:t>standardization and simplification</w:t>
      </w:r>
      <w:r w:rsidRPr="00497868">
        <w:rPr>
          <w:rFonts w:ascii="Aptos" w:hAnsi="Aptos"/>
          <w:color w:val="auto"/>
          <w:sz w:val="20"/>
          <w:szCs w:val="20"/>
        </w:rPr>
        <w:t>, including the Profile and Cloud Profile</w:t>
      </w:r>
      <w:r w:rsidRPr="00497868">
        <w:rPr>
          <w:rFonts w:ascii="Aptos" w:hAnsi="Aptos"/>
          <w:sz w:val="20"/>
          <w:szCs w:val="20"/>
          <w:vertAlign w:val="superscript"/>
        </w:rPr>
        <w:footnoteReference w:id="2"/>
      </w:r>
      <w:r w:rsidRPr="00497868">
        <w:rPr>
          <w:rFonts w:ascii="Aptos" w:hAnsi="Aptos"/>
          <w:color w:val="auto"/>
          <w:sz w:val="20"/>
          <w:szCs w:val="20"/>
        </w:rPr>
        <w:t xml:space="preserve">, CRI is proud to deliver the </w:t>
      </w:r>
      <w:r w:rsidRPr="00497868">
        <w:rPr>
          <w:rFonts w:ascii="Aptos" w:hAnsi="Aptos"/>
          <w:b/>
          <w:bCs/>
          <w:color w:val="auto"/>
          <w:sz w:val="20"/>
          <w:szCs w:val="20"/>
        </w:rPr>
        <w:t>Financial Services Artificial Intelligence Risk Management Framework</w:t>
      </w:r>
      <w:r w:rsidRPr="00497868">
        <w:rPr>
          <w:rFonts w:ascii="Aptos" w:hAnsi="Aptos"/>
          <w:color w:val="auto"/>
          <w:sz w:val="20"/>
          <w:szCs w:val="20"/>
        </w:rPr>
        <w:t xml:space="preserve"> (</w:t>
      </w:r>
      <w:r w:rsidR="009C267C" w:rsidRPr="00497868">
        <w:rPr>
          <w:rFonts w:ascii="Aptos" w:hAnsi="Aptos"/>
          <w:color w:val="auto"/>
          <w:sz w:val="20"/>
          <w:szCs w:val="20"/>
        </w:rPr>
        <w:t xml:space="preserve">hereinafter referred to as the </w:t>
      </w:r>
      <w:r w:rsidR="00D97F84" w:rsidRPr="00497868">
        <w:rPr>
          <w:rFonts w:ascii="Aptos" w:hAnsi="Aptos"/>
          <w:color w:val="auto"/>
          <w:sz w:val="20"/>
          <w:szCs w:val="20"/>
        </w:rPr>
        <w:t>“</w:t>
      </w:r>
      <w:r w:rsidRPr="00497868">
        <w:rPr>
          <w:rFonts w:ascii="Aptos" w:hAnsi="Aptos"/>
          <w:color w:val="auto"/>
          <w:sz w:val="20"/>
          <w:szCs w:val="20"/>
        </w:rPr>
        <w:t>FS AI RMF</w:t>
      </w:r>
      <w:r w:rsidR="009C267C" w:rsidRPr="00497868">
        <w:rPr>
          <w:rFonts w:ascii="Aptos" w:hAnsi="Aptos"/>
          <w:color w:val="auto"/>
          <w:sz w:val="20"/>
          <w:szCs w:val="20"/>
        </w:rPr>
        <w:t>” or “</w:t>
      </w:r>
      <w:r w:rsidR="00D97F84" w:rsidRPr="00497868">
        <w:rPr>
          <w:rFonts w:ascii="Aptos" w:hAnsi="Aptos"/>
          <w:color w:val="auto"/>
          <w:sz w:val="20"/>
          <w:szCs w:val="20"/>
        </w:rPr>
        <w:t>the Framework”</w:t>
      </w:r>
      <w:r w:rsidRPr="00497868">
        <w:rPr>
          <w:rFonts w:ascii="Aptos" w:hAnsi="Aptos"/>
          <w:color w:val="auto"/>
          <w:sz w:val="20"/>
          <w:szCs w:val="20"/>
        </w:rPr>
        <w:t>)</w:t>
      </w:r>
      <w:r w:rsidRPr="00497868">
        <w:rPr>
          <w:rFonts w:ascii="Aptos" w:hAnsi="Aptos"/>
          <w:sz w:val="20"/>
          <w:szCs w:val="20"/>
          <w:vertAlign w:val="superscript"/>
        </w:rPr>
        <w:footnoteReference w:id="3"/>
      </w:r>
      <w:r w:rsidRPr="00497868">
        <w:rPr>
          <w:rFonts w:ascii="Aptos" w:hAnsi="Aptos"/>
          <w:color w:val="auto"/>
          <w:sz w:val="20"/>
          <w:szCs w:val="20"/>
        </w:rPr>
        <w:t>.</w:t>
      </w:r>
    </w:p>
    <w:p w14:paraId="0C6123F0" w14:textId="77777777" w:rsidR="007445A1" w:rsidRPr="00551DEC" w:rsidRDefault="007445A1" w:rsidP="00497868">
      <w:pPr>
        <w:jc w:val="both"/>
        <w:rPr>
          <w:rFonts w:ascii="Aptos" w:hAnsi="Aptos"/>
          <w:color w:val="auto"/>
        </w:rPr>
      </w:pPr>
      <w:r w:rsidRPr="00551DEC">
        <w:rPr>
          <w:rFonts w:ascii="Aptos" w:hAnsi="Aptos"/>
          <w:color w:val="auto"/>
        </w:rPr>
        <w:fldChar w:fldCharType="begin"/>
      </w:r>
      <w:r w:rsidRPr="00551DEC">
        <w:rPr>
          <w:rFonts w:ascii="Aptos" w:hAnsi="Aptos"/>
          <w:color w:val="auto"/>
        </w:rPr>
        <w:instrText xml:space="preserve"> TOC \o "1-2" \h \z </w:instrText>
      </w:r>
      <w:r w:rsidRPr="00551DEC">
        <w:rPr>
          <w:rFonts w:ascii="Aptos" w:hAnsi="Aptos"/>
          <w:color w:val="auto"/>
        </w:rPr>
        <w:fldChar w:fldCharType="separate"/>
      </w:r>
    </w:p>
    <w:p w14:paraId="05AC77D9" w14:textId="79EE5613" w:rsidR="007445A1" w:rsidRPr="00497868" w:rsidRDefault="007445A1" w:rsidP="00497868">
      <w:pPr>
        <w:jc w:val="both"/>
        <w:rPr>
          <w:rFonts w:ascii="Aptos" w:hAnsi="Aptos"/>
          <w:b/>
          <w:bCs/>
          <w:noProof/>
          <w:color w:val="34246B" w:themeColor="accent2"/>
          <w:sz w:val="28"/>
          <w:szCs w:val="28"/>
        </w:rPr>
      </w:pPr>
      <w:r w:rsidRPr="00551DEC">
        <w:rPr>
          <w:rFonts w:ascii="Aptos" w:hAnsi="Aptos"/>
          <w:color w:val="auto"/>
        </w:rPr>
        <w:fldChar w:fldCharType="end"/>
      </w:r>
      <w:bookmarkStart w:id="11" w:name="_Toc203286670"/>
      <w:bookmarkStart w:id="12" w:name="_Toc203287060"/>
      <w:r w:rsidR="008230F5" w:rsidRPr="00497868">
        <w:rPr>
          <w:rFonts w:ascii="Aptos" w:hAnsi="Aptos"/>
          <w:b/>
          <w:bCs/>
          <w:noProof/>
          <w:color w:val="34246B" w:themeColor="accent2"/>
          <w:sz w:val="28"/>
          <w:szCs w:val="28"/>
        </w:rPr>
        <w:t>ABOUT THE FS AI RMF</w:t>
      </w:r>
      <w:bookmarkEnd w:id="11"/>
      <w:bookmarkEnd w:id="12"/>
    </w:p>
    <w:p w14:paraId="7799517C" w14:textId="77777777" w:rsidR="007445A1" w:rsidRPr="00BF0C10" w:rsidRDefault="007445A1" w:rsidP="00497868">
      <w:pPr>
        <w:jc w:val="both"/>
        <w:rPr>
          <w:rFonts w:ascii="Aptos" w:hAnsi="Aptos"/>
          <w:sz w:val="20"/>
          <w:szCs w:val="20"/>
        </w:rPr>
      </w:pPr>
    </w:p>
    <w:p w14:paraId="1691552B" w14:textId="7F33EA6C" w:rsidR="00F45D3A" w:rsidRPr="00497868" w:rsidRDefault="00F45D3A" w:rsidP="00497868">
      <w:pPr>
        <w:jc w:val="both"/>
        <w:rPr>
          <w:rFonts w:ascii="Aptos" w:hAnsi="Aptos"/>
          <w:color w:val="auto"/>
          <w:sz w:val="20"/>
          <w:szCs w:val="20"/>
        </w:rPr>
      </w:pPr>
      <w:r w:rsidRPr="00497868">
        <w:rPr>
          <w:rFonts w:ascii="Aptos" w:hAnsi="Aptos"/>
          <w:color w:val="auto"/>
          <w:sz w:val="20"/>
          <w:szCs w:val="20"/>
        </w:rPr>
        <w:t>The FS AI RMF was developed through public-private collaboration involving a diverse group of 108 financial institutions</w:t>
      </w:r>
      <w:r w:rsidR="00476ECC" w:rsidRPr="00497868">
        <w:rPr>
          <w:rFonts w:ascii="Aptos" w:hAnsi="Aptos"/>
          <w:color w:val="auto"/>
          <w:sz w:val="20"/>
          <w:szCs w:val="20"/>
        </w:rPr>
        <w:t xml:space="preserve">, </w:t>
      </w:r>
      <w:r w:rsidRPr="00497868">
        <w:rPr>
          <w:rFonts w:ascii="Aptos" w:hAnsi="Aptos"/>
          <w:color w:val="auto"/>
          <w:sz w:val="20"/>
          <w:szCs w:val="20"/>
        </w:rPr>
        <w:t xml:space="preserve">including community banks, credit unions, </w:t>
      </w:r>
      <w:r w:rsidR="00752866">
        <w:rPr>
          <w:rFonts w:ascii="Aptos" w:hAnsi="Aptos"/>
          <w:color w:val="auto"/>
          <w:sz w:val="20"/>
          <w:szCs w:val="20"/>
        </w:rPr>
        <w:t xml:space="preserve">national and </w:t>
      </w:r>
      <w:r w:rsidRPr="00497868">
        <w:rPr>
          <w:rFonts w:ascii="Aptos" w:hAnsi="Aptos"/>
          <w:color w:val="auto"/>
          <w:sz w:val="20"/>
          <w:szCs w:val="20"/>
        </w:rPr>
        <w:t xml:space="preserve">multinational banks, investment firms, insurance companies, and trade associations under the Financial Services Sector Coordinating Council (FSSCC). Additionally, U.S. and international agencies, most notably the National Institute of Standards and Technology (NIST), provided input and </w:t>
      </w:r>
      <w:r w:rsidR="00B76327" w:rsidRPr="00497868">
        <w:rPr>
          <w:rFonts w:ascii="Aptos" w:hAnsi="Aptos"/>
          <w:color w:val="auto"/>
          <w:sz w:val="20"/>
          <w:szCs w:val="20"/>
        </w:rPr>
        <w:t>feedback</w:t>
      </w:r>
      <w:r w:rsidRPr="00497868">
        <w:rPr>
          <w:rFonts w:ascii="Aptos" w:hAnsi="Aptos"/>
          <w:color w:val="auto"/>
          <w:sz w:val="20"/>
          <w:szCs w:val="20"/>
        </w:rPr>
        <w:t xml:space="preserve">. This industry-backed, consolidated approach is designed to help organizations of all types and sizes effectively identify, evaluate, manage, and govern AI risks. It aims to operationalize a comprehensive risk management framework tailored specifically for financial services, promoting efficiency and innovation </w:t>
      </w:r>
      <w:r w:rsidR="00A218F7" w:rsidRPr="00497868">
        <w:rPr>
          <w:rFonts w:ascii="Aptos" w:hAnsi="Aptos"/>
          <w:color w:val="auto"/>
          <w:sz w:val="20"/>
          <w:szCs w:val="20"/>
        </w:rPr>
        <w:t>while harnessing the potential of AI both strategically and responsibly</w:t>
      </w:r>
      <w:r w:rsidRPr="00497868">
        <w:rPr>
          <w:rFonts w:ascii="Aptos" w:hAnsi="Aptos"/>
          <w:color w:val="auto"/>
          <w:sz w:val="20"/>
          <w:szCs w:val="20"/>
        </w:rPr>
        <w:t>.</w:t>
      </w:r>
    </w:p>
    <w:p w14:paraId="1578CA8C" w14:textId="1B41A574" w:rsidR="005C5292" w:rsidRPr="00551DEC" w:rsidRDefault="005C5292" w:rsidP="00497868">
      <w:pPr>
        <w:jc w:val="both"/>
        <w:rPr>
          <w:rFonts w:ascii="Aptos" w:hAnsi="Aptos"/>
          <w:b/>
          <w:bCs/>
          <w:color w:val="B31E3E" w:themeColor="accent1"/>
          <w:u w:val="single"/>
        </w:rPr>
      </w:pPr>
      <w:r w:rsidRPr="00551DEC">
        <w:rPr>
          <w:rFonts w:ascii="Aptos" w:hAnsi="Aptos"/>
          <w:b/>
          <w:bCs/>
          <w:color w:val="B31E3E" w:themeColor="accent1"/>
          <w:u w:val="single"/>
        </w:rPr>
        <w:fldChar w:fldCharType="begin"/>
      </w:r>
      <w:r w:rsidRPr="00551DEC">
        <w:rPr>
          <w:rFonts w:ascii="Aptos" w:hAnsi="Aptos"/>
          <w:b/>
          <w:bCs/>
          <w:color w:val="B31E3E" w:themeColor="accent1"/>
          <w:u w:val="single"/>
        </w:rPr>
        <w:instrText xml:space="preserve"> TOC \o "1-2" \h \z </w:instrText>
      </w:r>
      <w:r w:rsidRPr="00551DEC">
        <w:rPr>
          <w:rFonts w:ascii="Aptos" w:hAnsi="Aptos"/>
          <w:b/>
          <w:bCs/>
          <w:color w:val="B31E3E" w:themeColor="accent1"/>
          <w:u w:val="single"/>
        </w:rPr>
        <w:fldChar w:fldCharType="separate"/>
      </w:r>
    </w:p>
    <w:p w14:paraId="55FF0A57" w14:textId="2536968D" w:rsidR="005C5292" w:rsidRPr="00497868" w:rsidRDefault="005C5292" w:rsidP="00497868">
      <w:pPr>
        <w:jc w:val="both"/>
        <w:rPr>
          <w:rFonts w:ascii="Aptos" w:hAnsi="Aptos"/>
          <w:b/>
          <w:bCs/>
          <w:color w:val="B31E3E" w:themeColor="accent1"/>
          <w:sz w:val="24"/>
          <w:u w:val="single"/>
        </w:rPr>
      </w:pPr>
      <w:r w:rsidRPr="00551DEC">
        <w:rPr>
          <w:rFonts w:ascii="Aptos" w:hAnsi="Aptos"/>
          <w:b/>
          <w:bCs/>
          <w:color w:val="B31E3E" w:themeColor="accent1"/>
          <w:u w:val="single"/>
        </w:rPr>
        <w:fldChar w:fldCharType="end"/>
      </w:r>
      <w:r w:rsidRPr="00497868">
        <w:rPr>
          <w:rFonts w:ascii="Aptos" w:hAnsi="Aptos"/>
          <w:b/>
          <w:bCs/>
          <w:color w:val="B31E3E" w:themeColor="accent1"/>
          <w:sz w:val="24"/>
          <w:u w:val="single"/>
        </w:rPr>
        <w:t xml:space="preserve">Alignment with Existing Risk Management </w:t>
      </w:r>
      <w:r w:rsidR="009E30BF" w:rsidRPr="00497868">
        <w:rPr>
          <w:rFonts w:ascii="Aptos" w:hAnsi="Aptos"/>
          <w:b/>
          <w:bCs/>
          <w:color w:val="B31E3E" w:themeColor="accent1"/>
          <w:sz w:val="24"/>
          <w:u w:val="single"/>
        </w:rPr>
        <w:t>Functions</w:t>
      </w:r>
    </w:p>
    <w:p w14:paraId="70047EA2" w14:textId="77777777" w:rsidR="003C0BF3" w:rsidRPr="00BF0C10" w:rsidRDefault="003C0BF3" w:rsidP="00497868">
      <w:pPr>
        <w:jc w:val="both"/>
        <w:rPr>
          <w:rFonts w:ascii="Aptos" w:hAnsi="Aptos"/>
          <w:b/>
          <w:bCs/>
          <w:color w:val="B31E3E" w:themeColor="accent1"/>
          <w:sz w:val="20"/>
          <w:szCs w:val="20"/>
          <w:u w:val="single"/>
        </w:rPr>
      </w:pPr>
    </w:p>
    <w:p w14:paraId="04D52816" w14:textId="0B133D38" w:rsidR="005C5292" w:rsidRPr="00497868" w:rsidRDefault="005C5292" w:rsidP="00497868">
      <w:pPr>
        <w:jc w:val="both"/>
        <w:rPr>
          <w:rFonts w:ascii="Aptos" w:hAnsi="Aptos"/>
          <w:color w:val="auto"/>
          <w:sz w:val="20"/>
          <w:szCs w:val="20"/>
        </w:rPr>
      </w:pPr>
      <w:r w:rsidRPr="00497868">
        <w:rPr>
          <w:rFonts w:ascii="Aptos" w:hAnsi="Aptos"/>
          <w:color w:val="auto"/>
          <w:sz w:val="20"/>
          <w:szCs w:val="20"/>
        </w:rPr>
        <w:t xml:space="preserve">The FS AI RMF is designed to be a universal complement to an organization’s existing risk management policies and practices. It </w:t>
      </w:r>
      <w:r w:rsidR="00A424CD" w:rsidRPr="00497868">
        <w:rPr>
          <w:rFonts w:ascii="Aptos" w:hAnsi="Aptos"/>
          <w:color w:val="auto"/>
          <w:sz w:val="20"/>
          <w:szCs w:val="20"/>
        </w:rPr>
        <w:t>does not replace</w:t>
      </w:r>
      <w:r w:rsidRPr="00497868">
        <w:rPr>
          <w:rFonts w:ascii="Aptos" w:hAnsi="Aptos"/>
          <w:color w:val="auto"/>
          <w:sz w:val="20"/>
          <w:szCs w:val="20"/>
        </w:rPr>
        <w:t xml:space="preserve"> existing </w:t>
      </w:r>
      <w:r w:rsidR="00016B06" w:rsidRPr="00497868">
        <w:rPr>
          <w:rFonts w:ascii="Aptos" w:hAnsi="Aptos"/>
          <w:color w:val="auto"/>
          <w:sz w:val="20"/>
          <w:szCs w:val="20"/>
        </w:rPr>
        <w:t>frameworks</w:t>
      </w:r>
      <w:r w:rsidRPr="00497868">
        <w:rPr>
          <w:rFonts w:ascii="Aptos" w:hAnsi="Aptos"/>
          <w:color w:val="auto"/>
          <w:sz w:val="20"/>
          <w:szCs w:val="20"/>
        </w:rPr>
        <w:t xml:space="preserve">, </w:t>
      </w:r>
      <w:r w:rsidR="00A424CD" w:rsidRPr="00497868">
        <w:rPr>
          <w:rFonts w:ascii="Aptos" w:hAnsi="Aptos"/>
          <w:color w:val="auto"/>
          <w:sz w:val="20"/>
          <w:szCs w:val="20"/>
        </w:rPr>
        <w:t xml:space="preserve">serve as </w:t>
      </w:r>
      <w:r w:rsidRPr="00497868">
        <w:rPr>
          <w:rFonts w:ascii="Aptos" w:hAnsi="Aptos"/>
          <w:color w:val="auto"/>
          <w:sz w:val="20"/>
          <w:szCs w:val="20"/>
        </w:rPr>
        <w:t xml:space="preserve">an all-inclusive repository of risks and controls, </w:t>
      </w:r>
      <w:r w:rsidR="00EE53E2" w:rsidRPr="00497868">
        <w:rPr>
          <w:rFonts w:ascii="Aptos" w:hAnsi="Aptos"/>
          <w:color w:val="auto"/>
          <w:sz w:val="20"/>
          <w:szCs w:val="20"/>
        </w:rPr>
        <w:t>or prescribe specific</w:t>
      </w:r>
      <w:r w:rsidRPr="00497868">
        <w:rPr>
          <w:rFonts w:ascii="Aptos" w:hAnsi="Aptos"/>
          <w:color w:val="auto"/>
          <w:sz w:val="20"/>
          <w:szCs w:val="20"/>
        </w:rPr>
        <w:t xml:space="preserve"> </w:t>
      </w:r>
      <w:r w:rsidR="00EE53E2" w:rsidRPr="00497868">
        <w:rPr>
          <w:rFonts w:ascii="Aptos" w:hAnsi="Aptos"/>
          <w:color w:val="auto"/>
          <w:sz w:val="20"/>
          <w:szCs w:val="20"/>
        </w:rPr>
        <w:t>use</w:t>
      </w:r>
      <w:r w:rsidR="000E0042" w:rsidRPr="00497868">
        <w:rPr>
          <w:rFonts w:ascii="Aptos" w:hAnsi="Aptos"/>
          <w:color w:val="auto"/>
          <w:sz w:val="20"/>
          <w:szCs w:val="20"/>
        </w:rPr>
        <w:t>-</w:t>
      </w:r>
      <w:r w:rsidRPr="00497868">
        <w:rPr>
          <w:rFonts w:ascii="Aptos" w:hAnsi="Aptos"/>
          <w:color w:val="auto"/>
          <w:sz w:val="20"/>
          <w:szCs w:val="20"/>
        </w:rPr>
        <w:t>case or role-specific</w:t>
      </w:r>
      <w:r w:rsidR="00EE53E2" w:rsidRPr="00497868">
        <w:rPr>
          <w:rFonts w:ascii="Aptos" w:hAnsi="Aptos"/>
          <w:color w:val="auto"/>
          <w:sz w:val="20"/>
          <w:szCs w:val="20"/>
        </w:rPr>
        <w:t xml:space="preserve"> guidance.</w:t>
      </w:r>
      <w:r w:rsidRPr="00497868">
        <w:rPr>
          <w:rFonts w:ascii="Aptos" w:hAnsi="Aptos"/>
          <w:color w:val="auto"/>
          <w:sz w:val="20"/>
          <w:szCs w:val="20"/>
        </w:rPr>
        <w:t xml:space="preserve"> </w:t>
      </w:r>
      <w:r w:rsidR="00342374" w:rsidRPr="00497868">
        <w:rPr>
          <w:rFonts w:ascii="Aptos" w:hAnsi="Aptos"/>
          <w:color w:val="auto"/>
          <w:sz w:val="20"/>
          <w:szCs w:val="20"/>
        </w:rPr>
        <w:t>That said</w:t>
      </w:r>
      <w:r w:rsidR="00325585" w:rsidRPr="00497868">
        <w:rPr>
          <w:rFonts w:ascii="Aptos" w:hAnsi="Aptos"/>
          <w:color w:val="auto"/>
          <w:sz w:val="20"/>
          <w:szCs w:val="20"/>
        </w:rPr>
        <w:t xml:space="preserve">, </w:t>
      </w:r>
      <w:r w:rsidR="00DD15EF" w:rsidRPr="00497868">
        <w:rPr>
          <w:rFonts w:ascii="Aptos" w:hAnsi="Aptos"/>
          <w:color w:val="auto"/>
          <w:sz w:val="20"/>
          <w:szCs w:val="20"/>
        </w:rPr>
        <w:t>CR</w:t>
      </w:r>
      <w:r w:rsidR="00E95D8F" w:rsidRPr="00497868">
        <w:rPr>
          <w:rFonts w:ascii="Aptos" w:hAnsi="Aptos"/>
          <w:color w:val="auto"/>
          <w:sz w:val="20"/>
          <w:szCs w:val="20"/>
        </w:rPr>
        <w:t xml:space="preserve">I </w:t>
      </w:r>
      <w:r w:rsidR="00FE688A" w:rsidRPr="00497868">
        <w:rPr>
          <w:rFonts w:ascii="Aptos" w:hAnsi="Aptos"/>
          <w:color w:val="auto"/>
          <w:sz w:val="20"/>
          <w:szCs w:val="20"/>
        </w:rPr>
        <w:t>recognizes</w:t>
      </w:r>
      <w:r w:rsidR="00E95D8F" w:rsidRPr="00497868">
        <w:rPr>
          <w:rFonts w:ascii="Aptos" w:hAnsi="Aptos"/>
          <w:color w:val="auto"/>
          <w:sz w:val="20"/>
          <w:szCs w:val="20"/>
        </w:rPr>
        <w:t xml:space="preserve"> AI</w:t>
      </w:r>
      <w:r w:rsidR="00A467C7" w:rsidRPr="00497868">
        <w:rPr>
          <w:rFonts w:ascii="Aptos" w:hAnsi="Aptos"/>
          <w:color w:val="auto"/>
          <w:sz w:val="20"/>
          <w:szCs w:val="20"/>
        </w:rPr>
        <w:t xml:space="preserve"> as an enterprise risk</w:t>
      </w:r>
      <w:r w:rsidR="0067599C" w:rsidRPr="00497868">
        <w:rPr>
          <w:rFonts w:ascii="Aptos" w:hAnsi="Aptos"/>
          <w:color w:val="auto"/>
          <w:sz w:val="20"/>
          <w:szCs w:val="20"/>
        </w:rPr>
        <w:t xml:space="preserve">. </w:t>
      </w:r>
      <w:r w:rsidR="00A467C7" w:rsidRPr="00497868">
        <w:rPr>
          <w:rFonts w:ascii="Aptos" w:hAnsi="Aptos"/>
          <w:color w:val="auto"/>
          <w:sz w:val="20"/>
          <w:szCs w:val="20"/>
        </w:rPr>
        <w:t>Therefore, the Framework</w:t>
      </w:r>
      <w:r w:rsidR="0067599C" w:rsidRPr="00497868">
        <w:rPr>
          <w:rFonts w:ascii="Aptos" w:hAnsi="Aptos"/>
          <w:color w:val="auto"/>
          <w:sz w:val="20"/>
          <w:szCs w:val="20"/>
        </w:rPr>
        <w:t xml:space="preserve"> is designed to </w:t>
      </w:r>
      <w:r w:rsidR="00263568" w:rsidRPr="00497868">
        <w:rPr>
          <w:rFonts w:ascii="Aptos" w:hAnsi="Aptos"/>
          <w:color w:val="auto"/>
          <w:sz w:val="20"/>
          <w:szCs w:val="20"/>
        </w:rPr>
        <w:t>logically</w:t>
      </w:r>
      <w:r w:rsidR="00744C3F" w:rsidRPr="00497868">
        <w:rPr>
          <w:rFonts w:ascii="Aptos" w:hAnsi="Aptos"/>
          <w:color w:val="auto"/>
          <w:sz w:val="20"/>
          <w:szCs w:val="20"/>
        </w:rPr>
        <w:t xml:space="preserve"> connect to broader enterprise governance</w:t>
      </w:r>
      <w:r w:rsidR="00992086">
        <w:rPr>
          <w:rFonts w:ascii="Aptos" w:hAnsi="Aptos"/>
          <w:color w:val="auto"/>
          <w:sz w:val="20"/>
          <w:szCs w:val="20"/>
        </w:rPr>
        <w:t>, risk, and compliance</w:t>
      </w:r>
      <w:r w:rsidR="00744C3F" w:rsidRPr="00497868">
        <w:rPr>
          <w:rFonts w:ascii="Aptos" w:hAnsi="Aptos"/>
          <w:color w:val="auto"/>
          <w:sz w:val="20"/>
          <w:szCs w:val="20"/>
        </w:rPr>
        <w:t xml:space="preserve"> programs</w:t>
      </w:r>
      <w:r w:rsidR="00945CAA" w:rsidRPr="00497868">
        <w:rPr>
          <w:rFonts w:ascii="Aptos" w:hAnsi="Aptos"/>
          <w:color w:val="auto"/>
          <w:sz w:val="20"/>
          <w:szCs w:val="20"/>
        </w:rPr>
        <w:t>, supporting</w:t>
      </w:r>
      <w:r w:rsidR="00744C3F" w:rsidRPr="00497868">
        <w:rPr>
          <w:rFonts w:ascii="Aptos" w:hAnsi="Aptos"/>
          <w:color w:val="auto"/>
          <w:sz w:val="20"/>
          <w:szCs w:val="20"/>
        </w:rPr>
        <w:t xml:space="preserve"> </w:t>
      </w:r>
      <w:r w:rsidR="009153FF" w:rsidRPr="00497868">
        <w:rPr>
          <w:rFonts w:ascii="Aptos" w:hAnsi="Aptos"/>
          <w:color w:val="auto"/>
          <w:sz w:val="20"/>
          <w:szCs w:val="20"/>
        </w:rPr>
        <w:t xml:space="preserve">integrated </w:t>
      </w:r>
      <w:r w:rsidR="0089733D" w:rsidRPr="00497868">
        <w:rPr>
          <w:rFonts w:ascii="Aptos" w:hAnsi="Aptos"/>
          <w:color w:val="auto"/>
          <w:sz w:val="20"/>
          <w:szCs w:val="20"/>
        </w:rPr>
        <w:t xml:space="preserve">risk </w:t>
      </w:r>
      <w:r w:rsidR="009153FF" w:rsidRPr="00497868">
        <w:rPr>
          <w:rFonts w:ascii="Aptos" w:hAnsi="Aptos"/>
          <w:color w:val="auto"/>
          <w:sz w:val="20"/>
          <w:szCs w:val="20"/>
        </w:rPr>
        <w:t>assessments</w:t>
      </w:r>
      <w:r w:rsidR="00D7772E" w:rsidRPr="00497868">
        <w:rPr>
          <w:rStyle w:val="FootnoteReference"/>
          <w:rFonts w:ascii="Aptos" w:hAnsi="Aptos"/>
          <w:color w:val="auto"/>
          <w:sz w:val="20"/>
          <w:szCs w:val="20"/>
        </w:rPr>
        <w:footnoteReference w:id="4"/>
      </w:r>
      <w:r w:rsidR="009153FF" w:rsidRPr="00497868">
        <w:rPr>
          <w:rFonts w:ascii="Aptos" w:hAnsi="Aptos"/>
          <w:color w:val="auto"/>
          <w:sz w:val="20"/>
          <w:szCs w:val="20"/>
        </w:rPr>
        <w:t xml:space="preserve">, </w:t>
      </w:r>
      <w:r w:rsidR="00A021EF" w:rsidRPr="00497868">
        <w:rPr>
          <w:rFonts w:ascii="Aptos" w:hAnsi="Aptos"/>
          <w:color w:val="auto"/>
          <w:sz w:val="20"/>
          <w:szCs w:val="20"/>
        </w:rPr>
        <w:t>aggregation, prioritization, and mitigation efforts.</w:t>
      </w:r>
      <w:r w:rsidR="00744C3F" w:rsidRPr="00497868">
        <w:rPr>
          <w:rFonts w:ascii="Aptos" w:hAnsi="Aptos"/>
          <w:color w:val="auto"/>
          <w:sz w:val="20"/>
          <w:szCs w:val="20"/>
        </w:rPr>
        <w:t xml:space="preserve"> </w:t>
      </w:r>
    </w:p>
    <w:p w14:paraId="687105CD" w14:textId="77777777" w:rsidR="008230F5" w:rsidRPr="00551DEC" w:rsidRDefault="008230F5" w:rsidP="00497868">
      <w:pPr>
        <w:jc w:val="both"/>
        <w:rPr>
          <w:rFonts w:ascii="Aptos" w:hAnsi="Aptos"/>
          <w:color w:val="auto"/>
        </w:rPr>
      </w:pPr>
      <w:r w:rsidRPr="00551DEC">
        <w:rPr>
          <w:rFonts w:ascii="Aptos" w:hAnsi="Aptos"/>
          <w:color w:val="auto"/>
        </w:rPr>
        <w:fldChar w:fldCharType="begin"/>
      </w:r>
      <w:r w:rsidRPr="00551DEC">
        <w:rPr>
          <w:rFonts w:ascii="Aptos" w:hAnsi="Aptos"/>
          <w:color w:val="auto"/>
        </w:rPr>
        <w:instrText xml:space="preserve"> TOC \o "1-2" \h \z </w:instrText>
      </w:r>
      <w:r w:rsidRPr="00551DEC">
        <w:rPr>
          <w:rFonts w:ascii="Aptos" w:hAnsi="Aptos"/>
          <w:color w:val="auto"/>
        </w:rPr>
        <w:fldChar w:fldCharType="separate"/>
      </w:r>
    </w:p>
    <w:p w14:paraId="52F87A9D" w14:textId="7381C135" w:rsidR="008230F5" w:rsidRPr="00497868" w:rsidRDefault="008230F5" w:rsidP="00497868">
      <w:pPr>
        <w:jc w:val="both"/>
        <w:rPr>
          <w:rFonts w:ascii="Aptos" w:hAnsi="Aptos"/>
          <w:b/>
          <w:bCs/>
          <w:color w:val="B31E3E" w:themeColor="accent1"/>
          <w:sz w:val="24"/>
          <w:u w:val="single"/>
        </w:rPr>
      </w:pPr>
      <w:r w:rsidRPr="00551DEC">
        <w:rPr>
          <w:rFonts w:ascii="Aptos" w:hAnsi="Aptos"/>
          <w:color w:val="auto"/>
        </w:rPr>
        <w:fldChar w:fldCharType="end"/>
      </w:r>
      <w:r w:rsidR="00AE5CE8" w:rsidRPr="00497868">
        <w:rPr>
          <w:rFonts w:ascii="Aptos" w:hAnsi="Aptos"/>
          <w:b/>
          <w:bCs/>
          <w:color w:val="B31E3E" w:themeColor="accent1"/>
          <w:sz w:val="24"/>
          <w:u w:val="single"/>
        </w:rPr>
        <w:t xml:space="preserve">Alignment with </w:t>
      </w:r>
      <w:r w:rsidR="003A0521" w:rsidRPr="00497868">
        <w:rPr>
          <w:rFonts w:ascii="Aptos" w:hAnsi="Aptos"/>
          <w:b/>
          <w:bCs/>
          <w:color w:val="B31E3E" w:themeColor="accent1"/>
          <w:sz w:val="24"/>
          <w:u w:val="single"/>
        </w:rPr>
        <w:t>Existing</w:t>
      </w:r>
      <w:r w:rsidR="00AE5CE8" w:rsidRPr="00497868">
        <w:rPr>
          <w:rFonts w:ascii="Aptos" w:hAnsi="Aptos"/>
          <w:b/>
          <w:bCs/>
          <w:color w:val="B31E3E" w:themeColor="accent1"/>
          <w:sz w:val="24"/>
          <w:u w:val="single"/>
        </w:rPr>
        <w:t xml:space="preserve"> Frameworks, Standards, and Regulatory Guidance</w:t>
      </w:r>
    </w:p>
    <w:p w14:paraId="3F1C5C75" w14:textId="77777777" w:rsidR="00DC44EF" w:rsidRPr="00BF0C10" w:rsidRDefault="00DC44EF" w:rsidP="00497868">
      <w:pPr>
        <w:jc w:val="both"/>
        <w:rPr>
          <w:rFonts w:ascii="Aptos" w:hAnsi="Aptos"/>
          <w:b/>
          <w:bCs/>
          <w:color w:val="B31E3E" w:themeColor="accent1"/>
          <w:sz w:val="20"/>
          <w:szCs w:val="20"/>
          <w:u w:val="single"/>
        </w:rPr>
      </w:pPr>
    </w:p>
    <w:p w14:paraId="551A1602" w14:textId="2DB7065E" w:rsidR="00D6275D" w:rsidRPr="00497868" w:rsidRDefault="00951B81" w:rsidP="00497868">
      <w:pPr>
        <w:jc w:val="both"/>
        <w:rPr>
          <w:rFonts w:ascii="Aptos" w:hAnsi="Aptos"/>
          <w:color w:val="auto"/>
          <w:sz w:val="20"/>
          <w:szCs w:val="20"/>
        </w:rPr>
      </w:pPr>
      <w:r w:rsidRPr="00497868">
        <w:rPr>
          <w:rFonts w:ascii="Aptos" w:hAnsi="Aptos"/>
          <w:color w:val="auto"/>
          <w:sz w:val="20"/>
          <w:szCs w:val="20"/>
        </w:rPr>
        <w:t xml:space="preserve">Structurally aligned with the </w:t>
      </w:r>
      <w:r w:rsidR="00226605" w:rsidRPr="00497868">
        <w:rPr>
          <w:rFonts w:ascii="Aptos" w:hAnsi="Aptos"/>
          <w:color w:val="auto"/>
          <w:sz w:val="20"/>
          <w:szCs w:val="20"/>
        </w:rPr>
        <w:t>NIST</w:t>
      </w:r>
      <w:r w:rsidRPr="00497868">
        <w:rPr>
          <w:rFonts w:ascii="Aptos" w:hAnsi="Aptos"/>
          <w:color w:val="auto"/>
          <w:sz w:val="20"/>
          <w:szCs w:val="20"/>
        </w:rPr>
        <w:t xml:space="preserve"> AI Risk Management Framework</w:t>
      </w:r>
      <w:r w:rsidR="001A1D36" w:rsidRPr="00497868">
        <w:rPr>
          <w:rFonts w:ascii="Aptos" w:hAnsi="Aptos"/>
          <w:color w:val="auto"/>
          <w:sz w:val="20"/>
          <w:szCs w:val="20"/>
        </w:rPr>
        <w:t xml:space="preserve"> (hereinafter referred to as t</w:t>
      </w:r>
      <w:r w:rsidR="001235F5" w:rsidRPr="00497868">
        <w:rPr>
          <w:rFonts w:ascii="Aptos" w:hAnsi="Aptos"/>
          <w:color w:val="auto"/>
          <w:sz w:val="20"/>
          <w:szCs w:val="20"/>
        </w:rPr>
        <w:t>he “NIST AI RMF”)</w:t>
      </w:r>
      <w:r w:rsidRPr="00497868">
        <w:rPr>
          <w:rFonts w:ascii="Aptos" w:hAnsi="Aptos"/>
          <w:color w:val="auto"/>
          <w:sz w:val="20"/>
          <w:szCs w:val="20"/>
        </w:rPr>
        <w:t xml:space="preserve">, the FS AI RMF </w:t>
      </w:r>
      <w:r w:rsidR="000E0042" w:rsidRPr="00497868">
        <w:rPr>
          <w:rFonts w:ascii="Aptos" w:hAnsi="Aptos"/>
          <w:color w:val="auto"/>
          <w:sz w:val="20"/>
          <w:szCs w:val="20"/>
        </w:rPr>
        <w:t>synthesizes</w:t>
      </w:r>
      <w:r w:rsidRPr="00497868">
        <w:rPr>
          <w:rFonts w:ascii="Aptos" w:hAnsi="Aptos"/>
          <w:color w:val="auto"/>
          <w:sz w:val="20"/>
          <w:szCs w:val="20"/>
        </w:rPr>
        <w:t xml:space="preserve"> insights from multiple global regulations, standards, official guidance, and supervisory provisions</w:t>
      </w:r>
      <w:r w:rsidR="00011733">
        <w:rPr>
          <w:rFonts w:ascii="Aptos" w:hAnsi="Aptos"/>
          <w:color w:val="auto"/>
          <w:sz w:val="20"/>
          <w:szCs w:val="20"/>
        </w:rPr>
        <w:t>.</w:t>
      </w:r>
      <w:r w:rsidR="007445A1" w:rsidRPr="00497868">
        <w:rPr>
          <w:rFonts w:ascii="Aptos" w:hAnsi="Aptos"/>
          <w:color w:val="auto"/>
          <w:sz w:val="20"/>
          <w:szCs w:val="20"/>
          <w:vertAlign w:val="superscript"/>
        </w:rPr>
        <w:footnoteReference w:id="5"/>
      </w:r>
      <w:r w:rsidR="007445A1" w:rsidRPr="00497868">
        <w:rPr>
          <w:rFonts w:ascii="Aptos" w:hAnsi="Aptos"/>
          <w:color w:val="auto"/>
          <w:sz w:val="20"/>
          <w:szCs w:val="20"/>
        </w:rPr>
        <w:t xml:space="preserve"> </w:t>
      </w:r>
      <w:r w:rsidR="00854F99" w:rsidRPr="00497868">
        <w:rPr>
          <w:rFonts w:ascii="Aptos" w:hAnsi="Aptos"/>
          <w:color w:val="auto"/>
          <w:sz w:val="20"/>
          <w:szCs w:val="20"/>
        </w:rPr>
        <w:t>It</w:t>
      </w:r>
      <w:r w:rsidR="007445A1" w:rsidRPr="00497868">
        <w:rPr>
          <w:rFonts w:ascii="Aptos" w:hAnsi="Aptos"/>
          <w:color w:val="auto"/>
          <w:sz w:val="20"/>
          <w:szCs w:val="20"/>
        </w:rPr>
        <w:t xml:space="preserve"> expands upon NIST’s pre-existing Functions, Categories, and Sub-Categories</w:t>
      </w:r>
      <w:r w:rsidR="00666F57" w:rsidRPr="00497868">
        <w:rPr>
          <w:rFonts w:ascii="Aptos" w:hAnsi="Aptos"/>
          <w:color w:val="auto"/>
          <w:sz w:val="20"/>
          <w:szCs w:val="20"/>
        </w:rPr>
        <w:t xml:space="preserve"> through </w:t>
      </w:r>
      <w:r w:rsidR="008E7D79" w:rsidRPr="00497868">
        <w:rPr>
          <w:rFonts w:ascii="Aptos" w:hAnsi="Aptos"/>
          <w:color w:val="auto"/>
          <w:sz w:val="20"/>
          <w:szCs w:val="20"/>
        </w:rPr>
        <w:t>230</w:t>
      </w:r>
      <w:r w:rsidR="007445A1" w:rsidRPr="00497868">
        <w:rPr>
          <w:rFonts w:ascii="Aptos" w:hAnsi="Aptos"/>
          <w:color w:val="auto"/>
          <w:sz w:val="20"/>
          <w:szCs w:val="20"/>
        </w:rPr>
        <w:t xml:space="preserve"> </w:t>
      </w:r>
      <w:r w:rsidR="00125071" w:rsidRPr="00497868">
        <w:rPr>
          <w:rFonts w:ascii="Aptos" w:hAnsi="Aptos"/>
          <w:color w:val="auto"/>
          <w:sz w:val="20"/>
          <w:szCs w:val="20"/>
        </w:rPr>
        <w:t>C</w:t>
      </w:r>
      <w:r w:rsidR="007445A1" w:rsidRPr="00497868">
        <w:rPr>
          <w:rFonts w:ascii="Aptos" w:hAnsi="Aptos"/>
          <w:color w:val="auto"/>
          <w:sz w:val="20"/>
          <w:szCs w:val="20"/>
        </w:rPr>
        <w:t xml:space="preserve">ontrol </w:t>
      </w:r>
      <w:r w:rsidR="00125071" w:rsidRPr="00497868">
        <w:rPr>
          <w:rFonts w:ascii="Aptos" w:hAnsi="Aptos"/>
          <w:color w:val="auto"/>
          <w:sz w:val="20"/>
          <w:szCs w:val="20"/>
        </w:rPr>
        <w:t>O</w:t>
      </w:r>
      <w:r w:rsidR="007445A1" w:rsidRPr="00497868">
        <w:rPr>
          <w:rFonts w:ascii="Aptos" w:hAnsi="Aptos"/>
          <w:color w:val="auto"/>
          <w:sz w:val="20"/>
          <w:szCs w:val="20"/>
        </w:rPr>
        <w:t xml:space="preserve">bjectives </w:t>
      </w:r>
      <w:r w:rsidR="00937704" w:rsidRPr="00497868">
        <w:rPr>
          <w:rFonts w:ascii="Aptos" w:hAnsi="Aptos"/>
          <w:color w:val="auto"/>
          <w:sz w:val="20"/>
          <w:szCs w:val="20"/>
        </w:rPr>
        <w:t>that</w:t>
      </w:r>
      <w:r w:rsidR="00854F99" w:rsidRPr="00497868">
        <w:rPr>
          <w:rFonts w:ascii="Aptos" w:hAnsi="Aptos"/>
          <w:color w:val="auto"/>
          <w:sz w:val="20"/>
          <w:szCs w:val="20"/>
        </w:rPr>
        <w:t xml:space="preserve"> support organizations at various stages of AI adoption</w:t>
      </w:r>
      <w:r w:rsidR="007445A1" w:rsidRPr="00497868">
        <w:rPr>
          <w:rFonts w:ascii="Aptos" w:hAnsi="Aptos"/>
          <w:color w:val="auto"/>
          <w:sz w:val="20"/>
          <w:szCs w:val="20"/>
        </w:rPr>
        <w:t>.</w:t>
      </w:r>
      <w:r w:rsidR="005578F1" w:rsidRPr="00497868">
        <w:rPr>
          <w:rFonts w:ascii="Aptos" w:hAnsi="Aptos"/>
          <w:color w:val="auto"/>
          <w:sz w:val="20"/>
          <w:szCs w:val="20"/>
        </w:rPr>
        <w:t xml:space="preserve"> </w:t>
      </w:r>
      <w:r w:rsidR="00D6275D" w:rsidRPr="00497868">
        <w:rPr>
          <w:rFonts w:ascii="Aptos" w:hAnsi="Aptos"/>
          <w:color w:val="auto"/>
          <w:sz w:val="20"/>
          <w:szCs w:val="20"/>
        </w:rPr>
        <w:t>Rather than replacing or restructuring current standards, it extends them within a financial sector context, facilitating harmonization of standards and regulations globally.</w:t>
      </w:r>
    </w:p>
    <w:p w14:paraId="25A081B9" w14:textId="77777777" w:rsidR="00953852" w:rsidRPr="00BF0C10" w:rsidRDefault="00953852" w:rsidP="00497868">
      <w:pPr>
        <w:jc w:val="both"/>
        <w:rPr>
          <w:rFonts w:ascii="Aptos" w:hAnsi="Aptos"/>
          <w:color w:val="auto"/>
          <w:sz w:val="20"/>
          <w:szCs w:val="20"/>
        </w:rPr>
      </w:pPr>
    </w:p>
    <w:p w14:paraId="29882C70" w14:textId="53E7C5CC" w:rsidR="002E4FF0" w:rsidRPr="00497868" w:rsidRDefault="002E4FF0" w:rsidP="00497868">
      <w:pPr>
        <w:jc w:val="both"/>
        <w:rPr>
          <w:rFonts w:ascii="Aptos" w:hAnsi="Aptos"/>
          <w:color w:val="auto"/>
          <w:sz w:val="20"/>
          <w:szCs w:val="20"/>
        </w:rPr>
      </w:pPr>
      <w:r w:rsidRPr="00497868">
        <w:rPr>
          <w:rFonts w:ascii="Aptos" w:hAnsi="Aptos"/>
          <w:color w:val="auto"/>
          <w:sz w:val="20"/>
          <w:szCs w:val="20"/>
        </w:rPr>
        <w:t xml:space="preserve">Designed to be adaptable and scalable, </w:t>
      </w:r>
      <w:r w:rsidR="00292EB6" w:rsidRPr="00497868">
        <w:rPr>
          <w:rFonts w:ascii="Aptos" w:hAnsi="Aptos"/>
          <w:color w:val="auto"/>
          <w:sz w:val="20"/>
          <w:szCs w:val="20"/>
        </w:rPr>
        <w:t>the FS AI RMF</w:t>
      </w:r>
      <w:r w:rsidRPr="00497868">
        <w:rPr>
          <w:rFonts w:ascii="Aptos" w:hAnsi="Aptos"/>
          <w:color w:val="auto"/>
          <w:sz w:val="20"/>
          <w:szCs w:val="20"/>
        </w:rPr>
        <w:t xml:space="preserve"> incorporates clear risk definitions, staged AI adoption levels, and comprehensive </w:t>
      </w:r>
      <w:r w:rsidR="0052326B" w:rsidRPr="00497868">
        <w:rPr>
          <w:rFonts w:ascii="Aptos" w:hAnsi="Aptos"/>
          <w:color w:val="auto"/>
          <w:sz w:val="20"/>
          <w:szCs w:val="20"/>
        </w:rPr>
        <w:t>C</w:t>
      </w:r>
      <w:r w:rsidRPr="00497868">
        <w:rPr>
          <w:rFonts w:ascii="Aptos" w:hAnsi="Aptos"/>
          <w:color w:val="auto"/>
          <w:sz w:val="20"/>
          <w:szCs w:val="20"/>
        </w:rPr>
        <w:t xml:space="preserve">ontrol </w:t>
      </w:r>
      <w:r w:rsidR="0052326B" w:rsidRPr="00497868">
        <w:rPr>
          <w:rFonts w:ascii="Aptos" w:hAnsi="Aptos"/>
          <w:color w:val="auto"/>
          <w:sz w:val="20"/>
          <w:szCs w:val="20"/>
        </w:rPr>
        <w:t>O</w:t>
      </w:r>
      <w:r w:rsidRPr="00497868">
        <w:rPr>
          <w:rFonts w:ascii="Aptos" w:hAnsi="Aptos"/>
          <w:color w:val="auto"/>
          <w:sz w:val="20"/>
          <w:szCs w:val="20"/>
        </w:rPr>
        <w:t xml:space="preserve">bjectives. This approach enables financial institutions to harness AI’s transformative potential responsibly—driving industry progress while </w:t>
      </w:r>
      <w:r w:rsidR="009736CF" w:rsidRPr="00497868">
        <w:rPr>
          <w:rFonts w:ascii="Aptos" w:hAnsi="Aptos"/>
          <w:color w:val="auto"/>
          <w:sz w:val="20"/>
          <w:szCs w:val="20"/>
        </w:rPr>
        <w:t>safeguarding</w:t>
      </w:r>
      <w:r w:rsidRPr="00497868">
        <w:rPr>
          <w:rFonts w:ascii="Aptos" w:hAnsi="Aptos"/>
          <w:color w:val="auto"/>
          <w:sz w:val="20"/>
          <w:szCs w:val="20"/>
        </w:rPr>
        <w:t xml:space="preserve"> the integrity of the financial ecosystem.</w:t>
      </w:r>
    </w:p>
    <w:p w14:paraId="41222698" w14:textId="77777777" w:rsidR="0048718F" w:rsidRDefault="0048718F">
      <w:pPr>
        <w:rPr>
          <w:rFonts w:ascii="Aptos" w:hAnsi="Aptos"/>
          <w:b/>
          <w:bCs/>
          <w:noProof/>
          <w:color w:val="34246B" w:themeColor="accent2"/>
          <w:sz w:val="28"/>
          <w:szCs w:val="28"/>
        </w:rPr>
      </w:pPr>
      <w:bookmarkStart w:id="13" w:name="_Toc203286671"/>
      <w:bookmarkStart w:id="14" w:name="_Toc203287061"/>
      <w:r>
        <w:rPr>
          <w:rFonts w:ascii="Aptos" w:hAnsi="Aptos"/>
          <w:b/>
          <w:bCs/>
          <w:noProof/>
          <w:color w:val="34246B" w:themeColor="accent2"/>
          <w:sz w:val="28"/>
          <w:szCs w:val="28"/>
        </w:rPr>
        <w:br w:type="page"/>
      </w:r>
    </w:p>
    <w:p w14:paraId="0E837799" w14:textId="4A6288AD" w:rsidR="00D21B14" w:rsidRPr="00497868" w:rsidRDefault="0066149B" w:rsidP="00497868">
      <w:pPr>
        <w:jc w:val="both"/>
        <w:rPr>
          <w:rFonts w:ascii="Aptos" w:hAnsi="Aptos"/>
          <w:b/>
          <w:bCs/>
          <w:noProof/>
          <w:color w:val="34246B" w:themeColor="accent2"/>
          <w:sz w:val="28"/>
          <w:szCs w:val="28"/>
        </w:rPr>
      </w:pPr>
      <w:r w:rsidRPr="00497868">
        <w:rPr>
          <w:rFonts w:ascii="Aptos" w:hAnsi="Aptos"/>
          <w:b/>
          <w:bCs/>
          <w:noProof/>
          <w:color w:val="34246B" w:themeColor="accent2"/>
          <w:sz w:val="28"/>
          <w:szCs w:val="28"/>
        </w:rPr>
        <w:lastRenderedPageBreak/>
        <w:t>ABSTRACT</w:t>
      </w:r>
      <w:bookmarkEnd w:id="13"/>
      <w:bookmarkEnd w:id="14"/>
    </w:p>
    <w:p w14:paraId="648FD623" w14:textId="77777777" w:rsidR="00D21B14" w:rsidRPr="00BF0C10" w:rsidRDefault="00D21B14" w:rsidP="00497868">
      <w:pPr>
        <w:jc w:val="both"/>
        <w:rPr>
          <w:rFonts w:ascii="Aptos" w:hAnsi="Aptos"/>
          <w:sz w:val="20"/>
          <w:szCs w:val="20"/>
        </w:rPr>
      </w:pPr>
    </w:p>
    <w:p w14:paraId="62BD489E" w14:textId="3EA942DE" w:rsidR="00D270DD" w:rsidRPr="00497868" w:rsidRDefault="00D50B66" w:rsidP="00497868">
      <w:pPr>
        <w:jc w:val="both"/>
        <w:rPr>
          <w:rFonts w:ascii="Aptos" w:hAnsi="Aptos"/>
          <w:color w:val="auto"/>
          <w:sz w:val="20"/>
          <w:szCs w:val="20"/>
        </w:rPr>
      </w:pPr>
      <w:r w:rsidRPr="00497868">
        <w:rPr>
          <w:rFonts w:ascii="Aptos" w:hAnsi="Aptos"/>
          <w:color w:val="auto"/>
          <w:sz w:val="20"/>
          <w:szCs w:val="20"/>
        </w:rPr>
        <w:t xml:space="preserve">This Guidebook provides financial services organizations with comprehensive guidance for </w:t>
      </w:r>
      <w:r w:rsidR="001D7C75" w:rsidRPr="00497868">
        <w:rPr>
          <w:rFonts w:ascii="Aptos" w:hAnsi="Aptos"/>
          <w:color w:val="auto"/>
          <w:sz w:val="20"/>
          <w:szCs w:val="20"/>
        </w:rPr>
        <w:t>implementing</w:t>
      </w:r>
      <w:r w:rsidRPr="00497868">
        <w:rPr>
          <w:rFonts w:ascii="Aptos" w:hAnsi="Aptos"/>
          <w:color w:val="auto"/>
          <w:sz w:val="20"/>
          <w:szCs w:val="20"/>
        </w:rPr>
        <w:t xml:space="preserve"> </w:t>
      </w:r>
      <w:r w:rsidR="00CD2540" w:rsidRPr="00497868">
        <w:rPr>
          <w:rFonts w:ascii="Aptos" w:hAnsi="Aptos"/>
          <w:color w:val="auto"/>
          <w:sz w:val="20"/>
          <w:szCs w:val="20"/>
        </w:rPr>
        <w:t xml:space="preserve">CRI’s </w:t>
      </w:r>
      <w:r w:rsidRPr="00497868">
        <w:rPr>
          <w:rFonts w:ascii="Aptos" w:hAnsi="Aptos"/>
          <w:color w:val="auto"/>
          <w:sz w:val="20"/>
          <w:szCs w:val="20"/>
        </w:rPr>
        <w:t xml:space="preserve">FS AI </w:t>
      </w:r>
      <w:r w:rsidR="00345786" w:rsidRPr="00497868">
        <w:rPr>
          <w:rFonts w:ascii="Aptos" w:hAnsi="Aptos"/>
          <w:color w:val="auto"/>
          <w:sz w:val="20"/>
          <w:szCs w:val="20"/>
        </w:rPr>
        <w:t>RMF</w:t>
      </w:r>
      <w:r w:rsidRPr="00497868">
        <w:rPr>
          <w:rFonts w:ascii="Aptos" w:hAnsi="Aptos"/>
          <w:color w:val="auto"/>
          <w:sz w:val="20"/>
          <w:szCs w:val="20"/>
        </w:rPr>
        <w:t xml:space="preserve">. It serves as a </w:t>
      </w:r>
      <w:r w:rsidR="00FA1751" w:rsidRPr="00497868">
        <w:rPr>
          <w:rFonts w:ascii="Aptos" w:hAnsi="Aptos"/>
          <w:color w:val="auto"/>
          <w:sz w:val="20"/>
          <w:szCs w:val="20"/>
        </w:rPr>
        <w:t xml:space="preserve">helpful </w:t>
      </w:r>
      <w:r w:rsidRPr="00497868">
        <w:rPr>
          <w:rFonts w:ascii="Aptos" w:hAnsi="Aptos"/>
          <w:color w:val="auto"/>
          <w:sz w:val="20"/>
          <w:szCs w:val="20"/>
        </w:rPr>
        <w:t xml:space="preserve">resource that explains how to effectively navigate and utilize the </w:t>
      </w:r>
      <w:r w:rsidR="00C859E0">
        <w:rPr>
          <w:rFonts w:ascii="Aptos" w:hAnsi="Aptos"/>
          <w:color w:val="auto"/>
          <w:sz w:val="20"/>
          <w:szCs w:val="20"/>
        </w:rPr>
        <w:t xml:space="preserve">AI Adoption Stage Questionnaire and </w:t>
      </w:r>
      <w:r w:rsidR="00CD2540" w:rsidRPr="00497868">
        <w:rPr>
          <w:rFonts w:ascii="Aptos" w:hAnsi="Aptos"/>
          <w:color w:val="auto"/>
          <w:sz w:val="20"/>
          <w:szCs w:val="20"/>
        </w:rPr>
        <w:t>Risk and Control Matrix (RCM)</w:t>
      </w:r>
      <w:r w:rsidRPr="00497868">
        <w:rPr>
          <w:rFonts w:ascii="Aptos" w:hAnsi="Aptos"/>
          <w:color w:val="auto"/>
          <w:sz w:val="20"/>
          <w:szCs w:val="20"/>
        </w:rPr>
        <w:t xml:space="preserve">, offering detailed </w:t>
      </w:r>
      <w:r w:rsidR="00CF15EB" w:rsidRPr="00497868">
        <w:rPr>
          <w:rFonts w:ascii="Aptos" w:hAnsi="Aptos"/>
          <w:color w:val="auto"/>
          <w:sz w:val="20"/>
          <w:szCs w:val="20"/>
        </w:rPr>
        <w:t>recommendation</w:t>
      </w:r>
      <w:r w:rsidR="00C859E0">
        <w:rPr>
          <w:rFonts w:ascii="Aptos" w:hAnsi="Aptos"/>
          <w:color w:val="auto"/>
          <w:sz w:val="20"/>
          <w:szCs w:val="20"/>
        </w:rPr>
        <w:t>s</w:t>
      </w:r>
      <w:r w:rsidRPr="00497868">
        <w:rPr>
          <w:rFonts w:ascii="Aptos" w:hAnsi="Aptos"/>
          <w:color w:val="auto"/>
          <w:sz w:val="20"/>
          <w:szCs w:val="20"/>
        </w:rPr>
        <w:t xml:space="preserve"> and contextual information for</w:t>
      </w:r>
      <w:r w:rsidR="00CF15EB" w:rsidRPr="00497868">
        <w:rPr>
          <w:rFonts w:ascii="Aptos" w:hAnsi="Aptos"/>
          <w:color w:val="auto"/>
          <w:sz w:val="20"/>
          <w:szCs w:val="20"/>
        </w:rPr>
        <w:t xml:space="preserve"> a firm’s</w:t>
      </w:r>
      <w:r w:rsidRPr="00497868">
        <w:rPr>
          <w:rFonts w:ascii="Aptos" w:hAnsi="Aptos"/>
          <w:color w:val="auto"/>
          <w:sz w:val="20"/>
          <w:szCs w:val="20"/>
        </w:rPr>
        <w:t xml:space="preserve"> risk identification, assessment, and mitigation </w:t>
      </w:r>
      <w:r w:rsidR="00D476E1" w:rsidRPr="00497868">
        <w:rPr>
          <w:rFonts w:ascii="Aptos" w:hAnsi="Aptos"/>
          <w:color w:val="auto"/>
          <w:sz w:val="20"/>
          <w:szCs w:val="20"/>
        </w:rPr>
        <w:t xml:space="preserve">practices </w:t>
      </w:r>
      <w:r w:rsidRPr="00497868">
        <w:rPr>
          <w:rFonts w:ascii="Aptos" w:hAnsi="Aptos"/>
          <w:color w:val="auto"/>
          <w:sz w:val="20"/>
          <w:szCs w:val="20"/>
        </w:rPr>
        <w:t>related to AI adoption</w:t>
      </w:r>
      <w:r w:rsidR="00C859E0">
        <w:rPr>
          <w:rFonts w:ascii="Aptos" w:hAnsi="Aptos"/>
          <w:color w:val="auto"/>
          <w:sz w:val="20"/>
          <w:szCs w:val="20"/>
        </w:rPr>
        <w:t xml:space="preserve"> and use</w:t>
      </w:r>
      <w:r w:rsidRPr="00497868">
        <w:rPr>
          <w:rFonts w:ascii="Aptos" w:hAnsi="Aptos"/>
          <w:color w:val="auto"/>
          <w:sz w:val="20"/>
          <w:szCs w:val="20"/>
        </w:rPr>
        <w:t xml:space="preserve">. The </w:t>
      </w:r>
      <w:r w:rsidR="00C859E0">
        <w:rPr>
          <w:rFonts w:ascii="Aptos" w:hAnsi="Aptos"/>
          <w:color w:val="auto"/>
          <w:sz w:val="20"/>
          <w:szCs w:val="20"/>
        </w:rPr>
        <w:t>G</w:t>
      </w:r>
      <w:r w:rsidRPr="00497868">
        <w:rPr>
          <w:rFonts w:ascii="Aptos" w:hAnsi="Aptos"/>
          <w:color w:val="auto"/>
          <w:sz w:val="20"/>
          <w:szCs w:val="20"/>
        </w:rPr>
        <w:t xml:space="preserve">uidebook </w:t>
      </w:r>
      <w:r w:rsidR="004D3840" w:rsidRPr="00497868">
        <w:rPr>
          <w:rFonts w:ascii="Aptos" w:hAnsi="Aptos"/>
          <w:color w:val="auto"/>
          <w:sz w:val="20"/>
          <w:szCs w:val="20"/>
        </w:rPr>
        <w:t>reflects</w:t>
      </w:r>
      <w:r w:rsidRPr="00497868">
        <w:rPr>
          <w:rFonts w:ascii="Aptos" w:hAnsi="Aptos"/>
          <w:color w:val="auto"/>
          <w:sz w:val="20"/>
          <w:szCs w:val="20"/>
        </w:rPr>
        <w:t xml:space="preserve"> sector-specific considerations and aligns global standards, guidelines, and regulatory expectations. </w:t>
      </w:r>
      <w:r w:rsidR="0034447A" w:rsidRPr="00497868">
        <w:rPr>
          <w:rFonts w:ascii="Aptos" w:hAnsi="Aptos"/>
          <w:color w:val="auto"/>
          <w:sz w:val="20"/>
          <w:szCs w:val="20"/>
        </w:rPr>
        <w:t>It is intended to support consistent, responsible AI practices within financial institutions’ existing governance</w:t>
      </w:r>
      <w:r w:rsidR="00C859E0">
        <w:rPr>
          <w:rFonts w:ascii="Aptos" w:hAnsi="Aptos"/>
          <w:color w:val="auto"/>
          <w:sz w:val="20"/>
          <w:szCs w:val="20"/>
        </w:rPr>
        <w:t xml:space="preserve">, risk, and compliance </w:t>
      </w:r>
      <w:r w:rsidR="0034447A" w:rsidRPr="00497868">
        <w:rPr>
          <w:rFonts w:ascii="Aptos" w:hAnsi="Aptos"/>
          <w:color w:val="auto"/>
          <w:sz w:val="20"/>
          <w:szCs w:val="20"/>
        </w:rPr>
        <w:t>frameworks.</w:t>
      </w:r>
    </w:p>
    <w:p w14:paraId="62FD1514" w14:textId="77777777" w:rsidR="00D50B66" w:rsidRPr="00BF0C10" w:rsidRDefault="00D50B66" w:rsidP="00497868">
      <w:pPr>
        <w:jc w:val="both"/>
        <w:rPr>
          <w:rFonts w:ascii="Aptos" w:hAnsi="Aptos"/>
          <w:color w:val="auto"/>
          <w:sz w:val="20"/>
          <w:szCs w:val="20"/>
        </w:rPr>
      </w:pPr>
    </w:p>
    <w:p w14:paraId="1DC56A8A" w14:textId="77777777" w:rsidR="000F4A1C" w:rsidRPr="00497868" w:rsidRDefault="000F4A1C" w:rsidP="00497868">
      <w:pPr>
        <w:jc w:val="both"/>
        <w:rPr>
          <w:rFonts w:ascii="Aptos" w:hAnsi="Aptos"/>
          <w:b/>
          <w:bCs/>
          <w:noProof/>
          <w:color w:val="34246B" w:themeColor="accent2"/>
          <w:sz w:val="28"/>
          <w:szCs w:val="28"/>
        </w:rPr>
      </w:pPr>
      <w:bookmarkStart w:id="15" w:name="_Toc203286672"/>
      <w:bookmarkStart w:id="16" w:name="_Toc203287062"/>
      <w:r w:rsidRPr="00497868">
        <w:rPr>
          <w:rFonts w:ascii="Aptos" w:hAnsi="Aptos"/>
          <w:b/>
          <w:bCs/>
          <w:noProof/>
          <w:color w:val="34246B" w:themeColor="accent2"/>
          <w:sz w:val="28"/>
          <w:szCs w:val="28"/>
        </w:rPr>
        <w:t>ACKNOWLEDGEMENTS</w:t>
      </w:r>
      <w:bookmarkEnd w:id="15"/>
      <w:bookmarkEnd w:id="16"/>
    </w:p>
    <w:p w14:paraId="3994FE49" w14:textId="77777777" w:rsidR="000F4A1C" w:rsidRPr="00BF0C10" w:rsidRDefault="000F4A1C" w:rsidP="00497868">
      <w:pPr>
        <w:jc w:val="both"/>
        <w:rPr>
          <w:rFonts w:ascii="Aptos" w:hAnsi="Aptos"/>
          <w:color w:val="auto"/>
          <w:sz w:val="20"/>
          <w:szCs w:val="20"/>
        </w:rPr>
      </w:pPr>
    </w:p>
    <w:p w14:paraId="61F9CC2A" w14:textId="0291EF61" w:rsidR="00C42C15" w:rsidRPr="00497868" w:rsidRDefault="00C42C15" w:rsidP="00497868">
      <w:pPr>
        <w:jc w:val="both"/>
        <w:rPr>
          <w:rFonts w:ascii="Aptos" w:hAnsi="Aptos"/>
          <w:color w:val="auto"/>
          <w:sz w:val="20"/>
          <w:szCs w:val="20"/>
        </w:rPr>
      </w:pPr>
      <w:r w:rsidRPr="00497868">
        <w:rPr>
          <w:rFonts w:ascii="Aptos" w:hAnsi="Aptos"/>
          <w:color w:val="auto"/>
          <w:sz w:val="20"/>
          <w:szCs w:val="20"/>
        </w:rPr>
        <w:t xml:space="preserve">The FS AI RMF reflects the dedicated efforts of </w:t>
      </w:r>
      <w:r w:rsidR="00C859E0">
        <w:rPr>
          <w:rFonts w:ascii="Aptos" w:hAnsi="Aptos"/>
          <w:color w:val="auto"/>
          <w:sz w:val="20"/>
          <w:szCs w:val="20"/>
        </w:rPr>
        <w:t xml:space="preserve">more than </w:t>
      </w:r>
      <w:r w:rsidR="00CC1810">
        <w:rPr>
          <w:rFonts w:ascii="Aptos" w:hAnsi="Aptos"/>
          <w:color w:val="auto"/>
          <w:sz w:val="20"/>
          <w:szCs w:val="20"/>
        </w:rPr>
        <w:t>100</w:t>
      </w:r>
      <w:r w:rsidRPr="00497868">
        <w:rPr>
          <w:rFonts w:ascii="Aptos" w:hAnsi="Aptos"/>
          <w:color w:val="auto"/>
          <w:sz w:val="20"/>
          <w:szCs w:val="20"/>
        </w:rPr>
        <w:t xml:space="preserve"> organizations. CRI sincerely thanks the financial institutions, trade associations, and </w:t>
      </w:r>
      <w:r w:rsidR="008D0589" w:rsidRPr="00497868">
        <w:rPr>
          <w:rFonts w:ascii="Aptos" w:hAnsi="Aptos"/>
          <w:color w:val="auto"/>
          <w:sz w:val="20"/>
          <w:szCs w:val="20"/>
        </w:rPr>
        <w:t>other stakeholders</w:t>
      </w:r>
      <w:r w:rsidRPr="00497868">
        <w:rPr>
          <w:rFonts w:ascii="Aptos" w:hAnsi="Aptos"/>
          <w:color w:val="auto"/>
          <w:sz w:val="20"/>
          <w:szCs w:val="20"/>
        </w:rPr>
        <w:t xml:space="preserve"> who contributed to this important initiative. Special gratitude goes to KPMG for their ongoing support, manpower, and advisory throughout the Framework’s development, as well as to NIST and HallResearch</w:t>
      </w:r>
      <w:r w:rsidR="002D50C8" w:rsidRPr="00497868">
        <w:rPr>
          <w:rFonts w:ascii="Aptos" w:hAnsi="Aptos"/>
          <w:color w:val="auto"/>
          <w:sz w:val="20"/>
          <w:szCs w:val="20"/>
        </w:rPr>
        <w:t>.ai</w:t>
      </w:r>
      <w:r w:rsidRPr="00497868">
        <w:rPr>
          <w:rFonts w:ascii="Aptos" w:hAnsi="Aptos"/>
          <w:color w:val="auto"/>
          <w:sz w:val="20"/>
          <w:szCs w:val="20"/>
        </w:rPr>
        <w:t xml:space="preserve"> for expert technical advice and continuous AI thought leadership.</w:t>
      </w:r>
    </w:p>
    <w:p w14:paraId="471A510E" w14:textId="77777777" w:rsidR="00C42C15" w:rsidRPr="00497868" w:rsidRDefault="00C42C15" w:rsidP="00497868">
      <w:pPr>
        <w:jc w:val="both"/>
        <w:rPr>
          <w:rFonts w:ascii="Aptos" w:hAnsi="Aptos"/>
          <w:color w:val="auto"/>
          <w:sz w:val="20"/>
          <w:szCs w:val="20"/>
        </w:rPr>
      </w:pPr>
    </w:p>
    <w:p w14:paraId="57A47235" w14:textId="6C51291A" w:rsidR="00C42C15" w:rsidRPr="00497868" w:rsidRDefault="00C42C15" w:rsidP="00497868">
      <w:pPr>
        <w:jc w:val="both"/>
        <w:rPr>
          <w:rFonts w:ascii="Aptos" w:hAnsi="Aptos"/>
          <w:color w:val="auto"/>
          <w:sz w:val="20"/>
          <w:szCs w:val="20"/>
        </w:rPr>
      </w:pPr>
      <w:r w:rsidRPr="00497868">
        <w:rPr>
          <w:rFonts w:ascii="Aptos" w:hAnsi="Aptos"/>
          <w:color w:val="auto"/>
          <w:sz w:val="20"/>
          <w:szCs w:val="20"/>
        </w:rPr>
        <w:t>We also extend our thanks to our 150+ member organizations for supporting CRI initiatives, the CRI Board of Directors for strategic guidance, and the 1</w:t>
      </w:r>
      <w:r w:rsidR="0089327A" w:rsidRPr="00497868">
        <w:rPr>
          <w:rFonts w:ascii="Aptos" w:hAnsi="Aptos"/>
          <w:color w:val="auto"/>
          <w:sz w:val="20"/>
          <w:szCs w:val="20"/>
        </w:rPr>
        <w:t>00+</w:t>
      </w:r>
      <w:r w:rsidRPr="00497868">
        <w:rPr>
          <w:rFonts w:ascii="Aptos" w:hAnsi="Aptos"/>
          <w:color w:val="auto"/>
          <w:sz w:val="20"/>
          <w:szCs w:val="20"/>
        </w:rPr>
        <w:t xml:space="preserve"> active </w:t>
      </w:r>
      <w:r w:rsidR="0089327A" w:rsidRPr="00497868">
        <w:rPr>
          <w:rFonts w:ascii="Aptos" w:hAnsi="Aptos"/>
          <w:color w:val="auto"/>
          <w:sz w:val="20"/>
          <w:szCs w:val="20"/>
        </w:rPr>
        <w:t>participants</w:t>
      </w:r>
      <w:r w:rsidRPr="00497868">
        <w:rPr>
          <w:rFonts w:ascii="Aptos" w:hAnsi="Aptos"/>
          <w:color w:val="auto"/>
          <w:sz w:val="20"/>
          <w:szCs w:val="20"/>
        </w:rPr>
        <w:t xml:space="preserve"> of the FS AI RMF Working Group for reviewing and validating the Framework’s content. </w:t>
      </w:r>
      <w:r w:rsidR="00462C3F" w:rsidRPr="00497868">
        <w:rPr>
          <w:rFonts w:ascii="Aptos" w:hAnsi="Aptos"/>
          <w:color w:val="auto"/>
          <w:sz w:val="20"/>
          <w:szCs w:val="20"/>
        </w:rPr>
        <w:t>Finally</w:t>
      </w:r>
      <w:r w:rsidRPr="00497868">
        <w:rPr>
          <w:rFonts w:ascii="Aptos" w:hAnsi="Aptos"/>
          <w:color w:val="auto"/>
          <w:sz w:val="20"/>
          <w:szCs w:val="20"/>
        </w:rPr>
        <w:t xml:space="preserve">, we </w:t>
      </w:r>
      <w:r w:rsidR="00462C3F" w:rsidRPr="00497868">
        <w:rPr>
          <w:rFonts w:ascii="Aptos" w:hAnsi="Aptos"/>
          <w:color w:val="auto"/>
          <w:sz w:val="20"/>
          <w:szCs w:val="20"/>
        </w:rPr>
        <w:t xml:space="preserve">would like to </w:t>
      </w:r>
      <w:r w:rsidRPr="00497868">
        <w:rPr>
          <w:rFonts w:ascii="Aptos" w:hAnsi="Aptos"/>
          <w:color w:val="auto"/>
          <w:sz w:val="20"/>
          <w:szCs w:val="20"/>
        </w:rPr>
        <w:t>acknowledge CRI</w:t>
      </w:r>
      <w:r w:rsidR="00462C3F" w:rsidRPr="00497868">
        <w:rPr>
          <w:rFonts w:ascii="Aptos" w:hAnsi="Aptos"/>
          <w:color w:val="auto"/>
          <w:sz w:val="20"/>
          <w:szCs w:val="20"/>
        </w:rPr>
        <w:t>’s</w:t>
      </w:r>
      <w:r w:rsidR="0051680B" w:rsidRPr="00497868">
        <w:rPr>
          <w:rFonts w:ascii="Aptos" w:hAnsi="Aptos"/>
          <w:color w:val="auto"/>
          <w:sz w:val="20"/>
          <w:szCs w:val="20"/>
        </w:rPr>
        <w:t xml:space="preserve"> </w:t>
      </w:r>
      <w:r w:rsidR="003E4C61" w:rsidRPr="00497868">
        <w:rPr>
          <w:rFonts w:ascii="Aptos" w:hAnsi="Aptos"/>
          <w:color w:val="auto"/>
          <w:sz w:val="20"/>
          <w:szCs w:val="20"/>
        </w:rPr>
        <w:t xml:space="preserve">Angela Patel, John Goodman, and Emily Beam </w:t>
      </w:r>
      <w:r w:rsidRPr="00497868">
        <w:rPr>
          <w:rFonts w:ascii="Aptos" w:hAnsi="Aptos"/>
          <w:color w:val="auto"/>
          <w:sz w:val="20"/>
          <w:szCs w:val="20"/>
        </w:rPr>
        <w:t>for their leadership, oversight, and engagement.</w:t>
      </w:r>
    </w:p>
    <w:p w14:paraId="1CF9C510" w14:textId="77777777" w:rsidR="00C42C15" w:rsidRPr="00497868" w:rsidRDefault="00C42C15">
      <w:pPr>
        <w:rPr>
          <w:rFonts w:ascii="Aptos" w:hAnsi="Aptos"/>
          <w:i/>
          <w:iCs/>
          <w:color w:val="auto"/>
          <w:sz w:val="20"/>
          <w:szCs w:val="20"/>
        </w:rPr>
      </w:pPr>
      <w:r w:rsidRPr="00497868">
        <w:rPr>
          <w:rFonts w:ascii="Aptos" w:hAnsi="Aptos"/>
          <w:i/>
          <w:iCs/>
          <w:color w:val="auto"/>
          <w:sz w:val="20"/>
          <w:szCs w:val="20"/>
        </w:rPr>
        <w:br w:type="page"/>
      </w:r>
    </w:p>
    <w:sdt>
      <w:sdtPr>
        <w:rPr>
          <w:rFonts w:asciiTheme="minorHAnsi" w:eastAsia="Century Gothic" w:hAnsiTheme="minorHAnsi" w:cstheme="minorHAnsi"/>
          <w:color w:val="53585F" w:themeColor="text2"/>
          <w:sz w:val="28"/>
          <w:szCs w:val="28"/>
        </w:rPr>
        <w:id w:val="796034798"/>
        <w:docPartObj>
          <w:docPartGallery w:val="Table of Contents"/>
          <w:docPartUnique/>
        </w:docPartObj>
      </w:sdtPr>
      <w:sdtEndPr>
        <w:rPr>
          <w:b/>
          <w:bCs/>
          <w:noProof/>
          <w:sz w:val="22"/>
          <w:szCs w:val="24"/>
        </w:rPr>
      </w:sdtEndPr>
      <w:sdtContent>
        <w:p w14:paraId="66ED8FF1" w14:textId="3E7E51E7" w:rsidR="00512EEF" w:rsidRPr="00497868" w:rsidRDefault="009E01A9" w:rsidP="00FF487A">
          <w:pPr>
            <w:pStyle w:val="TOCHeading"/>
            <w:jc w:val="both"/>
            <w:rPr>
              <w:rFonts w:asciiTheme="minorHAnsi" w:eastAsia="Century Gothic" w:hAnsiTheme="minorHAnsi" w:cstheme="minorHAnsi"/>
              <w:b/>
              <w:bCs/>
              <w:noProof/>
              <w:color w:val="34246B" w:themeColor="accent2"/>
              <w:sz w:val="28"/>
              <w:szCs w:val="28"/>
            </w:rPr>
          </w:pPr>
          <w:r w:rsidRPr="00497868">
            <w:rPr>
              <w:rFonts w:asciiTheme="minorHAnsi" w:eastAsia="Century Gothic" w:hAnsiTheme="minorHAnsi" w:cstheme="minorHAnsi"/>
              <w:b/>
              <w:bCs/>
              <w:noProof/>
              <w:color w:val="34246B" w:themeColor="accent2"/>
              <w:sz w:val="28"/>
              <w:szCs w:val="28"/>
            </w:rPr>
            <w:t>CONTENTS</w:t>
          </w:r>
        </w:p>
        <w:p w14:paraId="60B0AB37" w14:textId="5F281CF2" w:rsidR="001C6B80" w:rsidRDefault="00512EEF">
          <w:pPr>
            <w:pStyle w:val="TOC1"/>
            <w:rPr>
              <w:rFonts w:eastAsiaTheme="minorEastAsia" w:cstheme="minorBidi"/>
              <w:b w:val="0"/>
              <w:bCs w:val="0"/>
              <w:caps w:val="0"/>
              <w:noProof/>
              <w:color w:val="auto"/>
              <w:kern w:val="2"/>
              <w:sz w:val="24"/>
              <w:szCs w:val="24"/>
              <w14:ligatures w14:val="standardContextual"/>
            </w:rPr>
          </w:pPr>
          <w:r>
            <w:fldChar w:fldCharType="begin"/>
          </w:r>
          <w:r>
            <w:instrText xml:space="preserve"> TOC \o "1-3" \h \z \u </w:instrText>
          </w:r>
          <w:r>
            <w:fldChar w:fldCharType="separate"/>
          </w:r>
          <w:hyperlink w:anchor="_Toc221009645" w:history="1">
            <w:r w:rsidR="001C6B80" w:rsidRPr="00B551AB">
              <w:rPr>
                <w:rStyle w:val="Hyperlink"/>
                <w:rFonts w:ascii="Aptos" w:hAnsi="Aptos"/>
                <w:noProof/>
              </w:rPr>
              <w:t>UPDATE SCHEDULE AND VERSIONS</w:t>
            </w:r>
            <w:r w:rsidR="001C6B80">
              <w:rPr>
                <w:noProof/>
                <w:webHidden/>
              </w:rPr>
              <w:tab/>
            </w:r>
            <w:r w:rsidR="001C6B80">
              <w:rPr>
                <w:noProof/>
                <w:webHidden/>
              </w:rPr>
              <w:fldChar w:fldCharType="begin"/>
            </w:r>
            <w:r w:rsidR="001C6B80">
              <w:rPr>
                <w:noProof/>
                <w:webHidden/>
              </w:rPr>
              <w:instrText xml:space="preserve"> PAGEREF _Toc221009645 \h </w:instrText>
            </w:r>
            <w:r w:rsidR="001C6B80">
              <w:rPr>
                <w:noProof/>
                <w:webHidden/>
              </w:rPr>
            </w:r>
            <w:r w:rsidR="001C6B80">
              <w:rPr>
                <w:noProof/>
                <w:webHidden/>
              </w:rPr>
              <w:fldChar w:fldCharType="separate"/>
            </w:r>
            <w:r w:rsidR="001C6B80">
              <w:rPr>
                <w:noProof/>
                <w:webHidden/>
              </w:rPr>
              <w:t>5</w:t>
            </w:r>
            <w:r w:rsidR="001C6B80">
              <w:rPr>
                <w:noProof/>
                <w:webHidden/>
              </w:rPr>
              <w:fldChar w:fldCharType="end"/>
            </w:r>
          </w:hyperlink>
        </w:p>
        <w:p w14:paraId="74A53937" w14:textId="01A3B2CF" w:rsidR="001C6B80" w:rsidRDefault="001C6B80">
          <w:pPr>
            <w:pStyle w:val="TOC1"/>
            <w:rPr>
              <w:rFonts w:eastAsiaTheme="minorEastAsia" w:cstheme="minorBidi"/>
              <w:b w:val="0"/>
              <w:bCs w:val="0"/>
              <w:caps w:val="0"/>
              <w:noProof/>
              <w:color w:val="auto"/>
              <w:kern w:val="2"/>
              <w:sz w:val="24"/>
              <w:szCs w:val="24"/>
              <w14:ligatures w14:val="standardContextual"/>
            </w:rPr>
          </w:pPr>
          <w:hyperlink w:anchor="_Toc221009646" w:history="1">
            <w:r w:rsidRPr="00B551AB">
              <w:rPr>
                <w:rStyle w:val="Hyperlink"/>
                <w:rFonts w:ascii="Aptos" w:hAnsi="Aptos"/>
                <w:noProof/>
              </w:rPr>
              <w:t>INTRODUCTION</w:t>
            </w:r>
            <w:r>
              <w:rPr>
                <w:noProof/>
                <w:webHidden/>
              </w:rPr>
              <w:tab/>
            </w:r>
            <w:r>
              <w:rPr>
                <w:noProof/>
                <w:webHidden/>
              </w:rPr>
              <w:fldChar w:fldCharType="begin"/>
            </w:r>
            <w:r>
              <w:rPr>
                <w:noProof/>
                <w:webHidden/>
              </w:rPr>
              <w:instrText xml:space="preserve"> PAGEREF _Toc221009646 \h </w:instrText>
            </w:r>
            <w:r>
              <w:rPr>
                <w:noProof/>
                <w:webHidden/>
              </w:rPr>
            </w:r>
            <w:r>
              <w:rPr>
                <w:noProof/>
                <w:webHidden/>
              </w:rPr>
              <w:fldChar w:fldCharType="separate"/>
            </w:r>
            <w:r>
              <w:rPr>
                <w:noProof/>
                <w:webHidden/>
              </w:rPr>
              <w:t>6</w:t>
            </w:r>
            <w:r>
              <w:rPr>
                <w:noProof/>
                <w:webHidden/>
              </w:rPr>
              <w:fldChar w:fldCharType="end"/>
            </w:r>
          </w:hyperlink>
        </w:p>
        <w:p w14:paraId="0190E3D4" w14:textId="6A0FAF98" w:rsidR="001C6B80" w:rsidRDefault="001C6B80">
          <w:pPr>
            <w:pStyle w:val="TOC2"/>
            <w:rPr>
              <w:rFonts w:eastAsiaTheme="minorEastAsia" w:cstheme="minorBidi"/>
              <w:smallCaps w:val="0"/>
              <w:noProof/>
              <w:color w:val="auto"/>
              <w:kern w:val="2"/>
              <w:sz w:val="24"/>
              <w:szCs w:val="24"/>
              <w14:ligatures w14:val="standardContextual"/>
            </w:rPr>
          </w:pPr>
          <w:hyperlink w:anchor="_Toc221009647" w:history="1">
            <w:r w:rsidRPr="00B551AB">
              <w:rPr>
                <w:rStyle w:val="Hyperlink"/>
                <w:rFonts w:ascii="Aptos" w:hAnsi="Aptos"/>
                <w:noProof/>
              </w:rPr>
              <w:t>Background and Motivation</w:t>
            </w:r>
            <w:r>
              <w:rPr>
                <w:noProof/>
                <w:webHidden/>
              </w:rPr>
              <w:tab/>
            </w:r>
            <w:r>
              <w:rPr>
                <w:noProof/>
                <w:webHidden/>
              </w:rPr>
              <w:fldChar w:fldCharType="begin"/>
            </w:r>
            <w:r>
              <w:rPr>
                <w:noProof/>
                <w:webHidden/>
              </w:rPr>
              <w:instrText xml:space="preserve"> PAGEREF _Toc221009647 \h </w:instrText>
            </w:r>
            <w:r>
              <w:rPr>
                <w:noProof/>
                <w:webHidden/>
              </w:rPr>
            </w:r>
            <w:r>
              <w:rPr>
                <w:noProof/>
                <w:webHidden/>
              </w:rPr>
              <w:fldChar w:fldCharType="separate"/>
            </w:r>
            <w:r>
              <w:rPr>
                <w:noProof/>
                <w:webHidden/>
              </w:rPr>
              <w:t>6</w:t>
            </w:r>
            <w:r>
              <w:rPr>
                <w:noProof/>
                <w:webHidden/>
              </w:rPr>
              <w:fldChar w:fldCharType="end"/>
            </w:r>
          </w:hyperlink>
        </w:p>
        <w:p w14:paraId="2E80DE69" w14:textId="31731641" w:rsidR="001C6B80" w:rsidRDefault="001C6B80">
          <w:pPr>
            <w:pStyle w:val="TOC2"/>
            <w:rPr>
              <w:rFonts w:eastAsiaTheme="minorEastAsia" w:cstheme="minorBidi"/>
              <w:smallCaps w:val="0"/>
              <w:noProof/>
              <w:color w:val="auto"/>
              <w:kern w:val="2"/>
              <w:sz w:val="24"/>
              <w:szCs w:val="24"/>
              <w14:ligatures w14:val="standardContextual"/>
            </w:rPr>
          </w:pPr>
          <w:hyperlink w:anchor="_Toc221009648" w:history="1">
            <w:r w:rsidRPr="00B551AB">
              <w:rPr>
                <w:rStyle w:val="Hyperlink"/>
                <w:rFonts w:ascii="Aptos" w:hAnsi="Aptos"/>
                <w:noProof/>
              </w:rPr>
              <w:t>Purpose and Benefits</w:t>
            </w:r>
            <w:r>
              <w:rPr>
                <w:noProof/>
                <w:webHidden/>
              </w:rPr>
              <w:tab/>
            </w:r>
            <w:r>
              <w:rPr>
                <w:noProof/>
                <w:webHidden/>
              </w:rPr>
              <w:fldChar w:fldCharType="begin"/>
            </w:r>
            <w:r>
              <w:rPr>
                <w:noProof/>
                <w:webHidden/>
              </w:rPr>
              <w:instrText xml:space="preserve"> PAGEREF _Toc221009648 \h </w:instrText>
            </w:r>
            <w:r>
              <w:rPr>
                <w:noProof/>
                <w:webHidden/>
              </w:rPr>
            </w:r>
            <w:r>
              <w:rPr>
                <w:noProof/>
                <w:webHidden/>
              </w:rPr>
              <w:fldChar w:fldCharType="separate"/>
            </w:r>
            <w:r>
              <w:rPr>
                <w:noProof/>
                <w:webHidden/>
              </w:rPr>
              <w:t>6</w:t>
            </w:r>
            <w:r>
              <w:rPr>
                <w:noProof/>
                <w:webHidden/>
              </w:rPr>
              <w:fldChar w:fldCharType="end"/>
            </w:r>
          </w:hyperlink>
        </w:p>
        <w:p w14:paraId="20E123EF" w14:textId="7CE50806" w:rsidR="001C6B80" w:rsidRDefault="001C6B80">
          <w:pPr>
            <w:pStyle w:val="TOC2"/>
            <w:rPr>
              <w:rFonts w:eastAsiaTheme="minorEastAsia" w:cstheme="minorBidi"/>
              <w:smallCaps w:val="0"/>
              <w:noProof/>
              <w:color w:val="auto"/>
              <w:kern w:val="2"/>
              <w:sz w:val="24"/>
              <w:szCs w:val="24"/>
              <w14:ligatures w14:val="standardContextual"/>
            </w:rPr>
          </w:pPr>
          <w:hyperlink w:anchor="_Toc221009649" w:history="1">
            <w:r w:rsidRPr="00B551AB">
              <w:rPr>
                <w:rStyle w:val="Hyperlink"/>
                <w:rFonts w:ascii="Aptos" w:hAnsi="Aptos"/>
                <w:noProof/>
              </w:rPr>
              <w:t>Audience</w:t>
            </w:r>
            <w:r>
              <w:rPr>
                <w:noProof/>
                <w:webHidden/>
              </w:rPr>
              <w:tab/>
            </w:r>
            <w:r>
              <w:rPr>
                <w:noProof/>
                <w:webHidden/>
              </w:rPr>
              <w:fldChar w:fldCharType="begin"/>
            </w:r>
            <w:r>
              <w:rPr>
                <w:noProof/>
                <w:webHidden/>
              </w:rPr>
              <w:instrText xml:space="preserve"> PAGEREF _Toc221009649 \h </w:instrText>
            </w:r>
            <w:r>
              <w:rPr>
                <w:noProof/>
                <w:webHidden/>
              </w:rPr>
            </w:r>
            <w:r>
              <w:rPr>
                <w:noProof/>
                <w:webHidden/>
              </w:rPr>
              <w:fldChar w:fldCharType="separate"/>
            </w:r>
            <w:r>
              <w:rPr>
                <w:noProof/>
                <w:webHidden/>
              </w:rPr>
              <w:t>6</w:t>
            </w:r>
            <w:r>
              <w:rPr>
                <w:noProof/>
                <w:webHidden/>
              </w:rPr>
              <w:fldChar w:fldCharType="end"/>
            </w:r>
          </w:hyperlink>
        </w:p>
        <w:p w14:paraId="782C593B" w14:textId="1B4FB6A6" w:rsidR="001C6B80" w:rsidRDefault="001C6B80">
          <w:pPr>
            <w:pStyle w:val="TOC2"/>
            <w:rPr>
              <w:rFonts w:eastAsiaTheme="minorEastAsia" w:cstheme="minorBidi"/>
              <w:smallCaps w:val="0"/>
              <w:noProof/>
              <w:color w:val="auto"/>
              <w:kern w:val="2"/>
              <w:sz w:val="24"/>
              <w:szCs w:val="24"/>
              <w14:ligatures w14:val="standardContextual"/>
            </w:rPr>
          </w:pPr>
          <w:hyperlink w:anchor="_Toc221009650" w:history="1">
            <w:r w:rsidRPr="00B551AB">
              <w:rPr>
                <w:rStyle w:val="Hyperlink"/>
                <w:rFonts w:ascii="Aptos" w:hAnsi="Aptos"/>
                <w:noProof/>
              </w:rPr>
              <w:t>Scope</w:t>
            </w:r>
            <w:r>
              <w:rPr>
                <w:noProof/>
                <w:webHidden/>
              </w:rPr>
              <w:tab/>
            </w:r>
            <w:r>
              <w:rPr>
                <w:noProof/>
                <w:webHidden/>
              </w:rPr>
              <w:fldChar w:fldCharType="begin"/>
            </w:r>
            <w:r>
              <w:rPr>
                <w:noProof/>
                <w:webHidden/>
              </w:rPr>
              <w:instrText xml:space="preserve"> PAGEREF _Toc221009650 \h </w:instrText>
            </w:r>
            <w:r>
              <w:rPr>
                <w:noProof/>
                <w:webHidden/>
              </w:rPr>
            </w:r>
            <w:r>
              <w:rPr>
                <w:noProof/>
                <w:webHidden/>
              </w:rPr>
              <w:fldChar w:fldCharType="separate"/>
            </w:r>
            <w:r>
              <w:rPr>
                <w:noProof/>
                <w:webHidden/>
              </w:rPr>
              <w:t>7</w:t>
            </w:r>
            <w:r>
              <w:rPr>
                <w:noProof/>
                <w:webHidden/>
              </w:rPr>
              <w:fldChar w:fldCharType="end"/>
            </w:r>
          </w:hyperlink>
        </w:p>
        <w:p w14:paraId="586826FA" w14:textId="218E4C35" w:rsidR="001C6B80" w:rsidRDefault="001C6B80">
          <w:pPr>
            <w:pStyle w:val="TOC1"/>
            <w:rPr>
              <w:rFonts w:eastAsiaTheme="minorEastAsia" w:cstheme="minorBidi"/>
              <w:b w:val="0"/>
              <w:bCs w:val="0"/>
              <w:caps w:val="0"/>
              <w:noProof/>
              <w:color w:val="auto"/>
              <w:kern w:val="2"/>
              <w:sz w:val="24"/>
              <w:szCs w:val="24"/>
              <w14:ligatures w14:val="standardContextual"/>
            </w:rPr>
          </w:pPr>
          <w:hyperlink w:anchor="_Toc221009651" w:history="1">
            <w:r w:rsidRPr="00B551AB">
              <w:rPr>
                <w:rStyle w:val="Hyperlink"/>
                <w:rFonts w:ascii="Aptos" w:hAnsi="Aptos"/>
                <w:noProof/>
              </w:rPr>
              <w:t>FS AI RMF COMPONENTS</w:t>
            </w:r>
            <w:r>
              <w:rPr>
                <w:noProof/>
                <w:webHidden/>
              </w:rPr>
              <w:tab/>
            </w:r>
            <w:r>
              <w:rPr>
                <w:noProof/>
                <w:webHidden/>
              </w:rPr>
              <w:fldChar w:fldCharType="begin"/>
            </w:r>
            <w:r>
              <w:rPr>
                <w:noProof/>
                <w:webHidden/>
              </w:rPr>
              <w:instrText xml:space="preserve"> PAGEREF _Toc221009651 \h </w:instrText>
            </w:r>
            <w:r>
              <w:rPr>
                <w:noProof/>
                <w:webHidden/>
              </w:rPr>
            </w:r>
            <w:r>
              <w:rPr>
                <w:noProof/>
                <w:webHidden/>
              </w:rPr>
              <w:fldChar w:fldCharType="separate"/>
            </w:r>
            <w:r>
              <w:rPr>
                <w:noProof/>
                <w:webHidden/>
              </w:rPr>
              <w:t>7</w:t>
            </w:r>
            <w:r>
              <w:rPr>
                <w:noProof/>
                <w:webHidden/>
              </w:rPr>
              <w:fldChar w:fldCharType="end"/>
            </w:r>
          </w:hyperlink>
        </w:p>
        <w:p w14:paraId="2EAC34B1" w14:textId="2125E5F2" w:rsidR="001C6B80" w:rsidRDefault="001C6B80">
          <w:pPr>
            <w:pStyle w:val="TOC2"/>
            <w:rPr>
              <w:rFonts w:eastAsiaTheme="minorEastAsia" w:cstheme="minorBidi"/>
              <w:smallCaps w:val="0"/>
              <w:noProof/>
              <w:color w:val="auto"/>
              <w:kern w:val="2"/>
              <w:sz w:val="24"/>
              <w:szCs w:val="24"/>
              <w14:ligatures w14:val="standardContextual"/>
            </w:rPr>
          </w:pPr>
          <w:hyperlink w:anchor="_Toc221009652" w:history="1">
            <w:r w:rsidRPr="00B551AB">
              <w:rPr>
                <w:rStyle w:val="Hyperlink"/>
                <w:rFonts w:ascii="Aptos" w:hAnsi="Aptos"/>
                <w:noProof/>
              </w:rPr>
              <w:t>Adoption Stage Questionnaire</w:t>
            </w:r>
            <w:r>
              <w:rPr>
                <w:noProof/>
                <w:webHidden/>
              </w:rPr>
              <w:tab/>
            </w:r>
            <w:r>
              <w:rPr>
                <w:noProof/>
                <w:webHidden/>
              </w:rPr>
              <w:fldChar w:fldCharType="begin"/>
            </w:r>
            <w:r>
              <w:rPr>
                <w:noProof/>
                <w:webHidden/>
              </w:rPr>
              <w:instrText xml:space="preserve"> PAGEREF _Toc221009652 \h </w:instrText>
            </w:r>
            <w:r>
              <w:rPr>
                <w:noProof/>
                <w:webHidden/>
              </w:rPr>
            </w:r>
            <w:r>
              <w:rPr>
                <w:noProof/>
                <w:webHidden/>
              </w:rPr>
              <w:fldChar w:fldCharType="separate"/>
            </w:r>
            <w:r>
              <w:rPr>
                <w:noProof/>
                <w:webHidden/>
              </w:rPr>
              <w:t>7</w:t>
            </w:r>
            <w:r>
              <w:rPr>
                <w:noProof/>
                <w:webHidden/>
              </w:rPr>
              <w:fldChar w:fldCharType="end"/>
            </w:r>
          </w:hyperlink>
        </w:p>
        <w:p w14:paraId="1F6E250C" w14:textId="20A5A4DC" w:rsidR="001C6B80" w:rsidRDefault="001C6B80">
          <w:pPr>
            <w:pStyle w:val="TOC2"/>
            <w:rPr>
              <w:rFonts w:eastAsiaTheme="minorEastAsia" w:cstheme="minorBidi"/>
              <w:smallCaps w:val="0"/>
              <w:noProof/>
              <w:color w:val="auto"/>
              <w:kern w:val="2"/>
              <w:sz w:val="24"/>
              <w:szCs w:val="24"/>
              <w14:ligatures w14:val="standardContextual"/>
            </w:rPr>
          </w:pPr>
          <w:hyperlink w:anchor="_Toc221009653" w:history="1">
            <w:r w:rsidRPr="00B551AB">
              <w:rPr>
                <w:rStyle w:val="Hyperlink"/>
                <w:rFonts w:ascii="Aptos" w:hAnsi="Aptos"/>
                <w:noProof/>
              </w:rPr>
              <w:t>Risk and Control Matrix</w:t>
            </w:r>
            <w:r>
              <w:rPr>
                <w:noProof/>
                <w:webHidden/>
              </w:rPr>
              <w:tab/>
            </w:r>
            <w:r>
              <w:rPr>
                <w:noProof/>
                <w:webHidden/>
              </w:rPr>
              <w:fldChar w:fldCharType="begin"/>
            </w:r>
            <w:r>
              <w:rPr>
                <w:noProof/>
                <w:webHidden/>
              </w:rPr>
              <w:instrText xml:space="preserve"> PAGEREF _Toc221009653 \h </w:instrText>
            </w:r>
            <w:r>
              <w:rPr>
                <w:noProof/>
                <w:webHidden/>
              </w:rPr>
            </w:r>
            <w:r>
              <w:rPr>
                <w:noProof/>
                <w:webHidden/>
              </w:rPr>
              <w:fldChar w:fldCharType="separate"/>
            </w:r>
            <w:r>
              <w:rPr>
                <w:noProof/>
                <w:webHidden/>
              </w:rPr>
              <w:t>8</w:t>
            </w:r>
            <w:r>
              <w:rPr>
                <w:noProof/>
                <w:webHidden/>
              </w:rPr>
              <w:fldChar w:fldCharType="end"/>
            </w:r>
          </w:hyperlink>
        </w:p>
        <w:p w14:paraId="5F90006B" w14:textId="0B2E329C" w:rsidR="001C6B80" w:rsidRDefault="001C6B80">
          <w:pPr>
            <w:pStyle w:val="TOC2"/>
            <w:rPr>
              <w:rFonts w:eastAsiaTheme="minorEastAsia" w:cstheme="minorBidi"/>
              <w:smallCaps w:val="0"/>
              <w:noProof/>
              <w:color w:val="auto"/>
              <w:kern w:val="2"/>
              <w:sz w:val="24"/>
              <w:szCs w:val="24"/>
              <w14:ligatures w14:val="standardContextual"/>
            </w:rPr>
          </w:pPr>
          <w:hyperlink w:anchor="_Toc221009654" w:history="1">
            <w:r w:rsidRPr="00B551AB">
              <w:rPr>
                <w:rStyle w:val="Hyperlink"/>
                <w:rFonts w:ascii="Aptos" w:hAnsi="Aptos"/>
                <w:noProof/>
              </w:rPr>
              <w:t>Guidebook</w:t>
            </w:r>
            <w:r>
              <w:rPr>
                <w:noProof/>
                <w:webHidden/>
              </w:rPr>
              <w:tab/>
            </w:r>
            <w:r>
              <w:rPr>
                <w:noProof/>
                <w:webHidden/>
              </w:rPr>
              <w:fldChar w:fldCharType="begin"/>
            </w:r>
            <w:r>
              <w:rPr>
                <w:noProof/>
                <w:webHidden/>
              </w:rPr>
              <w:instrText xml:space="preserve"> PAGEREF _Toc221009654 \h </w:instrText>
            </w:r>
            <w:r>
              <w:rPr>
                <w:noProof/>
                <w:webHidden/>
              </w:rPr>
            </w:r>
            <w:r>
              <w:rPr>
                <w:noProof/>
                <w:webHidden/>
              </w:rPr>
              <w:fldChar w:fldCharType="separate"/>
            </w:r>
            <w:r>
              <w:rPr>
                <w:noProof/>
                <w:webHidden/>
              </w:rPr>
              <w:t>10</w:t>
            </w:r>
            <w:r>
              <w:rPr>
                <w:noProof/>
                <w:webHidden/>
              </w:rPr>
              <w:fldChar w:fldCharType="end"/>
            </w:r>
          </w:hyperlink>
        </w:p>
        <w:p w14:paraId="326CF884" w14:textId="00E51A09" w:rsidR="001C6B80" w:rsidRDefault="001C6B80">
          <w:pPr>
            <w:pStyle w:val="TOC2"/>
            <w:rPr>
              <w:rFonts w:eastAsiaTheme="minorEastAsia" w:cstheme="minorBidi"/>
              <w:smallCaps w:val="0"/>
              <w:noProof/>
              <w:color w:val="auto"/>
              <w:kern w:val="2"/>
              <w:sz w:val="24"/>
              <w:szCs w:val="24"/>
              <w14:ligatures w14:val="standardContextual"/>
            </w:rPr>
          </w:pPr>
          <w:hyperlink w:anchor="_Toc221009655" w:history="1">
            <w:r w:rsidRPr="00B551AB">
              <w:rPr>
                <w:rStyle w:val="Hyperlink"/>
                <w:rFonts w:ascii="Aptos" w:hAnsi="Aptos"/>
                <w:noProof/>
              </w:rPr>
              <w:t>Control Objective Reference Guide</w:t>
            </w:r>
            <w:r>
              <w:rPr>
                <w:noProof/>
                <w:webHidden/>
              </w:rPr>
              <w:tab/>
            </w:r>
            <w:r>
              <w:rPr>
                <w:noProof/>
                <w:webHidden/>
              </w:rPr>
              <w:fldChar w:fldCharType="begin"/>
            </w:r>
            <w:r>
              <w:rPr>
                <w:noProof/>
                <w:webHidden/>
              </w:rPr>
              <w:instrText xml:space="preserve"> PAGEREF _Toc221009655 \h </w:instrText>
            </w:r>
            <w:r>
              <w:rPr>
                <w:noProof/>
                <w:webHidden/>
              </w:rPr>
            </w:r>
            <w:r>
              <w:rPr>
                <w:noProof/>
                <w:webHidden/>
              </w:rPr>
              <w:fldChar w:fldCharType="separate"/>
            </w:r>
            <w:r>
              <w:rPr>
                <w:noProof/>
                <w:webHidden/>
              </w:rPr>
              <w:t>10</w:t>
            </w:r>
            <w:r>
              <w:rPr>
                <w:noProof/>
                <w:webHidden/>
              </w:rPr>
              <w:fldChar w:fldCharType="end"/>
            </w:r>
          </w:hyperlink>
        </w:p>
        <w:p w14:paraId="1986AC28" w14:textId="419E0864" w:rsidR="001C6B80" w:rsidRDefault="001C6B80">
          <w:pPr>
            <w:pStyle w:val="TOC1"/>
            <w:rPr>
              <w:rFonts w:eastAsiaTheme="minorEastAsia" w:cstheme="minorBidi"/>
              <w:b w:val="0"/>
              <w:bCs w:val="0"/>
              <w:caps w:val="0"/>
              <w:noProof/>
              <w:color w:val="auto"/>
              <w:kern w:val="2"/>
              <w:sz w:val="24"/>
              <w:szCs w:val="24"/>
              <w14:ligatures w14:val="standardContextual"/>
            </w:rPr>
          </w:pPr>
          <w:hyperlink w:anchor="_Toc221009656" w:history="1">
            <w:r w:rsidRPr="00B551AB">
              <w:rPr>
                <w:rStyle w:val="Hyperlink"/>
                <w:rFonts w:ascii="Aptos" w:hAnsi="Aptos"/>
                <w:noProof/>
                <w:lang w:val="fr-CA"/>
              </w:rPr>
              <w:t>SECTION 1: THE AI ADOPTION STAGE QUESTIONNAIRE</w:t>
            </w:r>
            <w:r>
              <w:rPr>
                <w:noProof/>
                <w:webHidden/>
              </w:rPr>
              <w:tab/>
            </w:r>
            <w:r>
              <w:rPr>
                <w:noProof/>
                <w:webHidden/>
              </w:rPr>
              <w:fldChar w:fldCharType="begin"/>
            </w:r>
            <w:r>
              <w:rPr>
                <w:noProof/>
                <w:webHidden/>
              </w:rPr>
              <w:instrText xml:space="preserve"> PAGEREF _Toc221009656 \h </w:instrText>
            </w:r>
            <w:r>
              <w:rPr>
                <w:noProof/>
                <w:webHidden/>
              </w:rPr>
            </w:r>
            <w:r>
              <w:rPr>
                <w:noProof/>
                <w:webHidden/>
              </w:rPr>
              <w:fldChar w:fldCharType="separate"/>
            </w:r>
            <w:r>
              <w:rPr>
                <w:noProof/>
                <w:webHidden/>
              </w:rPr>
              <w:t>11</w:t>
            </w:r>
            <w:r>
              <w:rPr>
                <w:noProof/>
                <w:webHidden/>
              </w:rPr>
              <w:fldChar w:fldCharType="end"/>
            </w:r>
          </w:hyperlink>
        </w:p>
        <w:p w14:paraId="5E8749F4" w14:textId="3D1E9E3F" w:rsidR="001C6B80" w:rsidRDefault="001C6B80">
          <w:pPr>
            <w:pStyle w:val="TOC2"/>
            <w:rPr>
              <w:rFonts w:eastAsiaTheme="minorEastAsia" w:cstheme="minorBidi"/>
              <w:smallCaps w:val="0"/>
              <w:noProof/>
              <w:color w:val="auto"/>
              <w:kern w:val="2"/>
              <w:sz w:val="24"/>
              <w:szCs w:val="24"/>
              <w14:ligatures w14:val="standardContextual"/>
            </w:rPr>
          </w:pPr>
          <w:hyperlink w:anchor="_Toc221009657" w:history="1">
            <w:r w:rsidRPr="00B551AB">
              <w:rPr>
                <w:rStyle w:val="Hyperlink"/>
                <w:rFonts w:ascii="Aptos" w:hAnsi="Aptos"/>
                <w:noProof/>
              </w:rPr>
              <w:t>Overview</w:t>
            </w:r>
            <w:r>
              <w:rPr>
                <w:noProof/>
                <w:webHidden/>
              </w:rPr>
              <w:tab/>
            </w:r>
            <w:r>
              <w:rPr>
                <w:noProof/>
                <w:webHidden/>
              </w:rPr>
              <w:fldChar w:fldCharType="begin"/>
            </w:r>
            <w:r>
              <w:rPr>
                <w:noProof/>
                <w:webHidden/>
              </w:rPr>
              <w:instrText xml:space="preserve"> PAGEREF _Toc221009657 \h </w:instrText>
            </w:r>
            <w:r>
              <w:rPr>
                <w:noProof/>
                <w:webHidden/>
              </w:rPr>
            </w:r>
            <w:r>
              <w:rPr>
                <w:noProof/>
                <w:webHidden/>
              </w:rPr>
              <w:fldChar w:fldCharType="separate"/>
            </w:r>
            <w:r>
              <w:rPr>
                <w:noProof/>
                <w:webHidden/>
              </w:rPr>
              <w:t>11</w:t>
            </w:r>
            <w:r>
              <w:rPr>
                <w:noProof/>
                <w:webHidden/>
              </w:rPr>
              <w:fldChar w:fldCharType="end"/>
            </w:r>
          </w:hyperlink>
        </w:p>
        <w:p w14:paraId="072D042A" w14:textId="376CC998" w:rsidR="001C6B80" w:rsidRDefault="001C6B80">
          <w:pPr>
            <w:pStyle w:val="TOC2"/>
            <w:rPr>
              <w:rFonts w:eastAsiaTheme="minorEastAsia" w:cstheme="minorBidi"/>
              <w:smallCaps w:val="0"/>
              <w:noProof/>
              <w:color w:val="auto"/>
              <w:kern w:val="2"/>
              <w:sz w:val="24"/>
              <w:szCs w:val="24"/>
              <w14:ligatures w14:val="standardContextual"/>
            </w:rPr>
          </w:pPr>
          <w:hyperlink w:anchor="_Toc221009658" w:history="1">
            <w:r w:rsidRPr="00B551AB">
              <w:rPr>
                <w:rStyle w:val="Hyperlink"/>
                <w:rFonts w:ascii="Aptos" w:hAnsi="Aptos"/>
                <w:noProof/>
              </w:rPr>
              <w:t>Instructions</w:t>
            </w:r>
            <w:r>
              <w:rPr>
                <w:noProof/>
                <w:webHidden/>
              </w:rPr>
              <w:tab/>
            </w:r>
            <w:r>
              <w:rPr>
                <w:noProof/>
                <w:webHidden/>
              </w:rPr>
              <w:fldChar w:fldCharType="begin"/>
            </w:r>
            <w:r>
              <w:rPr>
                <w:noProof/>
                <w:webHidden/>
              </w:rPr>
              <w:instrText xml:space="preserve"> PAGEREF _Toc221009658 \h </w:instrText>
            </w:r>
            <w:r>
              <w:rPr>
                <w:noProof/>
                <w:webHidden/>
              </w:rPr>
            </w:r>
            <w:r>
              <w:rPr>
                <w:noProof/>
                <w:webHidden/>
              </w:rPr>
              <w:fldChar w:fldCharType="separate"/>
            </w:r>
            <w:r>
              <w:rPr>
                <w:noProof/>
                <w:webHidden/>
              </w:rPr>
              <w:t>12</w:t>
            </w:r>
            <w:r>
              <w:rPr>
                <w:noProof/>
                <w:webHidden/>
              </w:rPr>
              <w:fldChar w:fldCharType="end"/>
            </w:r>
          </w:hyperlink>
        </w:p>
        <w:p w14:paraId="65056FA9" w14:textId="09DB3FF9" w:rsidR="001C6B80" w:rsidRDefault="001C6B80">
          <w:pPr>
            <w:pStyle w:val="TOC2"/>
            <w:rPr>
              <w:rFonts w:eastAsiaTheme="minorEastAsia" w:cstheme="minorBidi"/>
              <w:smallCaps w:val="0"/>
              <w:noProof/>
              <w:color w:val="auto"/>
              <w:kern w:val="2"/>
              <w:sz w:val="24"/>
              <w:szCs w:val="24"/>
              <w14:ligatures w14:val="standardContextual"/>
            </w:rPr>
          </w:pPr>
          <w:hyperlink w:anchor="_Toc221009659" w:history="1">
            <w:r w:rsidRPr="00B551AB">
              <w:rPr>
                <w:rStyle w:val="Hyperlink"/>
                <w:rFonts w:ascii="Aptos" w:hAnsi="Aptos"/>
                <w:noProof/>
                <w:lang w:val="fr-CA"/>
              </w:rPr>
              <w:t>The AI Adoption Stage Questionnaire</w:t>
            </w:r>
            <w:r>
              <w:rPr>
                <w:noProof/>
                <w:webHidden/>
              </w:rPr>
              <w:tab/>
            </w:r>
            <w:r>
              <w:rPr>
                <w:noProof/>
                <w:webHidden/>
              </w:rPr>
              <w:fldChar w:fldCharType="begin"/>
            </w:r>
            <w:r>
              <w:rPr>
                <w:noProof/>
                <w:webHidden/>
              </w:rPr>
              <w:instrText xml:space="preserve"> PAGEREF _Toc221009659 \h </w:instrText>
            </w:r>
            <w:r>
              <w:rPr>
                <w:noProof/>
                <w:webHidden/>
              </w:rPr>
            </w:r>
            <w:r>
              <w:rPr>
                <w:noProof/>
                <w:webHidden/>
              </w:rPr>
              <w:fldChar w:fldCharType="separate"/>
            </w:r>
            <w:r>
              <w:rPr>
                <w:noProof/>
                <w:webHidden/>
              </w:rPr>
              <w:t>12</w:t>
            </w:r>
            <w:r>
              <w:rPr>
                <w:noProof/>
                <w:webHidden/>
              </w:rPr>
              <w:fldChar w:fldCharType="end"/>
            </w:r>
          </w:hyperlink>
        </w:p>
        <w:p w14:paraId="1C998D46" w14:textId="06079E65" w:rsidR="001C6B80" w:rsidRDefault="001C6B80">
          <w:pPr>
            <w:pStyle w:val="TOC1"/>
            <w:rPr>
              <w:rFonts w:eastAsiaTheme="minorEastAsia" w:cstheme="minorBidi"/>
              <w:b w:val="0"/>
              <w:bCs w:val="0"/>
              <w:caps w:val="0"/>
              <w:noProof/>
              <w:color w:val="auto"/>
              <w:kern w:val="2"/>
              <w:sz w:val="24"/>
              <w:szCs w:val="24"/>
              <w14:ligatures w14:val="standardContextual"/>
            </w:rPr>
          </w:pPr>
          <w:hyperlink w:anchor="_Toc221009660" w:history="1">
            <w:r w:rsidRPr="00B551AB">
              <w:rPr>
                <w:rStyle w:val="Hyperlink"/>
                <w:rFonts w:ascii="Aptos" w:hAnsi="Aptos"/>
                <w:noProof/>
              </w:rPr>
              <w:t>SECTION 2: THE RISK AND CONTROL MATRIX</w:t>
            </w:r>
            <w:r>
              <w:rPr>
                <w:noProof/>
                <w:webHidden/>
              </w:rPr>
              <w:tab/>
            </w:r>
            <w:r>
              <w:rPr>
                <w:noProof/>
                <w:webHidden/>
              </w:rPr>
              <w:fldChar w:fldCharType="begin"/>
            </w:r>
            <w:r>
              <w:rPr>
                <w:noProof/>
                <w:webHidden/>
              </w:rPr>
              <w:instrText xml:space="preserve"> PAGEREF _Toc221009660 \h </w:instrText>
            </w:r>
            <w:r>
              <w:rPr>
                <w:noProof/>
                <w:webHidden/>
              </w:rPr>
            </w:r>
            <w:r>
              <w:rPr>
                <w:noProof/>
                <w:webHidden/>
              </w:rPr>
              <w:fldChar w:fldCharType="separate"/>
            </w:r>
            <w:r>
              <w:rPr>
                <w:noProof/>
                <w:webHidden/>
              </w:rPr>
              <w:t>15</w:t>
            </w:r>
            <w:r>
              <w:rPr>
                <w:noProof/>
                <w:webHidden/>
              </w:rPr>
              <w:fldChar w:fldCharType="end"/>
            </w:r>
          </w:hyperlink>
        </w:p>
        <w:p w14:paraId="49CD78F7" w14:textId="534A52A8" w:rsidR="001C6B80" w:rsidRDefault="001C6B80">
          <w:pPr>
            <w:pStyle w:val="TOC2"/>
            <w:rPr>
              <w:rFonts w:eastAsiaTheme="minorEastAsia" w:cstheme="minorBidi"/>
              <w:smallCaps w:val="0"/>
              <w:noProof/>
              <w:color w:val="auto"/>
              <w:kern w:val="2"/>
              <w:sz w:val="24"/>
              <w:szCs w:val="24"/>
              <w14:ligatures w14:val="standardContextual"/>
            </w:rPr>
          </w:pPr>
          <w:hyperlink w:anchor="_Toc221009661" w:history="1">
            <w:r w:rsidRPr="00B551AB">
              <w:rPr>
                <w:rStyle w:val="Hyperlink"/>
                <w:rFonts w:ascii="Aptos" w:hAnsi="Aptos"/>
                <w:noProof/>
              </w:rPr>
              <w:t>Overview</w:t>
            </w:r>
            <w:r>
              <w:rPr>
                <w:noProof/>
                <w:webHidden/>
              </w:rPr>
              <w:tab/>
            </w:r>
            <w:r>
              <w:rPr>
                <w:noProof/>
                <w:webHidden/>
              </w:rPr>
              <w:fldChar w:fldCharType="begin"/>
            </w:r>
            <w:r>
              <w:rPr>
                <w:noProof/>
                <w:webHidden/>
              </w:rPr>
              <w:instrText xml:space="preserve"> PAGEREF _Toc221009661 \h </w:instrText>
            </w:r>
            <w:r>
              <w:rPr>
                <w:noProof/>
                <w:webHidden/>
              </w:rPr>
            </w:r>
            <w:r>
              <w:rPr>
                <w:noProof/>
                <w:webHidden/>
              </w:rPr>
              <w:fldChar w:fldCharType="separate"/>
            </w:r>
            <w:r>
              <w:rPr>
                <w:noProof/>
                <w:webHidden/>
              </w:rPr>
              <w:t>15</w:t>
            </w:r>
            <w:r>
              <w:rPr>
                <w:noProof/>
                <w:webHidden/>
              </w:rPr>
              <w:fldChar w:fldCharType="end"/>
            </w:r>
          </w:hyperlink>
        </w:p>
        <w:p w14:paraId="6AA680F5" w14:textId="0D84DB2C" w:rsidR="001C6B80" w:rsidRDefault="001C6B80">
          <w:pPr>
            <w:pStyle w:val="TOC2"/>
            <w:rPr>
              <w:rFonts w:eastAsiaTheme="minorEastAsia" w:cstheme="minorBidi"/>
              <w:smallCaps w:val="0"/>
              <w:noProof/>
              <w:color w:val="auto"/>
              <w:kern w:val="2"/>
              <w:sz w:val="24"/>
              <w:szCs w:val="24"/>
              <w14:ligatures w14:val="standardContextual"/>
            </w:rPr>
          </w:pPr>
          <w:hyperlink w:anchor="_Toc221009662" w:history="1">
            <w:r w:rsidRPr="00B551AB">
              <w:rPr>
                <w:rStyle w:val="Hyperlink"/>
                <w:rFonts w:ascii="Aptos" w:hAnsi="Aptos"/>
                <w:noProof/>
              </w:rPr>
              <w:t>Control Objective Names and Descriptions</w:t>
            </w:r>
            <w:r>
              <w:rPr>
                <w:noProof/>
                <w:webHidden/>
              </w:rPr>
              <w:tab/>
            </w:r>
            <w:r>
              <w:rPr>
                <w:noProof/>
                <w:webHidden/>
              </w:rPr>
              <w:fldChar w:fldCharType="begin"/>
            </w:r>
            <w:r>
              <w:rPr>
                <w:noProof/>
                <w:webHidden/>
              </w:rPr>
              <w:instrText xml:space="preserve"> PAGEREF _Toc221009662 \h </w:instrText>
            </w:r>
            <w:r>
              <w:rPr>
                <w:noProof/>
                <w:webHidden/>
              </w:rPr>
            </w:r>
            <w:r>
              <w:rPr>
                <w:noProof/>
                <w:webHidden/>
              </w:rPr>
              <w:fldChar w:fldCharType="separate"/>
            </w:r>
            <w:r>
              <w:rPr>
                <w:noProof/>
                <w:webHidden/>
              </w:rPr>
              <w:t>16</w:t>
            </w:r>
            <w:r>
              <w:rPr>
                <w:noProof/>
                <w:webHidden/>
              </w:rPr>
              <w:fldChar w:fldCharType="end"/>
            </w:r>
          </w:hyperlink>
        </w:p>
        <w:p w14:paraId="10AE200E" w14:textId="665E713E" w:rsidR="001C6B80" w:rsidRDefault="001C6B80">
          <w:pPr>
            <w:pStyle w:val="TOC1"/>
            <w:rPr>
              <w:rFonts w:eastAsiaTheme="minorEastAsia" w:cstheme="minorBidi"/>
              <w:b w:val="0"/>
              <w:bCs w:val="0"/>
              <w:caps w:val="0"/>
              <w:noProof/>
              <w:color w:val="auto"/>
              <w:kern w:val="2"/>
              <w:sz w:val="24"/>
              <w:szCs w:val="24"/>
              <w14:ligatures w14:val="standardContextual"/>
            </w:rPr>
          </w:pPr>
          <w:hyperlink w:anchor="_Toc221009663" w:history="1">
            <w:r w:rsidRPr="00B551AB">
              <w:rPr>
                <w:rStyle w:val="Hyperlink"/>
                <w:rFonts w:ascii="Aptos" w:hAnsi="Aptos"/>
                <w:noProof/>
              </w:rPr>
              <w:t>APPENDIX A – AI TRUSTWORTHY PRINCIPLES</w:t>
            </w:r>
            <w:r>
              <w:rPr>
                <w:noProof/>
                <w:webHidden/>
              </w:rPr>
              <w:tab/>
            </w:r>
            <w:r>
              <w:rPr>
                <w:noProof/>
                <w:webHidden/>
              </w:rPr>
              <w:fldChar w:fldCharType="begin"/>
            </w:r>
            <w:r>
              <w:rPr>
                <w:noProof/>
                <w:webHidden/>
              </w:rPr>
              <w:instrText xml:space="preserve"> PAGEREF _Toc221009663 \h </w:instrText>
            </w:r>
            <w:r>
              <w:rPr>
                <w:noProof/>
                <w:webHidden/>
              </w:rPr>
            </w:r>
            <w:r>
              <w:rPr>
                <w:noProof/>
                <w:webHidden/>
              </w:rPr>
              <w:fldChar w:fldCharType="separate"/>
            </w:r>
            <w:r>
              <w:rPr>
                <w:noProof/>
                <w:webHidden/>
              </w:rPr>
              <w:t>48</w:t>
            </w:r>
            <w:r>
              <w:rPr>
                <w:noProof/>
                <w:webHidden/>
              </w:rPr>
              <w:fldChar w:fldCharType="end"/>
            </w:r>
          </w:hyperlink>
        </w:p>
        <w:p w14:paraId="031085E4" w14:textId="2952D1EF" w:rsidR="001C6B80" w:rsidRDefault="001C6B80">
          <w:pPr>
            <w:pStyle w:val="TOC1"/>
            <w:rPr>
              <w:rFonts w:eastAsiaTheme="minorEastAsia" w:cstheme="minorBidi"/>
              <w:b w:val="0"/>
              <w:bCs w:val="0"/>
              <w:caps w:val="0"/>
              <w:noProof/>
              <w:color w:val="auto"/>
              <w:kern w:val="2"/>
              <w:sz w:val="24"/>
              <w:szCs w:val="24"/>
              <w14:ligatures w14:val="standardContextual"/>
            </w:rPr>
          </w:pPr>
          <w:hyperlink w:anchor="_Toc221009664" w:history="1">
            <w:r w:rsidRPr="00B551AB">
              <w:rPr>
                <w:rStyle w:val="Hyperlink"/>
                <w:rFonts w:ascii="Aptos" w:hAnsi="Aptos"/>
                <w:noProof/>
              </w:rPr>
              <w:t>APPENDIX B – ACRONYMS AND ABBREVIATIONS</w:t>
            </w:r>
            <w:r>
              <w:rPr>
                <w:noProof/>
                <w:webHidden/>
              </w:rPr>
              <w:tab/>
            </w:r>
            <w:r>
              <w:rPr>
                <w:noProof/>
                <w:webHidden/>
              </w:rPr>
              <w:fldChar w:fldCharType="begin"/>
            </w:r>
            <w:r>
              <w:rPr>
                <w:noProof/>
                <w:webHidden/>
              </w:rPr>
              <w:instrText xml:space="preserve"> PAGEREF _Toc221009664 \h </w:instrText>
            </w:r>
            <w:r>
              <w:rPr>
                <w:noProof/>
                <w:webHidden/>
              </w:rPr>
            </w:r>
            <w:r>
              <w:rPr>
                <w:noProof/>
                <w:webHidden/>
              </w:rPr>
              <w:fldChar w:fldCharType="separate"/>
            </w:r>
            <w:r>
              <w:rPr>
                <w:noProof/>
                <w:webHidden/>
              </w:rPr>
              <w:t>48</w:t>
            </w:r>
            <w:r>
              <w:rPr>
                <w:noProof/>
                <w:webHidden/>
              </w:rPr>
              <w:fldChar w:fldCharType="end"/>
            </w:r>
          </w:hyperlink>
        </w:p>
        <w:p w14:paraId="2BED3646" w14:textId="38BF7950" w:rsidR="001C6B80" w:rsidRDefault="001C6B80">
          <w:pPr>
            <w:pStyle w:val="TOC1"/>
            <w:rPr>
              <w:rFonts w:eastAsiaTheme="minorEastAsia" w:cstheme="minorBidi"/>
              <w:b w:val="0"/>
              <w:bCs w:val="0"/>
              <w:caps w:val="0"/>
              <w:noProof/>
              <w:color w:val="auto"/>
              <w:kern w:val="2"/>
              <w:sz w:val="24"/>
              <w:szCs w:val="24"/>
              <w14:ligatures w14:val="standardContextual"/>
            </w:rPr>
          </w:pPr>
          <w:hyperlink w:anchor="_Toc221009665" w:history="1">
            <w:r w:rsidRPr="00B551AB">
              <w:rPr>
                <w:rStyle w:val="Hyperlink"/>
                <w:rFonts w:ascii="Aptos" w:hAnsi="Aptos"/>
                <w:noProof/>
              </w:rPr>
              <w:t>APPENDIX C – GLOSSARY OF KEY TERMS</w:t>
            </w:r>
            <w:r>
              <w:rPr>
                <w:noProof/>
                <w:webHidden/>
              </w:rPr>
              <w:tab/>
            </w:r>
            <w:r>
              <w:rPr>
                <w:noProof/>
                <w:webHidden/>
              </w:rPr>
              <w:fldChar w:fldCharType="begin"/>
            </w:r>
            <w:r>
              <w:rPr>
                <w:noProof/>
                <w:webHidden/>
              </w:rPr>
              <w:instrText xml:space="preserve"> PAGEREF _Toc221009665 \h </w:instrText>
            </w:r>
            <w:r>
              <w:rPr>
                <w:noProof/>
                <w:webHidden/>
              </w:rPr>
            </w:r>
            <w:r>
              <w:rPr>
                <w:noProof/>
                <w:webHidden/>
              </w:rPr>
              <w:fldChar w:fldCharType="separate"/>
            </w:r>
            <w:r>
              <w:rPr>
                <w:noProof/>
                <w:webHidden/>
              </w:rPr>
              <w:t>50</w:t>
            </w:r>
            <w:r>
              <w:rPr>
                <w:noProof/>
                <w:webHidden/>
              </w:rPr>
              <w:fldChar w:fldCharType="end"/>
            </w:r>
          </w:hyperlink>
        </w:p>
        <w:p w14:paraId="4647E8FC" w14:textId="52C14451" w:rsidR="001C6B80" w:rsidRDefault="001C6B80">
          <w:pPr>
            <w:pStyle w:val="TOC1"/>
            <w:rPr>
              <w:rFonts w:eastAsiaTheme="minorEastAsia" w:cstheme="minorBidi"/>
              <w:b w:val="0"/>
              <w:bCs w:val="0"/>
              <w:caps w:val="0"/>
              <w:noProof/>
              <w:color w:val="auto"/>
              <w:kern w:val="2"/>
              <w:sz w:val="24"/>
              <w:szCs w:val="24"/>
              <w14:ligatures w14:val="standardContextual"/>
            </w:rPr>
          </w:pPr>
          <w:hyperlink w:anchor="_Toc221009666" w:history="1">
            <w:r w:rsidRPr="00B551AB">
              <w:rPr>
                <w:rStyle w:val="Hyperlink"/>
                <w:rFonts w:ascii="Aptos" w:hAnsi="Aptos"/>
                <w:noProof/>
              </w:rPr>
              <w:t>APPENDIX D – INFORMATIVE REFERENCES</w:t>
            </w:r>
            <w:r>
              <w:rPr>
                <w:noProof/>
                <w:webHidden/>
              </w:rPr>
              <w:tab/>
            </w:r>
            <w:r>
              <w:rPr>
                <w:noProof/>
                <w:webHidden/>
              </w:rPr>
              <w:fldChar w:fldCharType="begin"/>
            </w:r>
            <w:r>
              <w:rPr>
                <w:noProof/>
                <w:webHidden/>
              </w:rPr>
              <w:instrText xml:space="preserve"> PAGEREF _Toc221009666 \h </w:instrText>
            </w:r>
            <w:r>
              <w:rPr>
                <w:noProof/>
                <w:webHidden/>
              </w:rPr>
            </w:r>
            <w:r>
              <w:rPr>
                <w:noProof/>
                <w:webHidden/>
              </w:rPr>
              <w:fldChar w:fldCharType="separate"/>
            </w:r>
            <w:r>
              <w:rPr>
                <w:noProof/>
                <w:webHidden/>
              </w:rPr>
              <w:t>55</w:t>
            </w:r>
            <w:r>
              <w:rPr>
                <w:noProof/>
                <w:webHidden/>
              </w:rPr>
              <w:fldChar w:fldCharType="end"/>
            </w:r>
          </w:hyperlink>
        </w:p>
        <w:p w14:paraId="4FC1D5F3" w14:textId="0DDF0D0D" w:rsidR="001C6B80" w:rsidRDefault="001C6B80">
          <w:pPr>
            <w:pStyle w:val="TOC1"/>
            <w:rPr>
              <w:rFonts w:eastAsiaTheme="minorEastAsia" w:cstheme="minorBidi"/>
              <w:b w:val="0"/>
              <w:bCs w:val="0"/>
              <w:caps w:val="0"/>
              <w:noProof/>
              <w:color w:val="auto"/>
              <w:kern w:val="2"/>
              <w:sz w:val="24"/>
              <w:szCs w:val="24"/>
              <w14:ligatures w14:val="standardContextual"/>
            </w:rPr>
          </w:pPr>
          <w:hyperlink w:anchor="_Toc221009667" w:history="1">
            <w:r w:rsidRPr="00B551AB">
              <w:rPr>
                <w:rStyle w:val="Hyperlink"/>
                <w:rFonts w:ascii="Aptos" w:hAnsi="Aptos"/>
                <w:noProof/>
              </w:rPr>
              <w:t>APPENDIX E – ADDITIONAL SOURCE MATERIALS</w:t>
            </w:r>
            <w:r>
              <w:rPr>
                <w:noProof/>
                <w:webHidden/>
              </w:rPr>
              <w:tab/>
            </w:r>
            <w:r>
              <w:rPr>
                <w:noProof/>
                <w:webHidden/>
              </w:rPr>
              <w:fldChar w:fldCharType="begin"/>
            </w:r>
            <w:r>
              <w:rPr>
                <w:noProof/>
                <w:webHidden/>
              </w:rPr>
              <w:instrText xml:space="preserve"> PAGEREF _Toc221009667 \h </w:instrText>
            </w:r>
            <w:r>
              <w:rPr>
                <w:noProof/>
                <w:webHidden/>
              </w:rPr>
            </w:r>
            <w:r>
              <w:rPr>
                <w:noProof/>
                <w:webHidden/>
              </w:rPr>
              <w:fldChar w:fldCharType="separate"/>
            </w:r>
            <w:r>
              <w:rPr>
                <w:noProof/>
                <w:webHidden/>
              </w:rPr>
              <w:t>57</w:t>
            </w:r>
            <w:r>
              <w:rPr>
                <w:noProof/>
                <w:webHidden/>
              </w:rPr>
              <w:fldChar w:fldCharType="end"/>
            </w:r>
          </w:hyperlink>
        </w:p>
        <w:p w14:paraId="42B7FAA6" w14:textId="5A39B347" w:rsidR="00512EEF" w:rsidRDefault="00512EEF" w:rsidP="00FF487A">
          <w:pPr>
            <w:jc w:val="both"/>
          </w:pPr>
          <w:r>
            <w:rPr>
              <w:b/>
              <w:bCs/>
              <w:noProof/>
            </w:rPr>
            <w:fldChar w:fldCharType="end"/>
          </w:r>
        </w:p>
      </w:sdtContent>
    </w:sdt>
    <w:p w14:paraId="2849F6F5" w14:textId="77777777" w:rsidR="00322A1A" w:rsidRDefault="00322A1A">
      <w:pPr>
        <w:rPr>
          <w:rFonts w:ascii="Aptos" w:eastAsia="Times New Roman" w:hAnsi="Aptos" w:cs="Times New Roman"/>
          <w:b/>
          <w:bCs/>
          <w:color w:val="34246B" w:themeColor="accent2"/>
          <w:sz w:val="32"/>
        </w:rPr>
      </w:pPr>
      <w:r>
        <w:rPr>
          <w:rFonts w:ascii="Aptos" w:hAnsi="Aptos"/>
          <w:b/>
          <w:bCs/>
          <w:color w:val="34246B" w:themeColor="accent2"/>
        </w:rPr>
        <w:br w:type="page"/>
      </w:r>
    </w:p>
    <w:p w14:paraId="5AC1E64B" w14:textId="3FE00A8D" w:rsidR="00322A1A" w:rsidRPr="00497868" w:rsidRDefault="00E01EB2" w:rsidP="00322A1A">
      <w:pPr>
        <w:pStyle w:val="Heading1"/>
        <w:spacing w:after="0" w:line="269" w:lineRule="auto"/>
        <w:jc w:val="both"/>
        <w:rPr>
          <w:rFonts w:ascii="Aptos" w:hAnsi="Aptos"/>
          <w:b/>
          <w:bCs/>
          <w:color w:val="34246B" w:themeColor="accent2"/>
          <w:sz w:val="28"/>
          <w:szCs w:val="28"/>
        </w:rPr>
      </w:pPr>
      <w:bookmarkStart w:id="17" w:name="_Toc221009645"/>
      <w:r w:rsidRPr="00497868">
        <w:rPr>
          <w:rFonts w:ascii="Aptos" w:hAnsi="Aptos"/>
          <w:b/>
          <w:bCs/>
          <w:color w:val="34246B" w:themeColor="accent2"/>
          <w:sz w:val="28"/>
          <w:szCs w:val="28"/>
        </w:rPr>
        <w:lastRenderedPageBreak/>
        <w:t>UPDATE SCHEDULE AND VERSIONS</w:t>
      </w:r>
      <w:bookmarkEnd w:id="17"/>
    </w:p>
    <w:p w14:paraId="5BACC11B" w14:textId="77777777" w:rsidR="00322A1A" w:rsidRPr="00497868" w:rsidRDefault="00322A1A" w:rsidP="00497868">
      <w:pPr>
        <w:jc w:val="both"/>
        <w:rPr>
          <w:rFonts w:ascii="Aptos" w:hAnsi="Aptos"/>
          <w:b/>
          <w:bCs/>
          <w:color w:val="B31E3E" w:themeColor="accent1"/>
          <w:sz w:val="20"/>
          <w:szCs w:val="20"/>
        </w:rPr>
      </w:pPr>
    </w:p>
    <w:p w14:paraId="0D791E4D" w14:textId="06EA6311" w:rsidR="00322A1A" w:rsidRPr="00497868" w:rsidRDefault="00322A1A" w:rsidP="00497868">
      <w:pPr>
        <w:jc w:val="both"/>
        <w:rPr>
          <w:rFonts w:ascii="Aptos" w:hAnsi="Aptos"/>
          <w:color w:val="auto"/>
          <w:sz w:val="20"/>
          <w:szCs w:val="20"/>
        </w:rPr>
      </w:pPr>
      <w:r w:rsidRPr="00497868">
        <w:rPr>
          <w:rFonts w:ascii="Aptos" w:hAnsi="Aptos"/>
          <w:color w:val="auto"/>
          <w:sz w:val="20"/>
          <w:szCs w:val="20"/>
        </w:rPr>
        <w:t>The FS AI RMF</w:t>
      </w:r>
      <w:r w:rsidR="00925450" w:rsidRPr="00497868">
        <w:rPr>
          <w:rFonts w:ascii="Aptos" w:hAnsi="Aptos"/>
          <w:color w:val="auto"/>
          <w:sz w:val="20"/>
          <w:szCs w:val="20"/>
        </w:rPr>
        <w:t xml:space="preserve"> and this Guidebook are</w:t>
      </w:r>
      <w:r w:rsidRPr="00497868">
        <w:rPr>
          <w:rFonts w:ascii="Aptos" w:hAnsi="Aptos"/>
          <w:color w:val="auto"/>
          <w:sz w:val="20"/>
          <w:szCs w:val="20"/>
        </w:rPr>
        <w:t xml:space="preserve"> living document</w:t>
      </w:r>
      <w:r w:rsidR="00925450" w:rsidRPr="00497868">
        <w:rPr>
          <w:rFonts w:ascii="Aptos" w:hAnsi="Aptos"/>
          <w:color w:val="auto"/>
          <w:sz w:val="20"/>
          <w:szCs w:val="20"/>
        </w:rPr>
        <w:t>s</w:t>
      </w:r>
      <w:r w:rsidRPr="00497868">
        <w:rPr>
          <w:rFonts w:ascii="Aptos" w:hAnsi="Aptos"/>
          <w:color w:val="auto"/>
          <w:sz w:val="20"/>
          <w:szCs w:val="20"/>
        </w:rPr>
        <w:t xml:space="preserve">. CRI will review </w:t>
      </w:r>
      <w:r w:rsidR="000A7A14" w:rsidRPr="00497868">
        <w:rPr>
          <w:rFonts w:ascii="Aptos" w:hAnsi="Aptos"/>
          <w:color w:val="auto"/>
          <w:sz w:val="20"/>
          <w:szCs w:val="20"/>
        </w:rPr>
        <w:t>the</w:t>
      </w:r>
      <w:r w:rsidRPr="00497868">
        <w:rPr>
          <w:rFonts w:ascii="Aptos" w:hAnsi="Aptos"/>
          <w:color w:val="auto"/>
          <w:sz w:val="20"/>
          <w:szCs w:val="20"/>
        </w:rPr>
        <w:t xml:space="preserve"> content and usefulness regularly to determine if an update is or may be</w:t>
      </w:r>
      <w:r w:rsidR="008E69F6">
        <w:rPr>
          <w:rFonts w:ascii="Aptos" w:hAnsi="Aptos"/>
          <w:color w:val="auto"/>
          <w:sz w:val="20"/>
          <w:szCs w:val="20"/>
        </w:rPr>
        <w:t>come</w:t>
      </w:r>
      <w:r w:rsidRPr="00497868">
        <w:rPr>
          <w:rFonts w:ascii="Aptos" w:hAnsi="Aptos"/>
          <w:color w:val="auto"/>
          <w:sz w:val="20"/>
          <w:szCs w:val="20"/>
        </w:rPr>
        <w:t xml:space="preserve"> necessary. The nature and extent of the update will be reviewed with the CRI </w:t>
      </w:r>
      <w:r w:rsidR="009847B9" w:rsidRPr="00497868">
        <w:rPr>
          <w:rFonts w:ascii="Aptos" w:hAnsi="Aptos"/>
          <w:color w:val="auto"/>
          <w:sz w:val="20"/>
          <w:szCs w:val="20"/>
        </w:rPr>
        <w:t>B</w:t>
      </w:r>
      <w:r w:rsidRPr="00497868">
        <w:rPr>
          <w:rFonts w:ascii="Aptos" w:hAnsi="Aptos"/>
          <w:color w:val="auto"/>
          <w:sz w:val="20"/>
          <w:szCs w:val="20"/>
        </w:rPr>
        <w:t xml:space="preserve">oard of </w:t>
      </w:r>
      <w:r w:rsidR="009847B9" w:rsidRPr="00497868">
        <w:rPr>
          <w:rFonts w:ascii="Aptos" w:hAnsi="Aptos"/>
          <w:color w:val="auto"/>
          <w:sz w:val="20"/>
          <w:szCs w:val="20"/>
        </w:rPr>
        <w:t>D</w:t>
      </w:r>
      <w:r w:rsidRPr="00497868">
        <w:rPr>
          <w:rFonts w:ascii="Aptos" w:hAnsi="Aptos"/>
          <w:color w:val="auto"/>
          <w:sz w:val="20"/>
          <w:szCs w:val="20"/>
        </w:rPr>
        <w:t xml:space="preserve">irectors, members, </w:t>
      </w:r>
      <w:r w:rsidR="003E1A0B" w:rsidRPr="00497868">
        <w:rPr>
          <w:rFonts w:ascii="Aptos" w:hAnsi="Aptos"/>
          <w:color w:val="auto"/>
          <w:sz w:val="20"/>
          <w:szCs w:val="20"/>
        </w:rPr>
        <w:t>stakeholders</w:t>
      </w:r>
      <w:r w:rsidRPr="00497868">
        <w:rPr>
          <w:rFonts w:ascii="Aptos" w:hAnsi="Aptos"/>
          <w:color w:val="auto"/>
          <w:sz w:val="20"/>
          <w:szCs w:val="20"/>
        </w:rPr>
        <w:t xml:space="preserve">, trade associations, relevant third parties, and others where appropriate. </w:t>
      </w:r>
    </w:p>
    <w:p w14:paraId="7A8C1C41" w14:textId="77777777" w:rsidR="00322A1A" w:rsidRPr="00497868" w:rsidRDefault="00322A1A" w:rsidP="00497868">
      <w:pPr>
        <w:jc w:val="both"/>
        <w:rPr>
          <w:rFonts w:ascii="Aptos" w:hAnsi="Aptos"/>
          <w:color w:val="auto"/>
          <w:sz w:val="20"/>
          <w:szCs w:val="20"/>
        </w:rPr>
      </w:pPr>
    </w:p>
    <w:p w14:paraId="6C24D0DD" w14:textId="77777777" w:rsidR="00322A1A" w:rsidRPr="00497868" w:rsidRDefault="00322A1A" w:rsidP="00497868">
      <w:pPr>
        <w:jc w:val="both"/>
        <w:rPr>
          <w:rFonts w:ascii="Aptos" w:hAnsi="Aptos"/>
          <w:color w:val="auto"/>
          <w:sz w:val="20"/>
          <w:szCs w:val="20"/>
        </w:rPr>
      </w:pPr>
      <w:r w:rsidRPr="00497868">
        <w:rPr>
          <w:rFonts w:ascii="Aptos" w:hAnsi="Aptos"/>
          <w:color w:val="auto"/>
          <w:sz w:val="20"/>
          <w:szCs w:val="20"/>
        </w:rPr>
        <w:t>Updates will be tracked in a Version Control Log using a consistent, two-number versioning schedule. The Version Control Log will include: (1) the version number; (2) the date of the change(s); (3) a description of the change(s); (4) the updated section(s); and (5) the relevant page number(s). For example:</w:t>
      </w:r>
    </w:p>
    <w:p w14:paraId="5B6D93D0" w14:textId="77777777" w:rsidR="00322A1A" w:rsidRPr="00497868" w:rsidRDefault="00322A1A" w:rsidP="00497868">
      <w:pPr>
        <w:jc w:val="both"/>
        <w:rPr>
          <w:rFonts w:ascii="Aptos" w:hAnsi="Aptos"/>
          <w:color w:val="auto"/>
          <w:sz w:val="20"/>
          <w:szCs w:val="20"/>
        </w:rPr>
      </w:pPr>
    </w:p>
    <w:tbl>
      <w:tblPr>
        <w:tblStyle w:val="TableGrid"/>
        <w:tblW w:w="0" w:type="auto"/>
        <w:tblBorders>
          <w:top w:val="single" w:sz="4" w:space="0" w:color="53585F" w:themeColor="text2"/>
          <w:left w:val="single" w:sz="4" w:space="0" w:color="53585F" w:themeColor="text2"/>
          <w:bottom w:val="single" w:sz="4" w:space="0" w:color="53585F" w:themeColor="text2"/>
          <w:right w:val="single" w:sz="4" w:space="0" w:color="53585F" w:themeColor="text2"/>
          <w:insideH w:val="single" w:sz="4" w:space="0" w:color="53585F" w:themeColor="text2"/>
          <w:insideV w:val="single" w:sz="4" w:space="0" w:color="53585F" w:themeColor="text2"/>
        </w:tblBorders>
        <w:tblLook w:val="04A0" w:firstRow="1" w:lastRow="0" w:firstColumn="1" w:lastColumn="0" w:noHBand="0" w:noVBand="1"/>
      </w:tblPr>
      <w:tblGrid>
        <w:gridCol w:w="985"/>
        <w:gridCol w:w="2070"/>
        <w:gridCol w:w="2790"/>
        <w:gridCol w:w="2340"/>
        <w:gridCol w:w="1885"/>
      </w:tblGrid>
      <w:tr w:rsidR="00322A1A" w:rsidRPr="00497868" w14:paraId="19CAAE73" w14:textId="77777777" w:rsidTr="007A14C4">
        <w:tc>
          <w:tcPr>
            <w:tcW w:w="985" w:type="dxa"/>
            <w:shd w:val="clear" w:color="auto" w:fill="BFBFBF"/>
          </w:tcPr>
          <w:p w14:paraId="15CC7133" w14:textId="77777777" w:rsidR="00322A1A" w:rsidRPr="00497868" w:rsidRDefault="00322A1A" w:rsidP="00497868">
            <w:pPr>
              <w:jc w:val="both"/>
              <w:rPr>
                <w:rFonts w:ascii="Aptos" w:hAnsi="Aptos"/>
                <w:b/>
                <w:bCs/>
                <w:color w:val="auto"/>
                <w:sz w:val="20"/>
                <w:szCs w:val="20"/>
              </w:rPr>
            </w:pPr>
            <w:r w:rsidRPr="00497868">
              <w:rPr>
                <w:rFonts w:ascii="Aptos" w:hAnsi="Aptos"/>
                <w:b/>
                <w:bCs/>
                <w:color w:val="auto"/>
                <w:sz w:val="20"/>
                <w:szCs w:val="20"/>
              </w:rPr>
              <w:t>Version</w:t>
            </w:r>
          </w:p>
        </w:tc>
        <w:tc>
          <w:tcPr>
            <w:tcW w:w="2070" w:type="dxa"/>
            <w:shd w:val="clear" w:color="auto" w:fill="BFBFBF"/>
          </w:tcPr>
          <w:p w14:paraId="5F1F74D0" w14:textId="77777777" w:rsidR="00322A1A" w:rsidRPr="00497868" w:rsidRDefault="00322A1A" w:rsidP="00497868">
            <w:pPr>
              <w:jc w:val="both"/>
              <w:rPr>
                <w:rFonts w:ascii="Aptos" w:hAnsi="Aptos"/>
                <w:b/>
                <w:bCs/>
                <w:color w:val="auto"/>
                <w:sz w:val="20"/>
                <w:szCs w:val="20"/>
              </w:rPr>
            </w:pPr>
            <w:r w:rsidRPr="00497868">
              <w:rPr>
                <w:rFonts w:ascii="Aptos" w:hAnsi="Aptos"/>
                <w:b/>
                <w:bCs/>
                <w:color w:val="auto"/>
                <w:sz w:val="20"/>
                <w:szCs w:val="20"/>
              </w:rPr>
              <w:t>Date of Change(s)</w:t>
            </w:r>
          </w:p>
        </w:tc>
        <w:tc>
          <w:tcPr>
            <w:tcW w:w="2790" w:type="dxa"/>
            <w:shd w:val="clear" w:color="auto" w:fill="BFBFBF"/>
          </w:tcPr>
          <w:p w14:paraId="54D12DBF" w14:textId="77777777" w:rsidR="00322A1A" w:rsidRPr="00497868" w:rsidRDefault="00322A1A" w:rsidP="00497868">
            <w:pPr>
              <w:jc w:val="both"/>
              <w:rPr>
                <w:rFonts w:ascii="Aptos" w:hAnsi="Aptos"/>
                <w:b/>
                <w:bCs/>
                <w:color w:val="auto"/>
                <w:sz w:val="20"/>
                <w:szCs w:val="20"/>
              </w:rPr>
            </w:pPr>
            <w:r w:rsidRPr="00497868">
              <w:rPr>
                <w:rFonts w:ascii="Aptos" w:hAnsi="Aptos"/>
                <w:b/>
                <w:bCs/>
                <w:color w:val="auto"/>
                <w:sz w:val="20"/>
                <w:szCs w:val="20"/>
              </w:rPr>
              <w:t>Description of Change(s)</w:t>
            </w:r>
          </w:p>
        </w:tc>
        <w:tc>
          <w:tcPr>
            <w:tcW w:w="2340" w:type="dxa"/>
            <w:shd w:val="clear" w:color="auto" w:fill="BFBFBF"/>
          </w:tcPr>
          <w:p w14:paraId="77D4DE96" w14:textId="77777777" w:rsidR="00322A1A" w:rsidRPr="00497868" w:rsidRDefault="00322A1A" w:rsidP="00497868">
            <w:pPr>
              <w:jc w:val="both"/>
              <w:rPr>
                <w:rFonts w:ascii="Aptos" w:hAnsi="Aptos"/>
                <w:b/>
                <w:bCs/>
                <w:color w:val="auto"/>
                <w:sz w:val="20"/>
                <w:szCs w:val="20"/>
              </w:rPr>
            </w:pPr>
            <w:r w:rsidRPr="00497868">
              <w:rPr>
                <w:rFonts w:ascii="Aptos" w:hAnsi="Aptos"/>
                <w:b/>
                <w:bCs/>
                <w:color w:val="auto"/>
                <w:sz w:val="20"/>
                <w:szCs w:val="20"/>
              </w:rPr>
              <w:t>Relevant Section(s)</w:t>
            </w:r>
          </w:p>
        </w:tc>
        <w:tc>
          <w:tcPr>
            <w:tcW w:w="1885" w:type="dxa"/>
            <w:shd w:val="clear" w:color="auto" w:fill="BFBFBF"/>
          </w:tcPr>
          <w:p w14:paraId="3C6C1767" w14:textId="77777777" w:rsidR="00322A1A" w:rsidRPr="00497868" w:rsidRDefault="00322A1A" w:rsidP="00497868">
            <w:pPr>
              <w:jc w:val="both"/>
              <w:rPr>
                <w:rFonts w:ascii="Aptos" w:hAnsi="Aptos"/>
                <w:b/>
                <w:bCs/>
                <w:color w:val="auto"/>
                <w:sz w:val="20"/>
                <w:szCs w:val="20"/>
              </w:rPr>
            </w:pPr>
            <w:r w:rsidRPr="00497868">
              <w:rPr>
                <w:rFonts w:ascii="Aptos" w:hAnsi="Aptos"/>
                <w:b/>
                <w:bCs/>
                <w:color w:val="auto"/>
                <w:sz w:val="20"/>
                <w:szCs w:val="20"/>
              </w:rPr>
              <w:t>Page Number(s)</w:t>
            </w:r>
          </w:p>
        </w:tc>
      </w:tr>
      <w:tr w:rsidR="00322A1A" w:rsidRPr="00497868" w14:paraId="2762C7B3" w14:textId="77777777" w:rsidTr="00CA652E">
        <w:tc>
          <w:tcPr>
            <w:tcW w:w="985" w:type="dxa"/>
          </w:tcPr>
          <w:p w14:paraId="0F933810" w14:textId="77777777" w:rsidR="00322A1A" w:rsidRPr="00497868" w:rsidRDefault="00322A1A" w:rsidP="00497868">
            <w:pPr>
              <w:jc w:val="both"/>
              <w:rPr>
                <w:rFonts w:ascii="Aptos" w:hAnsi="Aptos"/>
                <w:color w:val="auto"/>
                <w:sz w:val="20"/>
                <w:szCs w:val="20"/>
              </w:rPr>
            </w:pPr>
            <w:r w:rsidRPr="00497868">
              <w:rPr>
                <w:rFonts w:ascii="Aptos" w:hAnsi="Aptos"/>
                <w:color w:val="auto"/>
                <w:sz w:val="20"/>
                <w:szCs w:val="20"/>
              </w:rPr>
              <w:t>1.0</w:t>
            </w:r>
          </w:p>
        </w:tc>
        <w:tc>
          <w:tcPr>
            <w:tcW w:w="2070" w:type="dxa"/>
          </w:tcPr>
          <w:p w14:paraId="1DDA7FD4" w14:textId="77777777" w:rsidR="00322A1A" w:rsidRPr="00497868" w:rsidRDefault="00322A1A" w:rsidP="00497868">
            <w:pPr>
              <w:jc w:val="both"/>
              <w:rPr>
                <w:rFonts w:ascii="Aptos" w:hAnsi="Aptos"/>
                <w:color w:val="auto"/>
                <w:sz w:val="20"/>
                <w:szCs w:val="20"/>
              </w:rPr>
            </w:pPr>
            <w:r w:rsidRPr="00497868">
              <w:rPr>
                <w:rFonts w:ascii="Aptos" w:hAnsi="Aptos"/>
                <w:color w:val="auto"/>
                <w:sz w:val="20"/>
                <w:szCs w:val="20"/>
              </w:rPr>
              <w:t>XX/XX/XXX</w:t>
            </w:r>
          </w:p>
        </w:tc>
        <w:tc>
          <w:tcPr>
            <w:tcW w:w="2790" w:type="dxa"/>
          </w:tcPr>
          <w:p w14:paraId="62669C77" w14:textId="77777777" w:rsidR="00322A1A" w:rsidRPr="00497868" w:rsidRDefault="00322A1A" w:rsidP="00497868">
            <w:pPr>
              <w:jc w:val="both"/>
              <w:rPr>
                <w:rFonts w:ascii="Aptos" w:hAnsi="Aptos"/>
                <w:color w:val="auto"/>
                <w:sz w:val="20"/>
                <w:szCs w:val="20"/>
              </w:rPr>
            </w:pPr>
            <w:r w:rsidRPr="00497868">
              <w:rPr>
                <w:rFonts w:ascii="Aptos" w:hAnsi="Aptos"/>
                <w:color w:val="auto"/>
                <w:sz w:val="20"/>
                <w:szCs w:val="20"/>
              </w:rPr>
              <w:t>[Change]</w:t>
            </w:r>
          </w:p>
        </w:tc>
        <w:tc>
          <w:tcPr>
            <w:tcW w:w="2340" w:type="dxa"/>
          </w:tcPr>
          <w:p w14:paraId="158D60C4" w14:textId="77777777" w:rsidR="00322A1A" w:rsidRPr="00497868" w:rsidRDefault="00322A1A" w:rsidP="00497868">
            <w:pPr>
              <w:jc w:val="both"/>
              <w:rPr>
                <w:rFonts w:ascii="Aptos" w:hAnsi="Aptos"/>
                <w:color w:val="auto"/>
                <w:sz w:val="20"/>
                <w:szCs w:val="20"/>
              </w:rPr>
            </w:pPr>
            <w:r w:rsidRPr="00497868">
              <w:rPr>
                <w:rFonts w:ascii="Aptos" w:hAnsi="Aptos"/>
                <w:color w:val="auto"/>
                <w:sz w:val="20"/>
                <w:szCs w:val="20"/>
              </w:rPr>
              <w:t>[Section]</w:t>
            </w:r>
          </w:p>
        </w:tc>
        <w:tc>
          <w:tcPr>
            <w:tcW w:w="1885" w:type="dxa"/>
          </w:tcPr>
          <w:p w14:paraId="6BC60961" w14:textId="77777777" w:rsidR="00322A1A" w:rsidRPr="00497868" w:rsidRDefault="00322A1A" w:rsidP="00497868">
            <w:pPr>
              <w:jc w:val="both"/>
              <w:rPr>
                <w:rFonts w:ascii="Aptos" w:hAnsi="Aptos"/>
                <w:color w:val="auto"/>
                <w:sz w:val="20"/>
                <w:szCs w:val="20"/>
              </w:rPr>
            </w:pPr>
          </w:p>
        </w:tc>
      </w:tr>
    </w:tbl>
    <w:p w14:paraId="1393E271" w14:textId="77777777" w:rsidR="00322A1A" w:rsidRPr="00497868" w:rsidRDefault="00322A1A" w:rsidP="00497868">
      <w:pPr>
        <w:jc w:val="both"/>
        <w:rPr>
          <w:rFonts w:ascii="Aptos" w:hAnsi="Aptos"/>
          <w:color w:val="auto"/>
          <w:sz w:val="20"/>
          <w:szCs w:val="20"/>
        </w:rPr>
      </w:pPr>
    </w:p>
    <w:p w14:paraId="2B62B64F" w14:textId="08090347" w:rsidR="00322A1A" w:rsidRPr="00497868" w:rsidRDefault="00322A1A" w:rsidP="00497868">
      <w:pPr>
        <w:jc w:val="both"/>
        <w:rPr>
          <w:rFonts w:ascii="Aptos" w:hAnsi="Aptos"/>
          <w:color w:val="auto"/>
          <w:sz w:val="20"/>
          <w:szCs w:val="20"/>
        </w:rPr>
      </w:pPr>
      <w:r w:rsidRPr="00497868">
        <w:rPr>
          <w:rFonts w:ascii="Aptos" w:hAnsi="Aptos"/>
          <w:color w:val="auto"/>
          <w:sz w:val="20"/>
          <w:szCs w:val="20"/>
        </w:rPr>
        <w:t xml:space="preserve">General comments and change requests should be sent to </w:t>
      </w:r>
      <w:hyperlink r:id="rId15" w:history="1">
        <w:r w:rsidR="0049535D" w:rsidRPr="00497868">
          <w:rPr>
            <w:rStyle w:val="Hyperlink"/>
            <w:rFonts w:ascii="Aptos" w:hAnsi="Aptos"/>
            <w:sz w:val="20"/>
            <w:szCs w:val="20"/>
          </w:rPr>
          <w:t>Secretariat@cyberriskinstitute.org</w:t>
        </w:r>
      </w:hyperlink>
      <w:r w:rsidRPr="00497868">
        <w:rPr>
          <w:rFonts w:ascii="Aptos" w:hAnsi="Aptos"/>
          <w:color w:val="auto"/>
          <w:sz w:val="20"/>
          <w:szCs w:val="20"/>
        </w:rPr>
        <w:t xml:space="preserve"> and will be reviewed at least semi-annually.</w:t>
      </w:r>
    </w:p>
    <w:p w14:paraId="04F8C374" w14:textId="77777777" w:rsidR="00322A1A" w:rsidRDefault="00322A1A" w:rsidP="00322A1A">
      <w:pPr>
        <w:jc w:val="both"/>
        <w:rPr>
          <w:rFonts w:ascii="Aptos" w:eastAsia="Times New Roman" w:hAnsi="Aptos" w:cs="Times New Roman"/>
          <w:b/>
          <w:bCs/>
          <w:color w:val="34246B" w:themeColor="accent2"/>
          <w:sz w:val="32"/>
        </w:rPr>
      </w:pPr>
      <w:r>
        <w:rPr>
          <w:rFonts w:ascii="Aptos" w:hAnsi="Aptos"/>
          <w:b/>
          <w:bCs/>
          <w:color w:val="34246B" w:themeColor="accent2"/>
        </w:rPr>
        <w:br w:type="page"/>
      </w:r>
    </w:p>
    <w:p w14:paraId="6044F66A" w14:textId="0B4B01B5" w:rsidR="004A5052" w:rsidRPr="00497868" w:rsidRDefault="00F306DD" w:rsidP="00497868">
      <w:pPr>
        <w:pStyle w:val="Heading1"/>
        <w:spacing w:after="0"/>
        <w:jc w:val="both"/>
        <w:rPr>
          <w:rFonts w:ascii="Aptos" w:hAnsi="Aptos"/>
          <w:b/>
          <w:bCs/>
          <w:color w:val="34246B" w:themeColor="accent2"/>
          <w:sz w:val="28"/>
          <w:szCs w:val="28"/>
        </w:rPr>
      </w:pPr>
      <w:bookmarkStart w:id="18" w:name="_Toc203286674"/>
      <w:bookmarkStart w:id="19" w:name="_Toc221009646"/>
      <w:r w:rsidRPr="00497868">
        <w:rPr>
          <w:rFonts w:ascii="Aptos" w:hAnsi="Aptos"/>
          <w:b/>
          <w:bCs/>
          <w:color w:val="34246B" w:themeColor="accent2"/>
          <w:sz w:val="28"/>
          <w:szCs w:val="28"/>
        </w:rPr>
        <w:lastRenderedPageBreak/>
        <w:t>INTRODUCTION</w:t>
      </w:r>
      <w:bookmarkEnd w:id="18"/>
      <w:bookmarkEnd w:id="19"/>
    </w:p>
    <w:p w14:paraId="57D34D2F" w14:textId="77777777" w:rsidR="004A5052" w:rsidRPr="00BF0C10" w:rsidRDefault="004A5052" w:rsidP="00497868">
      <w:pPr>
        <w:pStyle w:val="Heading15"/>
        <w:spacing w:before="0" w:after="0"/>
        <w:jc w:val="both"/>
        <w:rPr>
          <w:rFonts w:ascii="Aptos" w:hAnsi="Aptos"/>
          <w:color w:val="B31E3E" w:themeColor="accent1"/>
          <w:sz w:val="20"/>
          <w:szCs w:val="20"/>
          <w:u w:val="single"/>
        </w:rPr>
      </w:pPr>
    </w:p>
    <w:p w14:paraId="627C2624" w14:textId="5973D6F3" w:rsidR="00442167" w:rsidRPr="00497868" w:rsidRDefault="00442167" w:rsidP="00497868">
      <w:pPr>
        <w:pStyle w:val="Heading15"/>
        <w:spacing w:before="0" w:after="0"/>
        <w:jc w:val="both"/>
        <w:rPr>
          <w:rFonts w:ascii="Aptos" w:hAnsi="Aptos"/>
          <w:color w:val="B31E3E" w:themeColor="accent1"/>
          <w:sz w:val="24"/>
          <w:u w:val="single"/>
        </w:rPr>
      </w:pPr>
      <w:bookmarkStart w:id="20" w:name="_Toc203286675"/>
      <w:bookmarkStart w:id="21" w:name="_Toc221009647"/>
      <w:r w:rsidRPr="00497868">
        <w:rPr>
          <w:rFonts w:ascii="Aptos" w:hAnsi="Aptos"/>
          <w:color w:val="B31E3E" w:themeColor="accent1"/>
          <w:sz w:val="24"/>
          <w:u w:val="single"/>
        </w:rPr>
        <w:t>Background</w:t>
      </w:r>
      <w:bookmarkEnd w:id="20"/>
      <w:r w:rsidR="008013E9" w:rsidRPr="00497868">
        <w:rPr>
          <w:rFonts w:ascii="Aptos" w:hAnsi="Aptos"/>
          <w:color w:val="B31E3E" w:themeColor="accent1"/>
          <w:sz w:val="24"/>
          <w:u w:val="single"/>
        </w:rPr>
        <w:t xml:space="preserve"> and Motivation</w:t>
      </w:r>
      <w:bookmarkEnd w:id="21"/>
    </w:p>
    <w:p w14:paraId="1D65B923" w14:textId="77777777" w:rsidR="00442167" w:rsidRPr="00BF0C10" w:rsidRDefault="00442167" w:rsidP="00497868">
      <w:pPr>
        <w:pStyle w:val="Heading15"/>
        <w:spacing w:before="0" w:after="0"/>
        <w:jc w:val="both"/>
        <w:rPr>
          <w:rFonts w:ascii="Aptos" w:hAnsi="Aptos"/>
          <w:color w:val="B31E3E" w:themeColor="accent1"/>
          <w:sz w:val="20"/>
          <w:szCs w:val="20"/>
          <w:u w:val="single"/>
        </w:rPr>
      </w:pPr>
    </w:p>
    <w:p w14:paraId="4D69B346" w14:textId="0B8C550E" w:rsidR="00DB62CA" w:rsidRPr="00497868" w:rsidRDefault="0089755F" w:rsidP="00497868">
      <w:pPr>
        <w:jc w:val="both"/>
        <w:rPr>
          <w:rFonts w:ascii="Aptos" w:hAnsi="Aptos"/>
          <w:color w:val="auto"/>
          <w:sz w:val="20"/>
          <w:szCs w:val="20"/>
        </w:rPr>
      </w:pPr>
      <w:bookmarkStart w:id="22" w:name="_Toc203286676"/>
      <w:r>
        <w:rPr>
          <w:rFonts w:ascii="Aptos" w:hAnsi="Aptos"/>
          <w:color w:val="auto"/>
          <w:sz w:val="20"/>
          <w:szCs w:val="20"/>
        </w:rPr>
        <w:t>As</w:t>
      </w:r>
      <w:r w:rsidR="00DB62CA" w:rsidRPr="00497868">
        <w:rPr>
          <w:rFonts w:ascii="Aptos" w:hAnsi="Aptos"/>
          <w:color w:val="auto"/>
          <w:sz w:val="20"/>
          <w:szCs w:val="20"/>
        </w:rPr>
        <w:t xml:space="preserve"> </w:t>
      </w:r>
      <w:r w:rsidR="00C70264" w:rsidRPr="00497868">
        <w:rPr>
          <w:rFonts w:ascii="Aptos" w:hAnsi="Aptos"/>
          <w:color w:val="auto"/>
          <w:sz w:val="20"/>
          <w:szCs w:val="20"/>
        </w:rPr>
        <w:t>AI adoption</w:t>
      </w:r>
      <w:r w:rsidR="00DB62CA" w:rsidRPr="00497868">
        <w:rPr>
          <w:rFonts w:ascii="Aptos" w:hAnsi="Aptos"/>
          <w:color w:val="auto"/>
          <w:sz w:val="20"/>
          <w:szCs w:val="20"/>
        </w:rPr>
        <w:t xml:space="preserve"> in the financial sector continues to accelerate, it introduces</w:t>
      </w:r>
      <w:r w:rsidR="00887397" w:rsidRPr="00497868">
        <w:rPr>
          <w:rFonts w:ascii="Aptos" w:hAnsi="Aptos"/>
          <w:color w:val="auto"/>
          <w:sz w:val="20"/>
          <w:szCs w:val="20"/>
        </w:rPr>
        <w:t xml:space="preserve"> </w:t>
      </w:r>
      <w:r w:rsidR="002C139A" w:rsidRPr="00497868">
        <w:rPr>
          <w:rFonts w:ascii="Aptos" w:hAnsi="Aptos"/>
          <w:color w:val="auto"/>
          <w:sz w:val="20"/>
          <w:szCs w:val="20"/>
        </w:rPr>
        <w:t xml:space="preserve">significant </w:t>
      </w:r>
      <w:r w:rsidR="00887397" w:rsidRPr="00497868">
        <w:rPr>
          <w:rFonts w:ascii="Aptos" w:hAnsi="Aptos"/>
          <w:color w:val="auto"/>
          <w:sz w:val="20"/>
          <w:szCs w:val="20"/>
        </w:rPr>
        <w:t>opportunities</w:t>
      </w:r>
      <w:r w:rsidR="00ED1837" w:rsidRPr="00497868">
        <w:rPr>
          <w:rFonts w:ascii="Aptos" w:hAnsi="Aptos"/>
          <w:color w:val="auto"/>
          <w:sz w:val="20"/>
          <w:szCs w:val="20"/>
        </w:rPr>
        <w:t xml:space="preserve"> as well as</w:t>
      </w:r>
      <w:r w:rsidR="00DB62CA" w:rsidRPr="00497868">
        <w:rPr>
          <w:rFonts w:ascii="Aptos" w:hAnsi="Aptos"/>
          <w:color w:val="auto"/>
          <w:sz w:val="20"/>
          <w:szCs w:val="20"/>
        </w:rPr>
        <w:t xml:space="preserve"> risks—such as bias, opacity, cybersecurity vulnerabilities, and systemic interdependencies—that existing frameworks are not designed to address. </w:t>
      </w:r>
      <w:r w:rsidR="00404D5B" w:rsidRPr="00497868">
        <w:rPr>
          <w:rFonts w:ascii="Aptos" w:hAnsi="Aptos"/>
          <w:color w:val="auto"/>
          <w:sz w:val="20"/>
          <w:szCs w:val="20"/>
        </w:rPr>
        <w:t>M</w:t>
      </w:r>
      <w:r w:rsidR="00DB62CA" w:rsidRPr="00497868">
        <w:rPr>
          <w:rFonts w:ascii="Aptos" w:hAnsi="Aptos"/>
          <w:color w:val="auto"/>
          <w:sz w:val="20"/>
          <w:szCs w:val="20"/>
        </w:rPr>
        <w:t xml:space="preserve">any organizations believe they align with the principles outlined in the 2023 NIST AI </w:t>
      </w:r>
      <w:r w:rsidR="00EE673A" w:rsidRPr="00497868">
        <w:rPr>
          <w:rFonts w:ascii="Aptos" w:hAnsi="Aptos"/>
          <w:color w:val="auto"/>
          <w:sz w:val="20"/>
          <w:szCs w:val="20"/>
        </w:rPr>
        <w:t>RMF</w:t>
      </w:r>
      <w:r w:rsidR="00DB62CA" w:rsidRPr="00497868">
        <w:rPr>
          <w:rFonts w:ascii="Aptos" w:hAnsi="Aptos"/>
          <w:color w:val="auto"/>
          <w:sz w:val="20"/>
          <w:szCs w:val="20"/>
        </w:rPr>
        <w:t>, but applying these principles to advanced AI systems, like large language models (LLMs), reveals gaps due to complexity and novelty</w:t>
      </w:r>
      <w:r w:rsidR="008D12C0" w:rsidRPr="00497868">
        <w:rPr>
          <w:rStyle w:val="FootnoteReference"/>
          <w:rFonts w:ascii="Aptos" w:hAnsi="Aptos"/>
          <w:color w:val="auto"/>
          <w:sz w:val="20"/>
          <w:szCs w:val="20"/>
        </w:rPr>
        <w:footnoteReference w:id="6"/>
      </w:r>
      <w:r w:rsidR="00DB62CA" w:rsidRPr="00497868">
        <w:rPr>
          <w:rFonts w:ascii="Aptos" w:hAnsi="Aptos"/>
          <w:color w:val="auto"/>
          <w:sz w:val="20"/>
          <w:szCs w:val="20"/>
        </w:rPr>
        <w:t>.</w:t>
      </w:r>
    </w:p>
    <w:p w14:paraId="6CD03382" w14:textId="77777777" w:rsidR="00DB62CA" w:rsidRPr="00497868" w:rsidRDefault="00DB62CA" w:rsidP="00497868">
      <w:pPr>
        <w:jc w:val="both"/>
        <w:rPr>
          <w:rFonts w:ascii="Aptos" w:hAnsi="Aptos"/>
          <w:color w:val="auto"/>
          <w:sz w:val="20"/>
          <w:szCs w:val="20"/>
        </w:rPr>
      </w:pPr>
    </w:p>
    <w:p w14:paraId="6B0F72F2" w14:textId="37EB484C" w:rsidR="00DB62CA" w:rsidRPr="00497868" w:rsidRDefault="00DB62CA" w:rsidP="00497868">
      <w:pPr>
        <w:jc w:val="both"/>
        <w:rPr>
          <w:rFonts w:ascii="Aptos" w:hAnsi="Aptos"/>
          <w:color w:val="auto"/>
          <w:sz w:val="20"/>
          <w:szCs w:val="20"/>
        </w:rPr>
      </w:pPr>
      <w:r w:rsidRPr="00497868">
        <w:rPr>
          <w:rFonts w:ascii="Aptos" w:hAnsi="Aptos"/>
          <w:color w:val="auto"/>
          <w:sz w:val="20"/>
          <w:szCs w:val="20"/>
        </w:rPr>
        <w:t>Experts emphasize that evaluating, benchmarking, and managing risks tied to such sophisticated models demand more practical, targeted guidance</w:t>
      </w:r>
      <w:r w:rsidR="003F18E4">
        <w:rPr>
          <w:rFonts w:ascii="Aptos" w:hAnsi="Aptos"/>
          <w:color w:val="auto"/>
          <w:sz w:val="20"/>
          <w:szCs w:val="20"/>
        </w:rPr>
        <w:t xml:space="preserve"> </w:t>
      </w:r>
      <w:r w:rsidRPr="00497868">
        <w:rPr>
          <w:rFonts w:ascii="Aptos" w:hAnsi="Aptos"/>
          <w:color w:val="auto"/>
          <w:sz w:val="20"/>
          <w:szCs w:val="20"/>
        </w:rPr>
        <w:t>beyond traditional risk frameworks. These models often pose unique challenges that include ensuring fairness, explainability, and cybersecurity resilience, which are difficult to assess with current standards based on conventional technology.</w:t>
      </w:r>
    </w:p>
    <w:p w14:paraId="7A64E677" w14:textId="77777777" w:rsidR="00DB62CA" w:rsidRPr="00497868" w:rsidRDefault="00DB62CA" w:rsidP="00497868">
      <w:pPr>
        <w:jc w:val="both"/>
        <w:rPr>
          <w:rFonts w:ascii="Aptos" w:hAnsi="Aptos"/>
          <w:color w:val="auto"/>
          <w:sz w:val="20"/>
          <w:szCs w:val="20"/>
        </w:rPr>
      </w:pPr>
    </w:p>
    <w:p w14:paraId="4AB9AB0B" w14:textId="00E7AA53" w:rsidR="00DB62CA" w:rsidRPr="00497868" w:rsidRDefault="00DB62CA" w:rsidP="00497868">
      <w:pPr>
        <w:jc w:val="both"/>
        <w:rPr>
          <w:rFonts w:ascii="Aptos" w:hAnsi="Aptos"/>
          <w:color w:val="auto"/>
          <w:sz w:val="20"/>
          <w:szCs w:val="20"/>
        </w:rPr>
      </w:pPr>
      <w:r w:rsidRPr="00497868">
        <w:rPr>
          <w:rFonts w:ascii="Aptos" w:hAnsi="Aptos"/>
          <w:color w:val="auto"/>
          <w:sz w:val="20"/>
          <w:szCs w:val="20"/>
        </w:rPr>
        <w:t xml:space="preserve">Recognizing this gap, the industry </w:t>
      </w:r>
      <w:r w:rsidR="00500C61" w:rsidRPr="00497868">
        <w:rPr>
          <w:rFonts w:ascii="Aptos" w:hAnsi="Aptos"/>
          <w:color w:val="auto"/>
          <w:sz w:val="20"/>
          <w:szCs w:val="20"/>
        </w:rPr>
        <w:t>seeks</w:t>
      </w:r>
      <w:r w:rsidRPr="00497868">
        <w:rPr>
          <w:rFonts w:ascii="Aptos" w:hAnsi="Aptos"/>
          <w:color w:val="auto"/>
          <w:sz w:val="20"/>
          <w:szCs w:val="20"/>
        </w:rPr>
        <w:t xml:space="preserve"> a tailored AI risk management approach—one that evolves with AI technological advances and supports financial institutions in deploying AI responsibly, securely, and transparently. Developing such a framework </w:t>
      </w:r>
      <w:r w:rsidR="00107563" w:rsidRPr="00497868">
        <w:rPr>
          <w:rFonts w:ascii="Aptos" w:hAnsi="Aptos"/>
          <w:color w:val="auto"/>
          <w:sz w:val="20"/>
          <w:szCs w:val="20"/>
        </w:rPr>
        <w:t xml:space="preserve">aims to </w:t>
      </w:r>
      <w:r w:rsidR="0075077A" w:rsidRPr="00497868">
        <w:rPr>
          <w:rFonts w:ascii="Aptos" w:hAnsi="Aptos"/>
          <w:color w:val="auto"/>
          <w:sz w:val="20"/>
          <w:szCs w:val="20"/>
        </w:rPr>
        <w:t>strengthen governance, foster</w:t>
      </w:r>
      <w:r w:rsidRPr="00497868">
        <w:rPr>
          <w:rFonts w:ascii="Aptos" w:hAnsi="Aptos"/>
          <w:color w:val="auto"/>
          <w:sz w:val="20"/>
          <w:szCs w:val="20"/>
        </w:rPr>
        <w:t xml:space="preserve"> trust, mitigate risks, and ensure </w:t>
      </w:r>
      <w:r w:rsidR="006B5D89" w:rsidRPr="00497868">
        <w:rPr>
          <w:rFonts w:ascii="Aptos" w:hAnsi="Aptos"/>
          <w:color w:val="auto"/>
          <w:sz w:val="20"/>
          <w:szCs w:val="20"/>
        </w:rPr>
        <w:t xml:space="preserve">that </w:t>
      </w:r>
      <w:r w:rsidRPr="00497868">
        <w:rPr>
          <w:rFonts w:ascii="Aptos" w:hAnsi="Aptos"/>
          <w:color w:val="auto"/>
          <w:sz w:val="20"/>
          <w:szCs w:val="20"/>
        </w:rPr>
        <w:t>AI-driven innovation benefits the financial ecosystem without introducing undue vulnerabilities.</w:t>
      </w:r>
    </w:p>
    <w:p w14:paraId="3A1509B9" w14:textId="77777777" w:rsidR="00DB62CA" w:rsidRPr="00BF0C10" w:rsidRDefault="00DB62CA" w:rsidP="00497868">
      <w:pPr>
        <w:jc w:val="both"/>
        <w:rPr>
          <w:rFonts w:ascii="Aptos" w:hAnsi="Aptos"/>
          <w:color w:val="auto"/>
          <w:sz w:val="20"/>
          <w:szCs w:val="20"/>
        </w:rPr>
      </w:pPr>
    </w:p>
    <w:p w14:paraId="40B88006" w14:textId="164CDA77" w:rsidR="00D21B14" w:rsidRPr="00497868" w:rsidRDefault="00D21B14" w:rsidP="00497868">
      <w:pPr>
        <w:pStyle w:val="Heading15"/>
        <w:spacing w:before="0" w:after="0"/>
        <w:jc w:val="both"/>
        <w:rPr>
          <w:rFonts w:ascii="Aptos" w:hAnsi="Aptos"/>
          <w:color w:val="B31E3E" w:themeColor="accent1"/>
          <w:sz w:val="24"/>
          <w:u w:val="single"/>
        </w:rPr>
      </w:pPr>
      <w:bookmarkStart w:id="23" w:name="_Toc221009648"/>
      <w:r w:rsidRPr="00497868">
        <w:rPr>
          <w:rFonts w:ascii="Aptos" w:hAnsi="Aptos"/>
          <w:color w:val="B31E3E" w:themeColor="accent1"/>
          <w:sz w:val="24"/>
          <w:u w:val="single"/>
        </w:rPr>
        <w:t>Purpose and Benefits</w:t>
      </w:r>
      <w:bookmarkEnd w:id="22"/>
      <w:bookmarkEnd w:id="23"/>
    </w:p>
    <w:p w14:paraId="0114499D" w14:textId="77777777" w:rsidR="00D21B14" w:rsidRPr="00BF0C10" w:rsidRDefault="00D21B14" w:rsidP="00497868">
      <w:pPr>
        <w:jc w:val="both"/>
        <w:rPr>
          <w:rFonts w:ascii="Aptos" w:hAnsi="Aptos"/>
          <w:sz w:val="20"/>
          <w:szCs w:val="20"/>
        </w:rPr>
      </w:pPr>
    </w:p>
    <w:p w14:paraId="5BFF3A1D" w14:textId="7ABC734B" w:rsidR="00EC7EA3" w:rsidRPr="00497868" w:rsidRDefault="00EC7EA3" w:rsidP="00497868">
      <w:pPr>
        <w:jc w:val="both"/>
        <w:rPr>
          <w:rFonts w:ascii="Aptos" w:hAnsi="Aptos"/>
          <w:color w:val="auto"/>
          <w:sz w:val="20"/>
          <w:szCs w:val="20"/>
        </w:rPr>
      </w:pPr>
      <w:r w:rsidRPr="00497868">
        <w:rPr>
          <w:rFonts w:ascii="Aptos" w:hAnsi="Aptos"/>
          <w:color w:val="auto"/>
          <w:sz w:val="20"/>
          <w:szCs w:val="20"/>
        </w:rPr>
        <w:t xml:space="preserve">In response to industry recognition of the limitations of existing frameworks and the need for targeted guidance, the FS AI RMF Guidebook aims to: (1) help organizations implement the FS AI RMF effectively, and (2) promote sector-wide adoption and understanding of the Framework. It provides detailed guidance on </w:t>
      </w:r>
      <w:r w:rsidR="007A2EDB">
        <w:rPr>
          <w:rFonts w:ascii="Aptos" w:hAnsi="Aptos"/>
          <w:color w:val="auto"/>
          <w:sz w:val="20"/>
          <w:szCs w:val="20"/>
        </w:rPr>
        <w:t xml:space="preserve">the </w:t>
      </w:r>
      <w:r w:rsidR="008E7D79" w:rsidRPr="00497868">
        <w:rPr>
          <w:rFonts w:ascii="Aptos" w:hAnsi="Aptos"/>
          <w:color w:val="auto"/>
          <w:sz w:val="20"/>
          <w:szCs w:val="20"/>
        </w:rPr>
        <w:t>230</w:t>
      </w:r>
      <w:r w:rsidRPr="00497868">
        <w:rPr>
          <w:rFonts w:ascii="Aptos" w:hAnsi="Aptos"/>
          <w:color w:val="auto"/>
          <w:sz w:val="20"/>
          <w:szCs w:val="20"/>
        </w:rPr>
        <w:t xml:space="preserve"> </w:t>
      </w:r>
      <w:r w:rsidR="007A2EDB">
        <w:rPr>
          <w:rFonts w:ascii="Aptos" w:hAnsi="Aptos"/>
          <w:color w:val="auto"/>
          <w:sz w:val="20"/>
          <w:szCs w:val="20"/>
        </w:rPr>
        <w:t>C</w:t>
      </w:r>
      <w:r w:rsidRPr="00497868">
        <w:rPr>
          <w:rFonts w:ascii="Aptos" w:hAnsi="Aptos"/>
          <w:color w:val="auto"/>
          <w:sz w:val="20"/>
          <w:szCs w:val="20"/>
        </w:rPr>
        <w:t xml:space="preserve">ontrol </w:t>
      </w:r>
      <w:r w:rsidR="007A2EDB">
        <w:rPr>
          <w:rFonts w:ascii="Aptos" w:hAnsi="Aptos"/>
          <w:color w:val="auto"/>
          <w:sz w:val="20"/>
          <w:szCs w:val="20"/>
        </w:rPr>
        <w:t>O</w:t>
      </w:r>
      <w:r w:rsidRPr="00497868">
        <w:rPr>
          <w:rFonts w:ascii="Aptos" w:hAnsi="Aptos"/>
          <w:color w:val="auto"/>
          <w:sz w:val="20"/>
          <w:szCs w:val="20"/>
        </w:rPr>
        <w:t>bjectives</w:t>
      </w:r>
      <w:r w:rsidR="007A2EDB">
        <w:rPr>
          <w:rFonts w:ascii="Aptos" w:hAnsi="Aptos"/>
          <w:color w:val="auto"/>
          <w:sz w:val="20"/>
          <w:szCs w:val="20"/>
        </w:rPr>
        <w:t xml:space="preserve"> described in the RCM</w:t>
      </w:r>
      <w:r w:rsidRPr="00497868">
        <w:rPr>
          <w:rFonts w:ascii="Aptos" w:hAnsi="Aptos"/>
          <w:color w:val="auto"/>
          <w:sz w:val="20"/>
          <w:szCs w:val="20"/>
        </w:rPr>
        <w:t xml:space="preserve">, aligned with </w:t>
      </w:r>
      <w:r w:rsidR="00294777">
        <w:rPr>
          <w:rFonts w:ascii="Aptos" w:hAnsi="Aptos"/>
          <w:color w:val="auto"/>
          <w:sz w:val="20"/>
          <w:szCs w:val="20"/>
        </w:rPr>
        <w:t xml:space="preserve">the four stages of </w:t>
      </w:r>
      <w:r w:rsidRPr="00497868">
        <w:rPr>
          <w:rFonts w:ascii="Aptos" w:hAnsi="Aptos"/>
          <w:color w:val="auto"/>
          <w:sz w:val="20"/>
          <w:szCs w:val="20"/>
        </w:rPr>
        <w:t>AI adoption</w:t>
      </w:r>
      <w:r w:rsidR="00294777">
        <w:rPr>
          <w:rFonts w:ascii="Aptos" w:hAnsi="Aptos"/>
          <w:color w:val="auto"/>
          <w:sz w:val="20"/>
          <w:szCs w:val="20"/>
        </w:rPr>
        <w:t xml:space="preserve"> defined in the AI Adoption Stage Questionnaire</w:t>
      </w:r>
      <w:r w:rsidRPr="00497868">
        <w:rPr>
          <w:rFonts w:ascii="Aptos" w:hAnsi="Aptos"/>
          <w:color w:val="auto"/>
          <w:sz w:val="20"/>
          <w:szCs w:val="20"/>
        </w:rPr>
        <w:t>.</w:t>
      </w:r>
    </w:p>
    <w:p w14:paraId="04B949BC" w14:textId="77777777" w:rsidR="00EC7EA3" w:rsidRPr="00497868" w:rsidRDefault="00EC7EA3" w:rsidP="00497868">
      <w:pPr>
        <w:jc w:val="both"/>
        <w:rPr>
          <w:rFonts w:ascii="Aptos" w:hAnsi="Aptos"/>
          <w:color w:val="auto"/>
          <w:sz w:val="20"/>
          <w:szCs w:val="20"/>
        </w:rPr>
      </w:pPr>
    </w:p>
    <w:p w14:paraId="6F13907D" w14:textId="320725E0" w:rsidR="00EC7EA3" w:rsidRPr="00497868" w:rsidRDefault="00EC7EA3" w:rsidP="00497868">
      <w:pPr>
        <w:jc w:val="both"/>
        <w:rPr>
          <w:rFonts w:ascii="Aptos" w:hAnsi="Aptos"/>
          <w:color w:val="auto"/>
          <w:sz w:val="20"/>
          <w:szCs w:val="20"/>
        </w:rPr>
      </w:pPr>
      <w:r w:rsidRPr="00497868">
        <w:rPr>
          <w:rFonts w:ascii="Aptos" w:hAnsi="Aptos"/>
          <w:color w:val="auto"/>
          <w:sz w:val="20"/>
          <w:szCs w:val="20"/>
        </w:rPr>
        <w:t xml:space="preserve">Building on ongoing efforts to address AI risks, </w:t>
      </w:r>
      <w:r w:rsidR="002C662E">
        <w:rPr>
          <w:rFonts w:ascii="Aptos" w:hAnsi="Aptos"/>
          <w:color w:val="auto"/>
          <w:sz w:val="20"/>
          <w:szCs w:val="20"/>
        </w:rPr>
        <w:t>this</w:t>
      </w:r>
      <w:r w:rsidRPr="00497868">
        <w:rPr>
          <w:rFonts w:ascii="Aptos" w:hAnsi="Aptos"/>
          <w:color w:val="auto"/>
          <w:sz w:val="20"/>
          <w:szCs w:val="20"/>
        </w:rPr>
        <w:t xml:space="preserve"> Guidebook supports consistent evaluation, benchmarking, and maturity in AI governance. It offers practical guidance for developing, implementing, and maturing AI </w:t>
      </w:r>
      <w:r w:rsidR="00A541EF" w:rsidRPr="00497868">
        <w:rPr>
          <w:rFonts w:ascii="Aptos" w:hAnsi="Aptos"/>
          <w:color w:val="auto"/>
          <w:sz w:val="20"/>
          <w:szCs w:val="20"/>
        </w:rPr>
        <w:t xml:space="preserve">risk and </w:t>
      </w:r>
      <w:r w:rsidRPr="00497868">
        <w:rPr>
          <w:rFonts w:ascii="Aptos" w:hAnsi="Aptos"/>
          <w:color w:val="auto"/>
          <w:sz w:val="20"/>
          <w:szCs w:val="20"/>
        </w:rPr>
        <w:t xml:space="preserve">control </w:t>
      </w:r>
      <w:r w:rsidR="00A541EF" w:rsidRPr="00497868">
        <w:rPr>
          <w:rFonts w:ascii="Aptos" w:hAnsi="Aptos"/>
          <w:color w:val="auto"/>
          <w:sz w:val="20"/>
          <w:szCs w:val="20"/>
        </w:rPr>
        <w:t>programs</w:t>
      </w:r>
      <w:r w:rsidRPr="00497868">
        <w:rPr>
          <w:rFonts w:ascii="Aptos" w:hAnsi="Aptos"/>
          <w:color w:val="auto"/>
          <w:sz w:val="20"/>
          <w:szCs w:val="20"/>
        </w:rPr>
        <w:t xml:space="preserve">, fostering trust among stakeholders, and demonstrating a commitment to responsible AI deployment. Ultimately, </w:t>
      </w:r>
      <w:r w:rsidR="00367460" w:rsidRPr="00497868">
        <w:rPr>
          <w:rFonts w:ascii="Aptos" w:hAnsi="Aptos"/>
          <w:color w:val="auto"/>
          <w:sz w:val="20"/>
          <w:szCs w:val="20"/>
        </w:rPr>
        <w:t xml:space="preserve">it enables </w:t>
      </w:r>
      <w:r w:rsidRPr="00497868">
        <w:rPr>
          <w:rFonts w:ascii="Aptos" w:hAnsi="Aptos"/>
          <w:color w:val="auto"/>
          <w:sz w:val="20"/>
          <w:szCs w:val="20"/>
        </w:rPr>
        <w:t xml:space="preserve">organizations </w:t>
      </w:r>
      <w:r w:rsidR="00367460" w:rsidRPr="00497868">
        <w:rPr>
          <w:rFonts w:ascii="Aptos" w:hAnsi="Aptos"/>
          <w:color w:val="auto"/>
          <w:sz w:val="20"/>
          <w:szCs w:val="20"/>
        </w:rPr>
        <w:t>to</w:t>
      </w:r>
      <w:r w:rsidRPr="00497868">
        <w:rPr>
          <w:rFonts w:ascii="Aptos" w:hAnsi="Aptos"/>
          <w:color w:val="auto"/>
          <w:sz w:val="20"/>
          <w:szCs w:val="20"/>
        </w:rPr>
        <w:t xml:space="preserve"> better manage risks</w:t>
      </w:r>
      <w:r w:rsidR="00367460" w:rsidRPr="00497868">
        <w:rPr>
          <w:rFonts w:ascii="Aptos" w:hAnsi="Aptos"/>
          <w:color w:val="auto"/>
          <w:sz w:val="20"/>
          <w:szCs w:val="20"/>
        </w:rPr>
        <w:t xml:space="preserve"> and</w:t>
      </w:r>
      <w:r w:rsidRPr="00497868">
        <w:rPr>
          <w:rFonts w:ascii="Aptos" w:hAnsi="Aptos"/>
          <w:color w:val="auto"/>
          <w:sz w:val="20"/>
          <w:szCs w:val="20"/>
        </w:rPr>
        <w:t xml:space="preserve"> capitalize on AI benefits</w:t>
      </w:r>
      <w:r w:rsidR="002C5CE9" w:rsidRPr="00497868">
        <w:rPr>
          <w:rFonts w:ascii="Aptos" w:hAnsi="Aptos"/>
          <w:color w:val="auto"/>
          <w:sz w:val="20"/>
          <w:szCs w:val="20"/>
        </w:rPr>
        <w:t xml:space="preserve"> to</w:t>
      </w:r>
      <w:r w:rsidRPr="00497868">
        <w:rPr>
          <w:rFonts w:ascii="Aptos" w:hAnsi="Aptos"/>
          <w:color w:val="auto"/>
          <w:sz w:val="20"/>
          <w:szCs w:val="20"/>
        </w:rPr>
        <w:t xml:space="preserve"> build a resilient, innovative financial </w:t>
      </w:r>
      <w:r w:rsidR="002C5CE9" w:rsidRPr="00497868">
        <w:rPr>
          <w:rFonts w:ascii="Aptos" w:hAnsi="Aptos"/>
          <w:color w:val="auto"/>
          <w:sz w:val="20"/>
          <w:szCs w:val="20"/>
        </w:rPr>
        <w:t xml:space="preserve">services </w:t>
      </w:r>
      <w:r w:rsidRPr="00497868">
        <w:rPr>
          <w:rFonts w:ascii="Aptos" w:hAnsi="Aptos"/>
          <w:color w:val="auto"/>
          <w:sz w:val="20"/>
          <w:szCs w:val="20"/>
        </w:rPr>
        <w:t>industry.</w:t>
      </w:r>
    </w:p>
    <w:p w14:paraId="00E61B76" w14:textId="77777777" w:rsidR="00D21B14" w:rsidRPr="00BF0C10" w:rsidRDefault="00D21B14" w:rsidP="00497868">
      <w:pPr>
        <w:jc w:val="both"/>
        <w:rPr>
          <w:rFonts w:ascii="Aptos" w:hAnsi="Aptos"/>
          <w:sz w:val="20"/>
          <w:szCs w:val="20"/>
        </w:rPr>
      </w:pPr>
    </w:p>
    <w:p w14:paraId="726F98CF" w14:textId="3D13B922" w:rsidR="00AB4BF3" w:rsidRPr="00497868" w:rsidRDefault="00AB4BF3" w:rsidP="00497868">
      <w:pPr>
        <w:pStyle w:val="Heading15"/>
        <w:spacing w:before="0" w:after="0"/>
        <w:jc w:val="both"/>
        <w:rPr>
          <w:rFonts w:ascii="Aptos" w:hAnsi="Aptos"/>
          <w:color w:val="B31E3E" w:themeColor="accent1"/>
          <w:sz w:val="24"/>
          <w:u w:val="single"/>
        </w:rPr>
      </w:pPr>
      <w:bookmarkStart w:id="24" w:name="_Toc203286677"/>
      <w:bookmarkStart w:id="25" w:name="_Toc221009649"/>
      <w:r w:rsidRPr="00497868">
        <w:rPr>
          <w:rFonts w:ascii="Aptos" w:hAnsi="Aptos"/>
          <w:color w:val="B31E3E" w:themeColor="accent1"/>
          <w:sz w:val="24"/>
          <w:u w:val="single"/>
        </w:rPr>
        <w:t>Audience</w:t>
      </w:r>
      <w:bookmarkEnd w:id="24"/>
      <w:bookmarkEnd w:id="25"/>
    </w:p>
    <w:p w14:paraId="6CF3C21E" w14:textId="77777777" w:rsidR="00D21B14" w:rsidRPr="00BF0C10" w:rsidRDefault="00D21B14" w:rsidP="00497868">
      <w:pPr>
        <w:jc w:val="both"/>
        <w:rPr>
          <w:rFonts w:ascii="Aptos" w:hAnsi="Aptos"/>
          <w:color w:val="auto"/>
          <w:sz w:val="20"/>
          <w:szCs w:val="20"/>
        </w:rPr>
      </w:pPr>
    </w:p>
    <w:p w14:paraId="2D376445" w14:textId="3394D527" w:rsidR="003E0342" w:rsidRPr="00497868" w:rsidRDefault="00D50B66" w:rsidP="00497868">
      <w:pPr>
        <w:jc w:val="both"/>
        <w:rPr>
          <w:rFonts w:ascii="Aptos" w:hAnsi="Aptos"/>
          <w:color w:val="auto"/>
          <w:sz w:val="20"/>
          <w:szCs w:val="20"/>
        </w:rPr>
      </w:pPr>
      <w:r w:rsidRPr="00497868">
        <w:rPr>
          <w:rFonts w:ascii="Aptos" w:hAnsi="Aptos"/>
          <w:color w:val="auto"/>
          <w:sz w:val="20"/>
          <w:szCs w:val="20"/>
        </w:rPr>
        <w:t xml:space="preserve">The FS AI RMF is designed for all financial institutions, regardless of size, type, complexity, or criticality. It provides a structured approach that both organizations and their third-party providers can use to </w:t>
      </w:r>
      <w:r w:rsidR="00AB3976" w:rsidRPr="00497868">
        <w:rPr>
          <w:rFonts w:ascii="Aptos" w:hAnsi="Aptos"/>
          <w:color w:val="auto"/>
          <w:sz w:val="20"/>
          <w:szCs w:val="20"/>
        </w:rPr>
        <w:t xml:space="preserve">evaluate and manage </w:t>
      </w:r>
      <w:r w:rsidRPr="00497868">
        <w:rPr>
          <w:rFonts w:ascii="Aptos" w:hAnsi="Aptos"/>
          <w:color w:val="auto"/>
          <w:sz w:val="20"/>
          <w:szCs w:val="20"/>
        </w:rPr>
        <w:t>AI-related risks throughout the supply chain.</w:t>
      </w:r>
      <w:r w:rsidR="003E0342" w:rsidRPr="00497868">
        <w:rPr>
          <w:rFonts w:ascii="Aptos" w:hAnsi="Aptos"/>
          <w:color w:val="auto"/>
          <w:sz w:val="20"/>
          <w:szCs w:val="20"/>
        </w:rPr>
        <w:t xml:space="preserve"> While the Framework does not assign specific roles to particular objectives or activities, many</w:t>
      </w:r>
      <w:r w:rsidR="002A2117" w:rsidRPr="00497868">
        <w:rPr>
          <w:rFonts w:ascii="Aptos" w:hAnsi="Aptos"/>
          <w:color w:val="auto"/>
          <w:sz w:val="20"/>
          <w:szCs w:val="20"/>
        </w:rPr>
        <w:t xml:space="preserve"> types of</w:t>
      </w:r>
      <w:r w:rsidR="003E0342" w:rsidRPr="00497868">
        <w:rPr>
          <w:rFonts w:ascii="Aptos" w:hAnsi="Aptos"/>
          <w:color w:val="auto"/>
          <w:sz w:val="20"/>
          <w:szCs w:val="20"/>
        </w:rPr>
        <w:t xml:space="preserve"> users will find th</w:t>
      </w:r>
      <w:r w:rsidR="00DA551D" w:rsidRPr="00497868">
        <w:rPr>
          <w:rFonts w:ascii="Aptos" w:hAnsi="Aptos"/>
          <w:color w:val="auto"/>
          <w:sz w:val="20"/>
          <w:szCs w:val="20"/>
        </w:rPr>
        <w:t xml:space="preserve">e Guidebook </w:t>
      </w:r>
      <w:r w:rsidR="003E0342" w:rsidRPr="00497868">
        <w:rPr>
          <w:rFonts w:ascii="Aptos" w:hAnsi="Aptos"/>
          <w:color w:val="auto"/>
          <w:sz w:val="20"/>
          <w:szCs w:val="20"/>
        </w:rPr>
        <w:t>valuable. Relevant roles include AI professionals (e.g., engineers, data scientists, architects, developers, researchers), enterprise technology leaders, risk and compliance managers, and legal professionals.</w:t>
      </w:r>
    </w:p>
    <w:p w14:paraId="33C58A24" w14:textId="77777777" w:rsidR="003E0342" w:rsidRPr="00497868" w:rsidRDefault="003E0342" w:rsidP="00497868">
      <w:pPr>
        <w:jc w:val="both"/>
        <w:rPr>
          <w:rFonts w:ascii="Aptos" w:hAnsi="Aptos"/>
          <w:color w:val="auto"/>
          <w:sz w:val="20"/>
          <w:szCs w:val="20"/>
        </w:rPr>
      </w:pPr>
    </w:p>
    <w:p w14:paraId="410E8118" w14:textId="62A06138" w:rsidR="003E0342" w:rsidRPr="00497868" w:rsidRDefault="003E0342" w:rsidP="00497868">
      <w:pPr>
        <w:jc w:val="both"/>
        <w:rPr>
          <w:rFonts w:ascii="Aptos" w:hAnsi="Aptos"/>
          <w:color w:val="auto"/>
          <w:sz w:val="20"/>
          <w:szCs w:val="20"/>
        </w:rPr>
      </w:pPr>
      <w:r w:rsidRPr="00497868">
        <w:rPr>
          <w:rFonts w:ascii="Aptos" w:hAnsi="Aptos"/>
          <w:color w:val="auto"/>
          <w:sz w:val="20"/>
          <w:szCs w:val="20"/>
        </w:rPr>
        <w:t xml:space="preserve">Individuals with a strong understanding of financial markets, regulations, products, and AI/ML technologies are also encouraged to engage with this guidance. The primary audience for </w:t>
      </w:r>
      <w:r w:rsidR="00C660D4" w:rsidRPr="00497868">
        <w:rPr>
          <w:rFonts w:ascii="Aptos" w:hAnsi="Aptos"/>
          <w:color w:val="auto"/>
          <w:sz w:val="20"/>
          <w:szCs w:val="20"/>
        </w:rPr>
        <w:t>the</w:t>
      </w:r>
      <w:r w:rsidRPr="00497868">
        <w:rPr>
          <w:rFonts w:ascii="Aptos" w:hAnsi="Aptos"/>
          <w:color w:val="auto"/>
          <w:sz w:val="20"/>
          <w:szCs w:val="20"/>
        </w:rPr>
        <w:t xml:space="preserve"> Guide</w:t>
      </w:r>
      <w:r w:rsidR="00C660D4" w:rsidRPr="00497868">
        <w:rPr>
          <w:rFonts w:ascii="Aptos" w:hAnsi="Aptos"/>
          <w:color w:val="auto"/>
          <w:sz w:val="20"/>
          <w:szCs w:val="20"/>
        </w:rPr>
        <w:t>book</w:t>
      </w:r>
      <w:r w:rsidRPr="00497868">
        <w:rPr>
          <w:rFonts w:ascii="Aptos" w:hAnsi="Aptos"/>
          <w:color w:val="auto"/>
          <w:sz w:val="20"/>
          <w:szCs w:val="20"/>
        </w:rPr>
        <w:t xml:space="preserve"> </w:t>
      </w:r>
      <w:r w:rsidR="00B27787" w:rsidRPr="00497868">
        <w:rPr>
          <w:rFonts w:ascii="Aptos" w:hAnsi="Aptos"/>
          <w:color w:val="auto"/>
          <w:sz w:val="20"/>
          <w:szCs w:val="20"/>
        </w:rPr>
        <w:t>includes</w:t>
      </w:r>
      <w:r w:rsidRPr="00497868">
        <w:rPr>
          <w:rFonts w:ascii="Aptos" w:hAnsi="Aptos"/>
          <w:color w:val="auto"/>
          <w:sz w:val="20"/>
          <w:szCs w:val="20"/>
        </w:rPr>
        <w:t xml:space="preserve"> organizations seeking to assess their current AI adoption level, define their desired future state, and implement the necessary </w:t>
      </w:r>
      <w:r w:rsidR="00B85118">
        <w:rPr>
          <w:rFonts w:ascii="Aptos" w:hAnsi="Aptos"/>
          <w:color w:val="auto"/>
          <w:sz w:val="20"/>
          <w:szCs w:val="20"/>
        </w:rPr>
        <w:t>C</w:t>
      </w:r>
      <w:r w:rsidRPr="00497868">
        <w:rPr>
          <w:rFonts w:ascii="Aptos" w:hAnsi="Aptos"/>
          <w:color w:val="auto"/>
          <w:sz w:val="20"/>
          <w:szCs w:val="20"/>
        </w:rPr>
        <w:t>ontrol</w:t>
      </w:r>
      <w:r w:rsidR="00D50B66" w:rsidRPr="00497868">
        <w:rPr>
          <w:rFonts w:ascii="Aptos" w:hAnsi="Aptos"/>
          <w:color w:val="auto"/>
          <w:sz w:val="20"/>
          <w:szCs w:val="20"/>
        </w:rPr>
        <w:t xml:space="preserve"> </w:t>
      </w:r>
      <w:r w:rsidR="00B85118">
        <w:rPr>
          <w:rFonts w:ascii="Aptos" w:hAnsi="Aptos"/>
          <w:color w:val="auto"/>
          <w:sz w:val="20"/>
          <w:szCs w:val="20"/>
        </w:rPr>
        <w:t>O</w:t>
      </w:r>
      <w:r w:rsidR="00D50B66" w:rsidRPr="00497868">
        <w:rPr>
          <w:rFonts w:ascii="Aptos" w:hAnsi="Aptos"/>
          <w:color w:val="auto"/>
          <w:sz w:val="20"/>
          <w:szCs w:val="20"/>
        </w:rPr>
        <w:t>bjectives</w:t>
      </w:r>
      <w:r w:rsidRPr="00497868">
        <w:rPr>
          <w:rFonts w:ascii="Aptos" w:hAnsi="Aptos"/>
          <w:color w:val="auto"/>
          <w:sz w:val="20"/>
          <w:szCs w:val="20"/>
        </w:rPr>
        <w:t xml:space="preserve"> to bridge the gap effectively. It is assumed that readers possess baseline knowledge of AI</w:t>
      </w:r>
      <w:r w:rsidR="00B27787" w:rsidRPr="00497868">
        <w:rPr>
          <w:rFonts w:ascii="Aptos" w:hAnsi="Aptos"/>
          <w:color w:val="auto"/>
          <w:sz w:val="20"/>
          <w:szCs w:val="20"/>
        </w:rPr>
        <w:t xml:space="preserve"> and AI</w:t>
      </w:r>
      <w:r w:rsidRPr="00497868">
        <w:rPr>
          <w:rFonts w:ascii="Aptos" w:hAnsi="Aptos"/>
          <w:color w:val="auto"/>
          <w:sz w:val="20"/>
          <w:szCs w:val="20"/>
        </w:rPr>
        <w:t xml:space="preserve"> risk management concepts to understand and apply the Framework’s components</w:t>
      </w:r>
      <w:r w:rsidR="00B27787" w:rsidRPr="00497868">
        <w:rPr>
          <w:rFonts w:ascii="Aptos" w:hAnsi="Aptos"/>
          <w:color w:val="auto"/>
          <w:sz w:val="20"/>
          <w:szCs w:val="20"/>
        </w:rPr>
        <w:t xml:space="preserve"> effectively</w:t>
      </w:r>
      <w:r w:rsidRPr="00497868">
        <w:rPr>
          <w:rFonts w:ascii="Aptos" w:hAnsi="Aptos"/>
          <w:color w:val="auto"/>
          <w:sz w:val="20"/>
          <w:szCs w:val="20"/>
        </w:rPr>
        <w:t>.</w:t>
      </w:r>
    </w:p>
    <w:p w14:paraId="01F7A52C" w14:textId="7CD2FC2C" w:rsidR="005D0286" w:rsidRPr="00497868" w:rsidRDefault="005D0286" w:rsidP="00497868">
      <w:pPr>
        <w:pStyle w:val="Heading15"/>
        <w:spacing w:before="0" w:after="0"/>
        <w:jc w:val="both"/>
        <w:rPr>
          <w:rFonts w:ascii="Aptos" w:hAnsi="Aptos"/>
          <w:color w:val="B31E3E" w:themeColor="accent1"/>
          <w:sz w:val="24"/>
          <w:u w:val="single"/>
        </w:rPr>
      </w:pPr>
      <w:bookmarkStart w:id="26" w:name="_Toc203286678"/>
      <w:bookmarkStart w:id="27" w:name="_Toc221009650"/>
      <w:r w:rsidRPr="00497868">
        <w:rPr>
          <w:rFonts w:ascii="Aptos" w:hAnsi="Aptos"/>
          <w:color w:val="B31E3E" w:themeColor="accent1"/>
          <w:sz w:val="24"/>
          <w:u w:val="single"/>
        </w:rPr>
        <w:lastRenderedPageBreak/>
        <w:t>Scope</w:t>
      </w:r>
      <w:bookmarkEnd w:id="26"/>
      <w:bookmarkEnd w:id="27"/>
    </w:p>
    <w:p w14:paraId="2D62F918" w14:textId="77777777" w:rsidR="00AB4BF3" w:rsidRPr="00BF0C10" w:rsidRDefault="00AB4BF3" w:rsidP="00497868">
      <w:pPr>
        <w:jc w:val="both"/>
        <w:rPr>
          <w:rFonts w:ascii="Aptos" w:hAnsi="Aptos"/>
          <w:color w:val="auto"/>
          <w:sz w:val="20"/>
          <w:szCs w:val="20"/>
        </w:rPr>
      </w:pPr>
    </w:p>
    <w:p w14:paraId="1A6B5D16" w14:textId="2027C7EE" w:rsidR="00566FEA" w:rsidRPr="00497868" w:rsidRDefault="002414AC" w:rsidP="00497868">
      <w:pPr>
        <w:jc w:val="both"/>
        <w:rPr>
          <w:rFonts w:ascii="Aptos" w:hAnsi="Aptos"/>
          <w:b/>
          <w:bCs/>
          <w:color w:val="34246B" w:themeColor="accent2"/>
          <w:sz w:val="20"/>
          <w:szCs w:val="20"/>
        </w:rPr>
      </w:pPr>
      <w:bookmarkStart w:id="28" w:name="_Toc203286682"/>
      <w:r w:rsidRPr="00497868">
        <w:rPr>
          <w:rFonts w:ascii="Aptos" w:hAnsi="Aptos"/>
          <w:color w:val="auto"/>
          <w:sz w:val="20"/>
          <w:szCs w:val="20"/>
        </w:rPr>
        <w:t xml:space="preserve">The scope of this Guidebook </w:t>
      </w:r>
      <w:r w:rsidR="009C3C0D" w:rsidRPr="00497868">
        <w:rPr>
          <w:rFonts w:ascii="Aptos" w:hAnsi="Aptos"/>
          <w:color w:val="auto"/>
          <w:sz w:val="20"/>
          <w:szCs w:val="20"/>
        </w:rPr>
        <w:t xml:space="preserve">is to </w:t>
      </w:r>
      <w:bookmarkStart w:id="29" w:name="_Hlk216708433"/>
      <w:r w:rsidR="009C3C0D" w:rsidRPr="00497868">
        <w:rPr>
          <w:rFonts w:ascii="Aptos" w:hAnsi="Aptos"/>
          <w:color w:val="auto"/>
          <w:sz w:val="20"/>
          <w:szCs w:val="20"/>
        </w:rPr>
        <w:t>provide</w:t>
      </w:r>
      <w:r w:rsidRPr="00497868">
        <w:rPr>
          <w:rFonts w:ascii="Aptos" w:hAnsi="Aptos"/>
          <w:color w:val="auto"/>
          <w:sz w:val="20"/>
          <w:szCs w:val="20"/>
        </w:rPr>
        <w:t xml:space="preserve"> guidance for </w:t>
      </w:r>
      <w:r w:rsidR="009C3C0D" w:rsidRPr="00497868">
        <w:rPr>
          <w:rFonts w:ascii="Aptos" w:hAnsi="Aptos"/>
          <w:color w:val="auto"/>
          <w:sz w:val="20"/>
          <w:szCs w:val="20"/>
        </w:rPr>
        <w:t xml:space="preserve">identifying a firm’s AI Adoption Stage and </w:t>
      </w:r>
      <w:r w:rsidRPr="00497868">
        <w:rPr>
          <w:rFonts w:ascii="Aptos" w:hAnsi="Aptos"/>
          <w:color w:val="auto"/>
          <w:sz w:val="20"/>
          <w:szCs w:val="20"/>
        </w:rPr>
        <w:t xml:space="preserve">implementing the </w:t>
      </w:r>
      <w:r w:rsidR="009C3C0D" w:rsidRPr="00497868">
        <w:rPr>
          <w:rFonts w:ascii="Aptos" w:hAnsi="Aptos"/>
          <w:color w:val="auto"/>
          <w:sz w:val="20"/>
          <w:szCs w:val="20"/>
        </w:rPr>
        <w:t>relevant C</w:t>
      </w:r>
      <w:r w:rsidRPr="00497868">
        <w:rPr>
          <w:rFonts w:ascii="Aptos" w:hAnsi="Aptos"/>
          <w:color w:val="auto"/>
          <w:sz w:val="20"/>
          <w:szCs w:val="20"/>
        </w:rPr>
        <w:t xml:space="preserve">ontrol </w:t>
      </w:r>
      <w:r w:rsidR="009C3C0D" w:rsidRPr="00497868">
        <w:rPr>
          <w:rFonts w:ascii="Aptos" w:hAnsi="Aptos"/>
          <w:color w:val="auto"/>
          <w:sz w:val="20"/>
          <w:szCs w:val="20"/>
        </w:rPr>
        <w:t>O</w:t>
      </w:r>
      <w:r w:rsidRPr="00497868">
        <w:rPr>
          <w:rFonts w:ascii="Aptos" w:hAnsi="Aptos"/>
          <w:color w:val="auto"/>
          <w:sz w:val="20"/>
          <w:szCs w:val="20"/>
        </w:rPr>
        <w:t xml:space="preserve">bjectives </w:t>
      </w:r>
      <w:bookmarkEnd w:id="29"/>
      <w:r w:rsidRPr="00497868">
        <w:rPr>
          <w:rFonts w:ascii="Aptos" w:hAnsi="Aptos"/>
          <w:color w:val="auto"/>
          <w:sz w:val="20"/>
          <w:szCs w:val="20"/>
        </w:rPr>
        <w:t xml:space="preserve">outlined within the FS AI RMF. </w:t>
      </w:r>
      <w:r w:rsidR="00F06F0C" w:rsidRPr="00497868">
        <w:rPr>
          <w:rFonts w:ascii="Aptos" w:hAnsi="Aptos"/>
          <w:color w:val="auto"/>
          <w:sz w:val="20"/>
          <w:szCs w:val="20"/>
        </w:rPr>
        <w:t>Its</w:t>
      </w:r>
      <w:r w:rsidR="003C2B53" w:rsidRPr="00497868">
        <w:rPr>
          <w:rFonts w:ascii="Aptos" w:hAnsi="Aptos"/>
          <w:color w:val="auto"/>
          <w:sz w:val="20"/>
          <w:szCs w:val="20"/>
        </w:rPr>
        <w:t xml:space="preserve"> companion document, “</w:t>
      </w:r>
      <w:r w:rsidR="00204025" w:rsidRPr="00497868">
        <w:rPr>
          <w:rFonts w:ascii="Aptos" w:hAnsi="Aptos"/>
          <w:color w:val="auto"/>
          <w:sz w:val="20"/>
          <w:szCs w:val="20"/>
        </w:rPr>
        <w:t xml:space="preserve">Control Objective </w:t>
      </w:r>
      <w:r w:rsidR="00077FC7" w:rsidRPr="00497868">
        <w:rPr>
          <w:rFonts w:ascii="Aptos" w:hAnsi="Aptos"/>
          <w:color w:val="auto"/>
          <w:sz w:val="20"/>
          <w:szCs w:val="20"/>
        </w:rPr>
        <w:t>Reference Guide</w:t>
      </w:r>
      <w:r w:rsidR="003C2B53" w:rsidRPr="00497868">
        <w:rPr>
          <w:rFonts w:ascii="Aptos" w:hAnsi="Aptos"/>
          <w:color w:val="auto"/>
          <w:sz w:val="20"/>
          <w:szCs w:val="20"/>
        </w:rPr>
        <w:t xml:space="preserve">,” </w:t>
      </w:r>
      <w:r w:rsidRPr="00497868">
        <w:rPr>
          <w:rFonts w:ascii="Aptos" w:hAnsi="Aptos"/>
          <w:color w:val="auto"/>
          <w:sz w:val="20"/>
          <w:szCs w:val="20"/>
        </w:rPr>
        <w:t xml:space="preserve">offers </w:t>
      </w:r>
      <w:r w:rsidR="00351829" w:rsidRPr="00497868">
        <w:rPr>
          <w:rFonts w:ascii="Aptos" w:hAnsi="Aptos"/>
          <w:color w:val="auto"/>
          <w:sz w:val="20"/>
          <w:szCs w:val="20"/>
        </w:rPr>
        <w:t>additional</w:t>
      </w:r>
      <w:r w:rsidRPr="00497868">
        <w:rPr>
          <w:rFonts w:ascii="Aptos" w:hAnsi="Aptos"/>
          <w:color w:val="auto"/>
          <w:sz w:val="20"/>
          <w:szCs w:val="20"/>
        </w:rPr>
        <w:t xml:space="preserve"> details</w:t>
      </w:r>
      <w:r w:rsidR="00E70802">
        <w:rPr>
          <w:rFonts w:ascii="Aptos" w:hAnsi="Aptos"/>
          <w:color w:val="auto"/>
          <w:sz w:val="20"/>
          <w:szCs w:val="20"/>
        </w:rPr>
        <w:t xml:space="preserve">, including </w:t>
      </w:r>
      <w:r w:rsidR="00A06BB2">
        <w:rPr>
          <w:rFonts w:ascii="Aptos" w:hAnsi="Aptos"/>
          <w:color w:val="auto"/>
          <w:sz w:val="20"/>
          <w:szCs w:val="20"/>
        </w:rPr>
        <w:t>examples of Controls and Effective Evidence</w:t>
      </w:r>
      <w:r w:rsidR="00F06F0C" w:rsidRPr="00497868">
        <w:rPr>
          <w:rFonts w:ascii="Aptos" w:hAnsi="Aptos"/>
          <w:color w:val="auto"/>
          <w:sz w:val="20"/>
          <w:szCs w:val="20"/>
        </w:rPr>
        <w:t>.</w:t>
      </w:r>
      <w:r w:rsidR="00587E80" w:rsidRPr="00497868">
        <w:rPr>
          <w:rFonts w:ascii="Aptos" w:hAnsi="Aptos"/>
          <w:color w:val="auto"/>
          <w:sz w:val="20"/>
          <w:szCs w:val="20"/>
        </w:rPr>
        <w:t xml:space="preserve"> Both </w:t>
      </w:r>
      <w:r w:rsidR="00A06BB2">
        <w:rPr>
          <w:rFonts w:ascii="Aptos" w:hAnsi="Aptos"/>
          <w:color w:val="auto"/>
          <w:sz w:val="20"/>
          <w:szCs w:val="20"/>
        </w:rPr>
        <w:t>documents</w:t>
      </w:r>
      <w:r w:rsidR="00587E80" w:rsidRPr="00497868">
        <w:rPr>
          <w:rFonts w:ascii="Aptos" w:hAnsi="Aptos"/>
          <w:color w:val="auto"/>
          <w:sz w:val="20"/>
          <w:szCs w:val="20"/>
        </w:rPr>
        <w:t xml:space="preserve"> </w:t>
      </w:r>
      <w:r w:rsidRPr="00497868">
        <w:rPr>
          <w:rFonts w:ascii="Aptos" w:hAnsi="Aptos"/>
          <w:color w:val="auto"/>
          <w:sz w:val="20"/>
          <w:szCs w:val="20"/>
        </w:rPr>
        <w:t xml:space="preserve">support organizations in understanding how to interpret and apply </w:t>
      </w:r>
      <w:r w:rsidR="0068210B" w:rsidRPr="00497868">
        <w:rPr>
          <w:rFonts w:ascii="Aptos" w:hAnsi="Aptos"/>
          <w:color w:val="auto"/>
          <w:sz w:val="20"/>
          <w:szCs w:val="20"/>
        </w:rPr>
        <w:t xml:space="preserve">this information </w:t>
      </w:r>
      <w:r w:rsidRPr="00497868">
        <w:rPr>
          <w:rFonts w:ascii="Aptos" w:hAnsi="Aptos"/>
          <w:color w:val="auto"/>
          <w:sz w:val="20"/>
          <w:szCs w:val="20"/>
        </w:rPr>
        <w:t xml:space="preserve">at various stages of AI adoption, from initial </w:t>
      </w:r>
      <w:r w:rsidR="0068210B" w:rsidRPr="00497868">
        <w:rPr>
          <w:rFonts w:ascii="Aptos" w:hAnsi="Aptos"/>
          <w:color w:val="auto"/>
          <w:sz w:val="20"/>
          <w:szCs w:val="20"/>
        </w:rPr>
        <w:t xml:space="preserve">AI </w:t>
      </w:r>
      <w:r w:rsidRPr="00497868">
        <w:rPr>
          <w:rFonts w:ascii="Aptos" w:hAnsi="Aptos"/>
          <w:color w:val="auto"/>
          <w:sz w:val="20"/>
          <w:szCs w:val="20"/>
        </w:rPr>
        <w:t xml:space="preserve">deployment to </w:t>
      </w:r>
      <w:r w:rsidR="00303B42" w:rsidRPr="00497868">
        <w:rPr>
          <w:rFonts w:ascii="Aptos" w:hAnsi="Aptos"/>
          <w:color w:val="auto"/>
          <w:sz w:val="20"/>
          <w:szCs w:val="20"/>
        </w:rPr>
        <w:t>deeply embedded</w:t>
      </w:r>
      <w:r w:rsidRPr="00497868">
        <w:rPr>
          <w:rFonts w:ascii="Aptos" w:hAnsi="Aptos"/>
          <w:color w:val="auto"/>
          <w:sz w:val="20"/>
          <w:szCs w:val="20"/>
        </w:rPr>
        <w:t>, enterprise-wide</w:t>
      </w:r>
      <w:r w:rsidR="0068210B" w:rsidRPr="00497868">
        <w:rPr>
          <w:rFonts w:ascii="Aptos" w:hAnsi="Aptos"/>
          <w:color w:val="auto"/>
          <w:sz w:val="20"/>
          <w:szCs w:val="20"/>
        </w:rPr>
        <w:t xml:space="preserve"> AI</w:t>
      </w:r>
      <w:r w:rsidRPr="00497868">
        <w:rPr>
          <w:rFonts w:ascii="Aptos" w:hAnsi="Aptos"/>
          <w:color w:val="auto"/>
          <w:sz w:val="20"/>
          <w:szCs w:val="20"/>
        </w:rPr>
        <w:t xml:space="preserve"> implementation.</w:t>
      </w:r>
      <w:bookmarkStart w:id="30" w:name="_Purpose"/>
      <w:bookmarkStart w:id="31" w:name="_Toc203286683"/>
      <w:bookmarkStart w:id="32" w:name="_Toc14449288"/>
      <w:bookmarkStart w:id="33" w:name="_Toc14700760"/>
      <w:bookmarkStart w:id="34" w:name="_Toc43996377"/>
      <w:bookmarkEnd w:id="5"/>
      <w:bookmarkEnd w:id="6"/>
      <w:bookmarkEnd w:id="7"/>
      <w:bookmarkEnd w:id="8"/>
      <w:bookmarkEnd w:id="28"/>
      <w:bookmarkEnd w:id="30"/>
    </w:p>
    <w:p w14:paraId="38A2E864" w14:textId="77777777" w:rsidR="00566FEA" w:rsidRPr="00BF0C10" w:rsidRDefault="00566FEA" w:rsidP="00497868">
      <w:pPr>
        <w:jc w:val="both"/>
        <w:rPr>
          <w:rFonts w:ascii="Aptos" w:hAnsi="Aptos"/>
          <w:b/>
          <w:bCs/>
          <w:color w:val="34246B" w:themeColor="accent2"/>
          <w:sz w:val="20"/>
          <w:szCs w:val="20"/>
        </w:rPr>
      </w:pPr>
    </w:p>
    <w:p w14:paraId="79421A74" w14:textId="73D029BC" w:rsidR="004461E6" w:rsidRPr="00497868" w:rsidRDefault="00CF16CC" w:rsidP="00497868">
      <w:pPr>
        <w:pStyle w:val="Heading1"/>
        <w:spacing w:after="0"/>
        <w:jc w:val="both"/>
        <w:rPr>
          <w:rFonts w:ascii="Aptos" w:hAnsi="Aptos"/>
          <w:b/>
          <w:bCs/>
          <w:color w:val="34246B" w:themeColor="accent2"/>
          <w:sz w:val="28"/>
          <w:szCs w:val="28"/>
        </w:rPr>
      </w:pPr>
      <w:bookmarkStart w:id="35" w:name="_Toc221009651"/>
      <w:r w:rsidRPr="00497868">
        <w:rPr>
          <w:rFonts w:ascii="Aptos" w:hAnsi="Aptos"/>
          <w:b/>
          <w:bCs/>
          <w:color w:val="34246B" w:themeColor="accent2"/>
          <w:sz w:val="28"/>
          <w:szCs w:val="28"/>
        </w:rPr>
        <w:t>FS AI RMF COMPONENTS</w:t>
      </w:r>
      <w:bookmarkEnd w:id="35"/>
    </w:p>
    <w:p w14:paraId="77FDDE75" w14:textId="77777777" w:rsidR="004461E6" w:rsidRPr="00BF0C10" w:rsidRDefault="004461E6" w:rsidP="00497868">
      <w:pPr>
        <w:jc w:val="both"/>
        <w:rPr>
          <w:rFonts w:ascii="Aptos" w:hAnsi="Aptos"/>
          <w:color w:val="auto"/>
          <w:sz w:val="20"/>
          <w:szCs w:val="20"/>
        </w:rPr>
      </w:pPr>
    </w:p>
    <w:p w14:paraId="371413CA" w14:textId="2F0A1708" w:rsidR="00944BEF" w:rsidRPr="00497868" w:rsidRDefault="00944BEF" w:rsidP="00497868">
      <w:pPr>
        <w:jc w:val="both"/>
        <w:rPr>
          <w:rFonts w:ascii="Aptos" w:hAnsi="Aptos"/>
          <w:color w:val="auto"/>
          <w:sz w:val="20"/>
          <w:szCs w:val="20"/>
        </w:rPr>
      </w:pPr>
      <w:r w:rsidRPr="00497868">
        <w:rPr>
          <w:rFonts w:ascii="Aptos" w:hAnsi="Aptos"/>
          <w:color w:val="auto"/>
          <w:sz w:val="20"/>
          <w:szCs w:val="20"/>
        </w:rPr>
        <w:t xml:space="preserve">The FS AI RMF has </w:t>
      </w:r>
      <w:r w:rsidR="007475F6" w:rsidRPr="00497868">
        <w:rPr>
          <w:rFonts w:ascii="Aptos" w:hAnsi="Aptos"/>
          <w:color w:val="auto"/>
          <w:sz w:val="20"/>
          <w:szCs w:val="20"/>
        </w:rPr>
        <w:t>four</w:t>
      </w:r>
      <w:r w:rsidRPr="00497868">
        <w:rPr>
          <w:rFonts w:ascii="Aptos" w:hAnsi="Aptos"/>
          <w:color w:val="auto"/>
          <w:sz w:val="20"/>
          <w:szCs w:val="20"/>
        </w:rPr>
        <w:t xml:space="preserve"> primary components: </w:t>
      </w:r>
    </w:p>
    <w:p w14:paraId="558FA0D2" w14:textId="77777777" w:rsidR="00E537F1" w:rsidRPr="00497868" w:rsidRDefault="00E537F1" w:rsidP="00497868">
      <w:pPr>
        <w:jc w:val="both"/>
        <w:rPr>
          <w:rFonts w:ascii="Aptos" w:hAnsi="Aptos"/>
          <w:color w:val="auto"/>
          <w:sz w:val="20"/>
          <w:szCs w:val="20"/>
        </w:rPr>
      </w:pPr>
    </w:p>
    <w:p w14:paraId="1AF32F1C" w14:textId="42CE2AFE" w:rsidR="00944BEF" w:rsidRPr="00497868" w:rsidRDefault="00944BEF" w:rsidP="00497868">
      <w:pPr>
        <w:pStyle w:val="ListParagraph"/>
        <w:numPr>
          <w:ilvl w:val="0"/>
          <w:numId w:val="6"/>
        </w:numPr>
        <w:spacing w:after="0" w:line="240" w:lineRule="auto"/>
        <w:contextualSpacing w:val="0"/>
        <w:jc w:val="both"/>
        <w:rPr>
          <w:rFonts w:ascii="Aptos" w:hAnsi="Aptos"/>
          <w:sz w:val="20"/>
          <w:szCs w:val="20"/>
        </w:rPr>
      </w:pPr>
      <w:r w:rsidRPr="00497868">
        <w:rPr>
          <w:rFonts w:ascii="Aptos" w:hAnsi="Aptos"/>
          <w:sz w:val="20"/>
          <w:szCs w:val="20"/>
        </w:rPr>
        <w:t>A</w:t>
      </w:r>
      <w:r w:rsidR="00720D58" w:rsidRPr="00497868">
        <w:rPr>
          <w:rFonts w:ascii="Aptos" w:hAnsi="Aptos"/>
          <w:sz w:val="20"/>
          <w:szCs w:val="20"/>
        </w:rPr>
        <w:t>n</w:t>
      </w:r>
      <w:r w:rsidRPr="00497868">
        <w:rPr>
          <w:rFonts w:ascii="Aptos" w:hAnsi="Aptos"/>
          <w:sz w:val="20"/>
          <w:szCs w:val="20"/>
        </w:rPr>
        <w:t xml:space="preserve"> </w:t>
      </w:r>
      <w:r w:rsidR="001317E4" w:rsidRPr="00497868">
        <w:rPr>
          <w:rFonts w:ascii="Aptos" w:hAnsi="Aptos"/>
          <w:b/>
          <w:bCs/>
          <w:sz w:val="20"/>
          <w:szCs w:val="20"/>
        </w:rPr>
        <w:t>AI</w:t>
      </w:r>
      <w:r w:rsidR="001317E4" w:rsidRPr="00497868">
        <w:rPr>
          <w:rFonts w:ascii="Aptos" w:hAnsi="Aptos"/>
          <w:sz w:val="20"/>
          <w:szCs w:val="20"/>
        </w:rPr>
        <w:t xml:space="preserve"> </w:t>
      </w:r>
      <w:r w:rsidR="00720D58" w:rsidRPr="00497868">
        <w:rPr>
          <w:rFonts w:ascii="Aptos" w:hAnsi="Aptos"/>
          <w:b/>
          <w:bCs/>
          <w:sz w:val="20"/>
          <w:szCs w:val="20"/>
        </w:rPr>
        <w:t>Adoption Stage</w:t>
      </w:r>
      <w:r w:rsidRPr="00497868">
        <w:rPr>
          <w:rFonts w:ascii="Aptos" w:hAnsi="Aptos"/>
          <w:b/>
          <w:bCs/>
          <w:sz w:val="20"/>
          <w:szCs w:val="20"/>
        </w:rPr>
        <w:t xml:space="preserve"> Questionnaire</w:t>
      </w:r>
      <w:r w:rsidR="00720D58" w:rsidRPr="00497868">
        <w:rPr>
          <w:rFonts w:ascii="Aptos" w:hAnsi="Aptos"/>
          <w:sz w:val="20"/>
          <w:szCs w:val="20"/>
        </w:rPr>
        <w:t xml:space="preserve"> </w:t>
      </w:r>
      <w:r w:rsidR="00720D58" w:rsidRPr="00497868">
        <w:rPr>
          <w:rFonts w:ascii="Aptos" w:hAnsi="Aptos"/>
          <w:b/>
          <w:bCs/>
          <w:sz w:val="20"/>
          <w:szCs w:val="20"/>
        </w:rPr>
        <w:t>(the “</w:t>
      </w:r>
      <w:r w:rsidR="00897672" w:rsidRPr="00497868">
        <w:rPr>
          <w:rFonts w:ascii="Aptos" w:hAnsi="Aptos"/>
          <w:b/>
          <w:bCs/>
          <w:sz w:val="20"/>
          <w:szCs w:val="20"/>
        </w:rPr>
        <w:t>Questionnaire”)</w:t>
      </w:r>
      <w:r w:rsidRPr="00497868">
        <w:rPr>
          <w:rFonts w:ascii="Aptos" w:hAnsi="Aptos"/>
          <w:sz w:val="20"/>
          <w:szCs w:val="20"/>
        </w:rPr>
        <w:t xml:space="preserve"> which helps organizations better understand </w:t>
      </w:r>
      <w:r w:rsidR="00E158D2" w:rsidRPr="00497868">
        <w:rPr>
          <w:rFonts w:ascii="Aptos" w:hAnsi="Aptos"/>
          <w:sz w:val="20"/>
          <w:szCs w:val="20"/>
        </w:rPr>
        <w:t xml:space="preserve">their current state </w:t>
      </w:r>
      <w:r w:rsidRPr="00497868">
        <w:rPr>
          <w:rFonts w:ascii="Aptos" w:hAnsi="Aptos"/>
          <w:sz w:val="20"/>
          <w:szCs w:val="20"/>
        </w:rPr>
        <w:t xml:space="preserve">of AI adoption; </w:t>
      </w:r>
    </w:p>
    <w:p w14:paraId="7E630BAD" w14:textId="0362894F" w:rsidR="00944BEF" w:rsidRPr="00497868" w:rsidRDefault="00944BEF" w:rsidP="00497868">
      <w:pPr>
        <w:pStyle w:val="ListParagraph"/>
        <w:numPr>
          <w:ilvl w:val="0"/>
          <w:numId w:val="6"/>
        </w:numPr>
        <w:spacing w:after="0" w:line="240" w:lineRule="auto"/>
        <w:contextualSpacing w:val="0"/>
        <w:jc w:val="both"/>
        <w:rPr>
          <w:rFonts w:ascii="Aptos" w:hAnsi="Aptos"/>
          <w:sz w:val="20"/>
          <w:szCs w:val="20"/>
        </w:rPr>
      </w:pPr>
      <w:r w:rsidRPr="00497868">
        <w:rPr>
          <w:rFonts w:ascii="Aptos" w:hAnsi="Aptos"/>
          <w:sz w:val="20"/>
          <w:szCs w:val="20"/>
        </w:rPr>
        <w:t xml:space="preserve">A </w:t>
      </w:r>
      <w:r w:rsidRPr="00497868">
        <w:rPr>
          <w:rFonts w:ascii="Aptos" w:hAnsi="Aptos"/>
          <w:b/>
          <w:bCs/>
          <w:sz w:val="20"/>
          <w:szCs w:val="20"/>
        </w:rPr>
        <w:t>Risk and Control Matrix (RCM)</w:t>
      </w:r>
      <w:r w:rsidRPr="00497868">
        <w:rPr>
          <w:rFonts w:ascii="Aptos" w:hAnsi="Aptos"/>
          <w:sz w:val="20"/>
          <w:szCs w:val="20"/>
        </w:rPr>
        <w:t xml:space="preserve">, </w:t>
      </w:r>
      <w:r w:rsidR="00E158D2" w:rsidRPr="00497868">
        <w:rPr>
          <w:rFonts w:ascii="Aptos" w:hAnsi="Aptos"/>
          <w:sz w:val="20"/>
          <w:szCs w:val="20"/>
        </w:rPr>
        <w:t xml:space="preserve">comprised of </w:t>
      </w:r>
      <w:r w:rsidR="00056581">
        <w:rPr>
          <w:rFonts w:ascii="Aptos" w:hAnsi="Aptos"/>
          <w:sz w:val="20"/>
          <w:szCs w:val="20"/>
        </w:rPr>
        <w:t>R</w:t>
      </w:r>
      <w:r w:rsidR="00E13907" w:rsidRPr="00497868">
        <w:rPr>
          <w:rFonts w:ascii="Aptos" w:hAnsi="Aptos"/>
          <w:sz w:val="20"/>
          <w:szCs w:val="20"/>
        </w:rPr>
        <w:t xml:space="preserve">isk </w:t>
      </w:r>
      <w:r w:rsidR="00056581">
        <w:rPr>
          <w:rFonts w:ascii="Aptos" w:hAnsi="Aptos"/>
          <w:sz w:val="20"/>
          <w:szCs w:val="20"/>
        </w:rPr>
        <w:t>S</w:t>
      </w:r>
      <w:r w:rsidR="00E13907" w:rsidRPr="00497868">
        <w:rPr>
          <w:rFonts w:ascii="Aptos" w:hAnsi="Aptos"/>
          <w:sz w:val="20"/>
          <w:szCs w:val="20"/>
        </w:rPr>
        <w:t xml:space="preserve">tatements and </w:t>
      </w:r>
      <w:r w:rsidR="00056581">
        <w:rPr>
          <w:rFonts w:ascii="Aptos" w:hAnsi="Aptos"/>
          <w:sz w:val="20"/>
          <w:szCs w:val="20"/>
        </w:rPr>
        <w:t>C</w:t>
      </w:r>
      <w:r w:rsidRPr="00497868">
        <w:rPr>
          <w:rFonts w:ascii="Aptos" w:hAnsi="Aptos"/>
          <w:sz w:val="20"/>
          <w:szCs w:val="20"/>
        </w:rPr>
        <w:t xml:space="preserve">ontrol </w:t>
      </w:r>
      <w:r w:rsidR="00056581">
        <w:rPr>
          <w:rFonts w:ascii="Aptos" w:hAnsi="Aptos"/>
          <w:sz w:val="20"/>
          <w:szCs w:val="20"/>
        </w:rPr>
        <w:t>O</w:t>
      </w:r>
      <w:r w:rsidRPr="00497868">
        <w:rPr>
          <w:rFonts w:ascii="Aptos" w:hAnsi="Aptos"/>
          <w:sz w:val="20"/>
          <w:szCs w:val="20"/>
        </w:rPr>
        <w:t xml:space="preserve">bjectives and provides practical implementation guidance organized by AI </w:t>
      </w:r>
      <w:r w:rsidR="00056581">
        <w:rPr>
          <w:rFonts w:ascii="Aptos" w:hAnsi="Aptos"/>
          <w:sz w:val="20"/>
          <w:szCs w:val="20"/>
        </w:rPr>
        <w:t>A</w:t>
      </w:r>
      <w:r w:rsidRPr="00497868">
        <w:rPr>
          <w:rFonts w:ascii="Aptos" w:hAnsi="Aptos"/>
          <w:sz w:val="20"/>
          <w:szCs w:val="20"/>
        </w:rPr>
        <w:t xml:space="preserve">doption </w:t>
      </w:r>
      <w:r w:rsidR="00056581">
        <w:rPr>
          <w:rFonts w:ascii="Aptos" w:hAnsi="Aptos"/>
          <w:sz w:val="20"/>
          <w:szCs w:val="20"/>
        </w:rPr>
        <w:t>Stage</w:t>
      </w:r>
      <w:r w:rsidRPr="00497868">
        <w:rPr>
          <w:rFonts w:ascii="Aptos" w:hAnsi="Aptos"/>
          <w:sz w:val="20"/>
          <w:szCs w:val="20"/>
        </w:rPr>
        <w:t xml:space="preserve">; </w:t>
      </w:r>
    </w:p>
    <w:p w14:paraId="38C3E921" w14:textId="3BAB5F77" w:rsidR="00944BEF" w:rsidRPr="00497868" w:rsidRDefault="00944BEF" w:rsidP="00497868">
      <w:pPr>
        <w:pStyle w:val="ListParagraph"/>
        <w:numPr>
          <w:ilvl w:val="0"/>
          <w:numId w:val="6"/>
        </w:numPr>
        <w:spacing w:after="0" w:line="240" w:lineRule="auto"/>
        <w:contextualSpacing w:val="0"/>
        <w:jc w:val="both"/>
        <w:rPr>
          <w:rFonts w:ascii="Aptos" w:hAnsi="Aptos"/>
          <w:sz w:val="20"/>
          <w:szCs w:val="20"/>
        </w:rPr>
      </w:pPr>
      <w:r w:rsidRPr="00497868">
        <w:rPr>
          <w:rFonts w:ascii="Aptos" w:hAnsi="Aptos"/>
          <w:sz w:val="20"/>
          <w:szCs w:val="20"/>
        </w:rPr>
        <w:t xml:space="preserve">This </w:t>
      </w:r>
      <w:r w:rsidRPr="00497868">
        <w:rPr>
          <w:rFonts w:ascii="Aptos" w:hAnsi="Aptos"/>
          <w:b/>
          <w:bCs/>
          <w:sz w:val="20"/>
          <w:szCs w:val="20"/>
        </w:rPr>
        <w:t>Guidebook</w:t>
      </w:r>
      <w:r w:rsidRPr="00497868">
        <w:rPr>
          <w:rFonts w:ascii="Aptos" w:hAnsi="Aptos"/>
          <w:sz w:val="20"/>
          <w:szCs w:val="20"/>
        </w:rPr>
        <w:t xml:space="preserve">, which </w:t>
      </w:r>
      <w:r w:rsidR="00E13907" w:rsidRPr="00497868">
        <w:rPr>
          <w:rFonts w:ascii="Aptos" w:hAnsi="Aptos"/>
          <w:sz w:val="20"/>
          <w:szCs w:val="20"/>
        </w:rPr>
        <w:t>describes</w:t>
      </w:r>
      <w:r w:rsidRPr="00497868">
        <w:rPr>
          <w:rFonts w:ascii="Aptos" w:hAnsi="Aptos"/>
          <w:sz w:val="20"/>
          <w:szCs w:val="20"/>
        </w:rPr>
        <w:t xml:space="preserve"> how to </w:t>
      </w:r>
      <w:r w:rsidR="00E13907" w:rsidRPr="00497868">
        <w:rPr>
          <w:rFonts w:ascii="Aptos" w:hAnsi="Aptos"/>
          <w:sz w:val="20"/>
          <w:szCs w:val="20"/>
        </w:rPr>
        <w:t>leverage</w:t>
      </w:r>
      <w:r w:rsidRPr="00497868">
        <w:rPr>
          <w:rFonts w:ascii="Aptos" w:hAnsi="Aptos"/>
          <w:sz w:val="20"/>
          <w:szCs w:val="20"/>
        </w:rPr>
        <w:t xml:space="preserve"> </w:t>
      </w:r>
      <w:r w:rsidR="00F84EC1" w:rsidRPr="00497868">
        <w:rPr>
          <w:rFonts w:ascii="Aptos" w:hAnsi="Aptos"/>
          <w:sz w:val="20"/>
          <w:szCs w:val="20"/>
        </w:rPr>
        <w:t xml:space="preserve">and deploy </w:t>
      </w:r>
      <w:r w:rsidR="00CF16CC" w:rsidRPr="00497868">
        <w:rPr>
          <w:rFonts w:ascii="Aptos" w:hAnsi="Aptos"/>
          <w:sz w:val="20"/>
          <w:szCs w:val="20"/>
        </w:rPr>
        <w:t>the</w:t>
      </w:r>
      <w:r w:rsidRPr="00497868">
        <w:rPr>
          <w:rFonts w:ascii="Aptos" w:hAnsi="Aptos"/>
          <w:sz w:val="20"/>
          <w:szCs w:val="20"/>
        </w:rPr>
        <w:t xml:space="preserve"> </w:t>
      </w:r>
      <w:r w:rsidR="00F84EC1" w:rsidRPr="00497868">
        <w:rPr>
          <w:rFonts w:ascii="Aptos" w:hAnsi="Aptos"/>
          <w:sz w:val="20"/>
          <w:szCs w:val="20"/>
        </w:rPr>
        <w:t xml:space="preserve">FS AI RMF; </w:t>
      </w:r>
      <w:r w:rsidRPr="00497868">
        <w:rPr>
          <w:rFonts w:ascii="Aptos" w:hAnsi="Aptos"/>
          <w:sz w:val="20"/>
          <w:szCs w:val="20"/>
        </w:rPr>
        <w:t xml:space="preserve">and </w:t>
      </w:r>
    </w:p>
    <w:p w14:paraId="2A87AB83" w14:textId="49EAAAB6" w:rsidR="007019E6" w:rsidRPr="00497868" w:rsidRDefault="00077FC7" w:rsidP="00497868">
      <w:pPr>
        <w:pStyle w:val="ListParagraph"/>
        <w:numPr>
          <w:ilvl w:val="0"/>
          <w:numId w:val="6"/>
        </w:numPr>
        <w:spacing w:after="0" w:line="240" w:lineRule="auto"/>
        <w:contextualSpacing w:val="0"/>
        <w:jc w:val="both"/>
        <w:rPr>
          <w:rFonts w:ascii="Aptos" w:hAnsi="Aptos"/>
          <w:sz w:val="20"/>
          <w:szCs w:val="20"/>
        </w:rPr>
      </w:pPr>
      <w:r w:rsidRPr="00497868">
        <w:rPr>
          <w:rFonts w:ascii="Aptos" w:hAnsi="Aptos"/>
          <w:sz w:val="20"/>
          <w:szCs w:val="20"/>
        </w:rPr>
        <w:t xml:space="preserve">The </w:t>
      </w:r>
      <w:r w:rsidR="003E7E3F" w:rsidRPr="00497868">
        <w:rPr>
          <w:rFonts w:ascii="Aptos" w:hAnsi="Aptos"/>
          <w:b/>
          <w:bCs/>
          <w:sz w:val="20"/>
          <w:szCs w:val="20"/>
        </w:rPr>
        <w:t xml:space="preserve">Control Objective </w:t>
      </w:r>
      <w:r w:rsidRPr="00497868">
        <w:rPr>
          <w:rFonts w:ascii="Aptos" w:hAnsi="Aptos"/>
          <w:b/>
          <w:bCs/>
          <w:sz w:val="20"/>
          <w:szCs w:val="20"/>
        </w:rPr>
        <w:t>Reference Guide</w:t>
      </w:r>
      <w:r w:rsidR="004164A5" w:rsidRPr="00497868">
        <w:rPr>
          <w:rFonts w:ascii="Aptos" w:hAnsi="Aptos"/>
          <w:sz w:val="20"/>
          <w:szCs w:val="20"/>
        </w:rPr>
        <w:t xml:space="preserve">, which </w:t>
      </w:r>
      <w:r w:rsidR="00C9042F" w:rsidRPr="00497868">
        <w:rPr>
          <w:rFonts w:ascii="Aptos" w:hAnsi="Aptos"/>
          <w:sz w:val="20"/>
          <w:szCs w:val="20"/>
        </w:rPr>
        <w:t>offers additional details for each Control Objective and lists examples of corresponding Controls and Effective Evidence</w:t>
      </w:r>
      <w:r w:rsidRPr="00497868">
        <w:rPr>
          <w:rFonts w:ascii="Aptos" w:hAnsi="Aptos"/>
          <w:sz w:val="20"/>
          <w:szCs w:val="20"/>
        </w:rPr>
        <w:t>.</w:t>
      </w:r>
    </w:p>
    <w:p w14:paraId="050AB434" w14:textId="750AAAFB" w:rsidR="00E13907" w:rsidRPr="00BF0C10" w:rsidRDefault="00E13907" w:rsidP="00497868">
      <w:pPr>
        <w:jc w:val="both"/>
        <w:rPr>
          <w:rFonts w:ascii="Aptos" w:hAnsi="Aptos"/>
          <w:b/>
          <w:bCs/>
          <w:color w:val="auto"/>
          <w:sz w:val="20"/>
          <w:szCs w:val="20"/>
        </w:rPr>
      </w:pPr>
    </w:p>
    <w:p w14:paraId="0F31C42D" w14:textId="5FBE8438" w:rsidR="005E5CDC" w:rsidRPr="00497868" w:rsidRDefault="00897672" w:rsidP="00497868">
      <w:pPr>
        <w:pStyle w:val="Heading15"/>
        <w:spacing w:before="0" w:after="0"/>
        <w:jc w:val="both"/>
        <w:rPr>
          <w:rFonts w:ascii="Aptos" w:hAnsi="Aptos"/>
          <w:color w:val="B31E3E" w:themeColor="accent1"/>
          <w:sz w:val="24"/>
          <w:u w:val="single"/>
        </w:rPr>
      </w:pPr>
      <w:bookmarkStart w:id="36" w:name="_Toc221009652"/>
      <w:r w:rsidRPr="00497868">
        <w:rPr>
          <w:rFonts w:ascii="Aptos" w:hAnsi="Aptos"/>
          <w:color w:val="B31E3E" w:themeColor="accent1"/>
          <w:sz w:val="24"/>
          <w:u w:val="single"/>
        </w:rPr>
        <w:t>Adoption Stage</w:t>
      </w:r>
      <w:r w:rsidR="005E5CDC" w:rsidRPr="00497868">
        <w:rPr>
          <w:rFonts w:ascii="Aptos" w:hAnsi="Aptos"/>
          <w:color w:val="B31E3E" w:themeColor="accent1"/>
          <w:sz w:val="24"/>
          <w:u w:val="single"/>
        </w:rPr>
        <w:t xml:space="preserve"> Questionnaire</w:t>
      </w:r>
      <w:bookmarkEnd w:id="36"/>
    </w:p>
    <w:p w14:paraId="319CC32B" w14:textId="0D94D35C" w:rsidR="005E5CDC" w:rsidRPr="00BF0C10" w:rsidRDefault="005E5CDC" w:rsidP="00497868">
      <w:pPr>
        <w:jc w:val="both"/>
        <w:rPr>
          <w:rFonts w:ascii="Aptos" w:hAnsi="Aptos"/>
          <w:color w:val="auto"/>
          <w:sz w:val="20"/>
          <w:szCs w:val="20"/>
        </w:rPr>
      </w:pPr>
    </w:p>
    <w:p w14:paraId="68011C15" w14:textId="3C539236" w:rsidR="008A3AD8" w:rsidRDefault="007F0005" w:rsidP="00497868">
      <w:pPr>
        <w:jc w:val="both"/>
        <w:rPr>
          <w:rFonts w:ascii="Aptos" w:hAnsi="Aptos"/>
          <w:color w:val="auto"/>
          <w:sz w:val="20"/>
          <w:szCs w:val="20"/>
        </w:rPr>
      </w:pPr>
      <w:r w:rsidRPr="00497868">
        <w:rPr>
          <w:rFonts w:ascii="Aptos" w:hAnsi="Aptos"/>
          <w:color w:val="auto"/>
          <w:sz w:val="20"/>
          <w:szCs w:val="20"/>
        </w:rPr>
        <w:t xml:space="preserve">The </w:t>
      </w:r>
      <w:r w:rsidR="00836C72" w:rsidRPr="00497868">
        <w:rPr>
          <w:rFonts w:ascii="Aptos" w:hAnsi="Aptos"/>
          <w:color w:val="auto"/>
          <w:sz w:val="20"/>
          <w:szCs w:val="20"/>
        </w:rPr>
        <w:t>Questionnaire</w:t>
      </w:r>
      <w:r w:rsidRPr="00497868">
        <w:rPr>
          <w:rFonts w:ascii="Aptos" w:hAnsi="Aptos"/>
          <w:color w:val="auto"/>
          <w:sz w:val="20"/>
          <w:szCs w:val="20"/>
        </w:rPr>
        <w:t xml:space="preserve"> guides organizations through a self-assessment </w:t>
      </w:r>
      <w:r w:rsidR="009A49FE" w:rsidRPr="00497868">
        <w:rPr>
          <w:rFonts w:ascii="Aptos" w:hAnsi="Aptos"/>
          <w:color w:val="auto"/>
          <w:sz w:val="20"/>
          <w:szCs w:val="20"/>
        </w:rPr>
        <w:t>that helps</w:t>
      </w:r>
      <w:r w:rsidR="00DB4B27" w:rsidRPr="00497868">
        <w:rPr>
          <w:rFonts w:ascii="Aptos" w:hAnsi="Aptos"/>
          <w:color w:val="auto"/>
          <w:sz w:val="20"/>
          <w:szCs w:val="20"/>
        </w:rPr>
        <w:t xml:space="preserve"> determine</w:t>
      </w:r>
      <w:r w:rsidRPr="00497868">
        <w:rPr>
          <w:rFonts w:ascii="Aptos" w:hAnsi="Aptos"/>
          <w:color w:val="auto"/>
          <w:sz w:val="20"/>
          <w:szCs w:val="20"/>
        </w:rPr>
        <w:t xml:space="preserve"> </w:t>
      </w:r>
      <w:r w:rsidR="000A7C46">
        <w:rPr>
          <w:rFonts w:ascii="Aptos" w:hAnsi="Aptos"/>
          <w:color w:val="auto"/>
          <w:sz w:val="20"/>
          <w:szCs w:val="20"/>
        </w:rPr>
        <w:t>their</w:t>
      </w:r>
      <w:r w:rsidRPr="00497868">
        <w:rPr>
          <w:rFonts w:ascii="Aptos" w:hAnsi="Aptos"/>
          <w:color w:val="auto"/>
          <w:sz w:val="20"/>
          <w:szCs w:val="20"/>
        </w:rPr>
        <w:t xml:space="preserve"> current AI </w:t>
      </w:r>
      <w:r w:rsidR="000A7C46">
        <w:rPr>
          <w:rFonts w:ascii="Aptos" w:hAnsi="Aptos"/>
          <w:color w:val="auto"/>
          <w:sz w:val="20"/>
          <w:szCs w:val="20"/>
        </w:rPr>
        <w:t>A</w:t>
      </w:r>
      <w:r w:rsidRPr="00497868">
        <w:rPr>
          <w:rFonts w:ascii="Aptos" w:hAnsi="Aptos"/>
          <w:color w:val="auto"/>
          <w:sz w:val="20"/>
          <w:szCs w:val="20"/>
        </w:rPr>
        <w:t xml:space="preserve">doption </w:t>
      </w:r>
      <w:r w:rsidR="000A7C46">
        <w:rPr>
          <w:rFonts w:ascii="Aptos" w:hAnsi="Aptos"/>
          <w:color w:val="auto"/>
          <w:sz w:val="20"/>
          <w:szCs w:val="20"/>
        </w:rPr>
        <w:t>S</w:t>
      </w:r>
      <w:r w:rsidRPr="00497868">
        <w:rPr>
          <w:rFonts w:ascii="Aptos" w:hAnsi="Aptos"/>
          <w:color w:val="auto"/>
          <w:sz w:val="20"/>
          <w:szCs w:val="20"/>
        </w:rPr>
        <w:t xml:space="preserve">tage, classifying </w:t>
      </w:r>
      <w:r w:rsidR="007A1D0F" w:rsidRPr="00497868">
        <w:rPr>
          <w:rFonts w:ascii="Aptos" w:hAnsi="Aptos"/>
          <w:color w:val="auto"/>
          <w:sz w:val="20"/>
          <w:szCs w:val="20"/>
        </w:rPr>
        <w:t>them</w:t>
      </w:r>
      <w:r w:rsidRPr="00497868">
        <w:rPr>
          <w:rFonts w:ascii="Aptos" w:hAnsi="Aptos"/>
          <w:color w:val="auto"/>
          <w:sz w:val="20"/>
          <w:szCs w:val="20"/>
        </w:rPr>
        <w:t xml:space="preserve"> into</w:t>
      </w:r>
      <w:r w:rsidR="00C045B1" w:rsidRPr="00497868">
        <w:rPr>
          <w:rFonts w:ascii="Aptos" w:hAnsi="Aptos"/>
          <w:color w:val="auto"/>
          <w:sz w:val="20"/>
          <w:szCs w:val="20"/>
        </w:rPr>
        <w:t xml:space="preserve"> one of</w:t>
      </w:r>
      <w:r w:rsidRPr="00497868">
        <w:rPr>
          <w:rFonts w:ascii="Aptos" w:hAnsi="Aptos"/>
          <w:color w:val="auto"/>
          <w:sz w:val="20"/>
          <w:szCs w:val="20"/>
        </w:rPr>
        <w:t xml:space="preserve"> </w:t>
      </w:r>
      <w:r w:rsidR="009576B1" w:rsidRPr="00497868">
        <w:rPr>
          <w:rFonts w:ascii="Aptos" w:hAnsi="Aptos"/>
          <w:color w:val="auto"/>
          <w:sz w:val="20"/>
          <w:szCs w:val="20"/>
        </w:rPr>
        <w:t xml:space="preserve">the </w:t>
      </w:r>
      <w:r w:rsidRPr="00497868">
        <w:rPr>
          <w:rFonts w:ascii="Aptos" w:hAnsi="Aptos"/>
          <w:color w:val="auto"/>
          <w:sz w:val="20"/>
          <w:szCs w:val="20"/>
        </w:rPr>
        <w:t xml:space="preserve">four </w:t>
      </w:r>
      <w:r w:rsidR="0057335A" w:rsidRPr="00497868">
        <w:rPr>
          <w:rFonts w:ascii="Aptos" w:hAnsi="Aptos"/>
          <w:color w:val="auto"/>
          <w:sz w:val="20"/>
          <w:szCs w:val="20"/>
        </w:rPr>
        <w:t>stages</w:t>
      </w:r>
      <w:r w:rsidR="009576B1" w:rsidRPr="00497868">
        <w:rPr>
          <w:rFonts w:ascii="Aptos" w:hAnsi="Aptos"/>
          <w:color w:val="auto"/>
          <w:sz w:val="20"/>
          <w:szCs w:val="20"/>
        </w:rPr>
        <w:t xml:space="preserve"> defined below</w:t>
      </w:r>
      <w:r w:rsidRPr="00497868">
        <w:rPr>
          <w:rFonts w:ascii="Aptos" w:hAnsi="Aptos"/>
          <w:color w:val="auto"/>
          <w:sz w:val="20"/>
          <w:szCs w:val="20"/>
        </w:rPr>
        <w:t xml:space="preserve">: </w:t>
      </w:r>
    </w:p>
    <w:p w14:paraId="0C8AAC8D" w14:textId="77777777" w:rsidR="00497868" w:rsidRPr="00497868" w:rsidRDefault="00497868" w:rsidP="00497868">
      <w:pPr>
        <w:jc w:val="both"/>
        <w:rPr>
          <w:rFonts w:ascii="Aptos" w:hAnsi="Aptos"/>
          <w:color w:val="auto"/>
          <w:sz w:val="20"/>
          <w:szCs w:val="20"/>
        </w:rPr>
      </w:pPr>
    </w:p>
    <w:p w14:paraId="52AD2AD1" w14:textId="77FCF479" w:rsidR="008A3AD8" w:rsidRPr="00497868" w:rsidRDefault="007F0005" w:rsidP="00497868">
      <w:pPr>
        <w:pStyle w:val="ListParagraph"/>
        <w:numPr>
          <w:ilvl w:val="0"/>
          <w:numId w:val="11"/>
        </w:numPr>
        <w:spacing w:after="0" w:line="240" w:lineRule="auto"/>
        <w:contextualSpacing w:val="0"/>
        <w:jc w:val="both"/>
        <w:rPr>
          <w:rFonts w:ascii="Aptos" w:hAnsi="Aptos"/>
          <w:sz w:val="20"/>
          <w:szCs w:val="20"/>
        </w:rPr>
      </w:pPr>
      <w:r w:rsidRPr="00497868">
        <w:rPr>
          <w:rFonts w:ascii="Aptos" w:hAnsi="Aptos"/>
          <w:b/>
          <w:bCs/>
          <w:sz w:val="20"/>
          <w:szCs w:val="20"/>
        </w:rPr>
        <w:t>Initial</w:t>
      </w:r>
      <w:r w:rsidR="007B3707" w:rsidRPr="00497868">
        <w:rPr>
          <w:rFonts w:ascii="Aptos" w:hAnsi="Aptos"/>
          <w:sz w:val="20"/>
          <w:szCs w:val="20"/>
        </w:rPr>
        <w:t xml:space="preserve"> features limited and protective methods</w:t>
      </w:r>
      <w:r w:rsidR="004D30BD" w:rsidRPr="00497868">
        <w:rPr>
          <w:rFonts w:ascii="Aptos" w:hAnsi="Aptos"/>
          <w:sz w:val="20"/>
          <w:szCs w:val="20"/>
        </w:rPr>
        <w:t>;</w:t>
      </w:r>
    </w:p>
    <w:p w14:paraId="240AE1C9" w14:textId="3E3BAB8F" w:rsidR="008A3AD8" w:rsidRPr="00497868" w:rsidRDefault="007F0005" w:rsidP="00497868">
      <w:pPr>
        <w:pStyle w:val="ListParagraph"/>
        <w:numPr>
          <w:ilvl w:val="0"/>
          <w:numId w:val="11"/>
        </w:numPr>
        <w:spacing w:after="0" w:line="240" w:lineRule="auto"/>
        <w:contextualSpacing w:val="0"/>
        <w:jc w:val="both"/>
        <w:rPr>
          <w:rFonts w:ascii="Aptos" w:hAnsi="Aptos"/>
          <w:b/>
          <w:bCs/>
          <w:sz w:val="20"/>
          <w:szCs w:val="20"/>
        </w:rPr>
      </w:pPr>
      <w:r w:rsidRPr="00497868">
        <w:rPr>
          <w:rFonts w:ascii="Aptos" w:hAnsi="Aptos"/>
          <w:b/>
          <w:bCs/>
          <w:sz w:val="20"/>
          <w:szCs w:val="20"/>
        </w:rPr>
        <w:t>Minimal</w:t>
      </w:r>
      <w:r w:rsidR="007B3707" w:rsidRPr="00497868">
        <w:rPr>
          <w:rFonts w:ascii="Aptos" w:hAnsi="Aptos"/>
          <w:b/>
          <w:bCs/>
          <w:sz w:val="20"/>
          <w:szCs w:val="20"/>
        </w:rPr>
        <w:t xml:space="preserve"> </w:t>
      </w:r>
      <w:r w:rsidR="007B3707" w:rsidRPr="00497868">
        <w:rPr>
          <w:rFonts w:ascii="Aptos" w:hAnsi="Aptos"/>
          <w:sz w:val="20"/>
          <w:szCs w:val="20"/>
        </w:rPr>
        <w:t>entails low-risk implementations</w:t>
      </w:r>
      <w:r w:rsidR="004D30BD" w:rsidRPr="00497868">
        <w:rPr>
          <w:rFonts w:ascii="Aptos" w:hAnsi="Aptos"/>
          <w:sz w:val="20"/>
          <w:szCs w:val="20"/>
        </w:rPr>
        <w:t>;</w:t>
      </w:r>
      <w:r w:rsidRPr="00497868">
        <w:rPr>
          <w:rFonts w:ascii="Aptos" w:hAnsi="Aptos"/>
          <w:b/>
          <w:bCs/>
          <w:sz w:val="20"/>
          <w:szCs w:val="20"/>
        </w:rPr>
        <w:t xml:space="preserve"> </w:t>
      </w:r>
    </w:p>
    <w:p w14:paraId="0C759F4A" w14:textId="204DEEBB" w:rsidR="008A3AD8" w:rsidRPr="00497868" w:rsidRDefault="007F0005" w:rsidP="00497868">
      <w:pPr>
        <w:pStyle w:val="ListParagraph"/>
        <w:numPr>
          <w:ilvl w:val="0"/>
          <w:numId w:val="11"/>
        </w:numPr>
        <w:spacing w:after="0" w:line="240" w:lineRule="auto"/>
        <w:contextualSpacing w:val="0"/>
        <w:jc w:val="both"/>
        <w:rPr>
          <w:rFonts w:ascii="Aptos" w:hAnsi="Aptos"/>
          <w:sz w:val="20"/>
          <w:szCs w:val="20"/>
        </w:rPr>
      </w:pPr>
      <w:r w:rsidRPr="00497868">
        <w:rPr>
          <w:rFonts w:ascii="Aptos" w:hAnsi="Aptos"/>
          <w:b/>
          <w:bCs/>
          <w:sz w:val="20"/>
          <w:szCs w:val="20"/>
        </w:rPr>
        <w:t>Evolving</w:t>
      </w:r>
      <w:r w:rsidR="004D30BD" w:rsidRPr="00497868">
        <w:rPr>
          <w:rFonts w:ascii="Aptos" w:hAnsi="Aptos"/>
          <w:sz w:val="20"/>
          <w:szCs w:val="20"/>
        </w:rPr>
        <w:t xml:space="preserve"> involves high-risk production applications;</w:t>
      </w:r>
      <w:r w:rsidRPr="00497868">
        <w:rPr>
          <w:rFonts w:ascii="Aptos" w:hAnsi="Aptos"/>
          <w:sz w:val="20"/>
          <w:szCs w:val="20"/>
        </w:rPr>
        <w:t xml:space="preserve"> and </w:t>
      </w:r>
    </w:p>
    <w:p w14:paraId="4353FA13" w14:textId="77777777" w:rsidR="00D57E32" w:rsidRPr="00497868" w:rsidRDefault="007F0005" w:rsidP="00497868">
      <w:pPr>
        <w:pStyle w:val="ListParagraph"/>
        <w:numPr>
          <w:ilvl w:val="0"/>
          <w:numId w:val="11"/>
        </w:numPr>
        <w:spacing w:after="0" w:line="240" w:lineRule="auto"/>
        <w:contextualSpacing w:val="0"/>
        <w:jc w:val="both"/>
        <w:rPr>
          <w:rFonts w:ascii="Aptos" w:hAnsi="Aptos"/>
          <w:sz w:val="20"/>
          <w:szCs w:val="20"/>
        </w:rPr>
      </w:pPr>
      <w:r w:rsidRPr="00497868">
        <w:rPr>
          <w:rFonts w:ascii="Aptos" w:hAnsi="Aptos"/>
          <w:b/>
          <w:bCs/>
          <w:sz w:val="20"/>
          <w:szCs w:val="20"/>
        </w:rPr>
        <w:t>Embedded</w:t>
      </w:r>
      <w:r w:rsidR="00D57E32" w:rsidRPr="00497868">
        <w:rPr>
          <w:rFonts w:ascii="Aptos" w:hAnsi="Aptos"/>
          <w:sz w:val="20"/>
          <w:szCs w:val="20"/>
        </w:rPr>
        <w:t xml:space="preserve"> describes AI that is widely integrated across the organization</w:t>
      </w:r>
      <w:r w:rsidRPr="00497868">
        <w:rPr>
          <w:rFonts w:ascii="Aptos" w:hAnsi="Aptos"/>
          <w:sz w:val="20"/>
          <w:szCs w:val="20"/>
        </w:rPr>
        <w:t>.</w:t>
      </w:r>
    </w:p>
    <w:p w14:paraId="39A886D8" w14:textId="77777777" w:rsidR="007A1D0F" w:rsidRPr="00497868" w:rsidRDefault="007A1D0F" w:rsidP="00497868">
      <w:pPr>
        <w:jc w:val="both"/>
        <w:rPr>
          <w:rFonts w:ascii="Aptos" w:hAnsi="Aptos"/>
          <w:color w:val="auto"/>
          <w:sz w:val="20"/>
          <w:szCs w:val="20"/>
        </w:rPr>
      </w:pPr>
    </w:p>
    <w:p w14:paraId="089EF155" w14:textId="0D98CACB" w:rsidR="00746B61" w:rsidRPr="00497868" w:rsidRDefault="007F0005" w:rsidP="00497868">
      <w:pPr>
        <w:jc w:val="both"/>
        <w:rPr>
          <w:rFonts w:ascii="Aptos" w:hAnsi="Aptos"/>
          <w:color w:val="auto"/>
          <w:sz w:val="20"/>
          <w:szCs w:val="20"/>
        </w:rPr>
      </w:pPr>
      <w:r w:rsidRPr="00497868">
        <w:rPr>
          <w:rFonts w:ascii="Aptos" w:hAnsi="Aptos"/>
          <w:color w:val="auto"/>
          <w:sz w:val="20"/>
          <w:szCs w:val="20"/>
        </w:rPr>
        <w:t>The</w:t>
      </w:r>
      <w:r w:rsidR="008E0087" w:rsidRPr="00497868">
        <w:rPr>
          <w:rFonts w:ascii="Aptos" w:hAnsi="Aptos"/>
          <w:color w:val="auto"/>
          <w:sz w:val="20"/>
          <w:szCs w:val="20"/>
        </w:rPr>
        <w:t>se four</w:t>
      </w:r>
      <w:r w:rsidRPr="00497868">
        <w:rPr>
          <w:rFonts w:ascii="Aptos" w:hAnsi="Aptos"/>
          <w:color w:val="auto"/>
          <w:sz w:val="20"/>
          <w:szCs w:val="20"/>
        </w:rPr>
        <w:t xml:space="preserve"> </w:t>
      </w:r>
      <w:r w:rsidR="008E0087" w:rsidRPr="00497868">
        <w:rPr>
          <w:rFonts w:ascii="Aptos" w:hAnsi="Aptos"/>
          <w:color w:val="auto"/>
          <w:sz w:val="20"/>
          <w:szCs w:val="20"/>
        </w:rPr>
        <w:t>stages</w:t>
      </w:r>
      <w:r w:rsidRPr="00497868">
        <w:rPr>
          <w:rFonts w:ascii="Aptos" w:hAnsi="Aptos"/>
          <w:color w:val="auto"/>
          <w:sz w:val="20"/>
          <w:szCs w:val="20"/>
        </w:rPr>
        <w:t xml:space="preserve"> consider the business impact of AI, technology implementation, and scalability. </w:t>
      </w:r>
    </w:p>
    <w:p w14:paraId="0D4FBBF6" w14:textId="77777777" w:rsidR="009502B4" w:rsidRDefault="009502B4" w:rsidP="006B5D89">
      <w:pPr>
        <w:spacing w:line="269" w:lineRule="auto"/>
        <w:jc w:val="both"/>
        <w:rPr>
          <w:rFonts w:ascii="Aptos" w:hAnsi="Aptos"/>
          <w:color w:val="auto"/>
        </w:rPr>
      </w:pPr>
    </w:p>
    <w:tbl>
      <w:tblPr>
        <w:tblStyle w:val="TableGrid"/>
        <w:tblW w:w="0" w:type="auto"/>
        <w:tblLook w:val="04A0" w:firstRow="1" w:lastRow="0" w:firstColumn="1" w:lastColumn="0" w:noHBand="0" w:noVBand="1"/>
      </w:tblPr>
      <w:tblGrid>
        <w:gridCol w:w="1829"/>
        <w:gridCol w:w="2060"/>
        <w:gridCol w:w="2060"/>
        <w:gridCol w:w="2060"/>
        <w:gridCol w:w="2061"/>
      </w:tblGrid>
      <w:tr w:rsidR="00A028EB" w:rsidRPr="0000223E" w14:paraId="39D352EE" w14:textId="77777777" w:rsidTr="007A14C4">
        <w:trPr>
          <w:tblHeader/>
        </w:trPr>
        <w:tc>
          <w:tcPr>
            <w:tcW w:w="1829" w:type="dxa"/>
            <w:tcBorders>
              <w:top w:val="single" w:sz="4" w:space="0" w:color="FFFFFF" w:themeColor="background1"/>
              <w:left w:val="single" w:sz="4" w:space="0" w:color="FFFFFF" w:themeColor="background1"/>
            </w:tcBorders>
          </w:tcPr>
          <w:p w14:paraId="459E53E5" w14:textId="77777777" w:rsidR="00A028EB" w:rsidRPr="0000223E" w:rsidRDefault="00A028EB" w:rsidP="0000223E">
            <w:pPr>
              <w:jc w:val="both"/>
              <w:rPr>
                <w:rFonts w:ascii="Aptos" w:hAnsi="Aptos"/>
                <w:color w:val="auto"/>
                <w:sz w:val="20"/>
                <w:szCs w:val="20"/>
              </w:rPr>
            </w:pPr>
          </w:p>
        </w:tc>
        <w:tc>
          <w:tcPr>
            <w:tcW w:w="2060" w:type="dxa"/>
            <w:shd w:val="clear" w:color="auto" w:fill="BFBFBF"/>
          </w:tcPr>
          <w:p w14:paraId="6605583F" w14:textId="44A63C78" w:rsidR="00A028EB" w:rsidRPr="00B93D9E" w:rsidRDefault="009D32DB" w:rsidP="0000223E">
            <w:pPr>
              <w:jc w:val="center"/>
              <w:rPr>
                <w:rFonts w:ascii="Aptos" w:hAnsi="Aptos"/>
                <w:b/>
                <w:bCs/>
                <w:color w:val="000000" w:themeColor="text1"/>
                <w:sz w:val="20"/>
                <w:szCs w:val="20"/>
              </w:rPr>
            </w:pPr>
            <w:r w:rsidRPr="00B93D9E">
              <w:rPr>
                <w:rFonts w:ascii="Aptos" w:hAnsi="Aptos"/>
                <w:b/>
                <w:bCs/>
                <w:color w:val="000000" w:themeColor="text1"/>
                <w:sz w:val="20"/>
                <w:szCs w:val="20"/>
              </w:rPr>
              <w:t>Initial</w:t>
            </w:r>
          </w:p>
        </w:tc>
        <w:tc>
          <w:tcPr>
            <w:tcW w:w="2060" w:type="dxa"/>
            <w:shd w:val="clear" w:color="auto" w:fill="BFBFBF"/>
          </w:tcPr>
          <w:p w14:paraId="761763D7" w14:textId="4C744350" w:rsidR="00A028EB" w:rsidRPr="00B93D9E" w:rsidRDefault="009D32DB" w:rsidP="0000223E">
            <w:pPr>
              <w:jc w:val="center"/>
              <w:rPr>
                <w:rFonts w:ascii="Aptos" w:hAnsi="Aptos"/>
                <w:b/>
                <w:bCs/>
                <w:color w:val="000000" w:themeColor="text1"/>
                <w:sz w:val="20"/>
                <w:szCs w:val="20"/>
              </w:rPr>
            </w:pPr>
            <w:r w:rsidRPr="00B93D9E">
              <w:rPr>
                <w:rFonts w:ascii="Aptos" w:hAnsi="Aptos"/>
                <w:b/>
                <w:bCs/>
                <w:color w:val="000000" w:themeColor="text1"/>
                <w:sz w:val="20"/>
                <w:szCs w:val="20"/>
              </w:rPr>
              <w:t>Minimal</w:t>
            </w:r>
          </w:p>
        </w:tc>
        <w:tc>
          <w:tcPr>
            <w:tcW w:w="2060" w:type="dxa"/>
            <w:shd w:val="clear" w:color="auto" w:fill="BFBFBF"/>
          </w:tcPr>
          <w:p w14:paraId="7A5E3214" w14:textId="12832A38" w:rsidR="00A028EB" w:rsidRPr="00B93D9E" w:rsidRDefault="009D32DB" w:rsidP="0000223E">
            <w:pPr>
              <w:jc w:val="center"/>
              <w:rPr>
                <w:rFonts w:ascii="Aptos" w:hAnsi="Aptos"/>
                <w:b/>
                <w:bCs/>
                <w:color w:val="000000" w:themeColor="text1"/>
                <w:sz w:val="20"/>
                <w:szCs w:val="20"/>
              </w:rPr>
            </w:pPr>
            <w:r w:rsidRPr="00B93D9E">
              <w:rPr>
                <w:rFonts w:ascii="Aptos" w:hAnsi="Aptos"/>
                <w:b/>
                <w:bCs/>
                <w:color w:val="000000" w:themeColor="text1"/>
                <w:sz w:val="20"/>
                <w:szCs w:val="20"/>
              </w:rPr>
              <w:t>Evolving</w:t>
            </w:r>
          </w:p>
        </w:tc>
        <w:tc>
          <w:tcPr>
            <w:tcW w:w="2061" w:type="dxa"/>
            <w:shd w:val="clear" w:color="auto" w:fill="BFBFBF"/>
          </w:tcPr>
          <w:p w14:paraId="0AB41697" w14:textId="57413868" w:rsidR="00A028EB" w:rsidRPr="00B93D9E" w:rsidRDefault="009D32DB" w:rsidP="0000223E">
            <w:pPr>
              <w:jc w:val="center"/>
              <w:rPr>
                <w:rFonts w:ascii="Aptos" w:hAnsi="Aptos"/>
                <w:b/>
                <w:bCs/>
                <w:color w:val="000000" w:themeColor="text1"/>
                <w:sz w:val="20"/>
                <w:szCs w:val="20"/>
              </w:rPr>
            </w:pPr>
            <w:r w:rsidRPr="00B93D9E">
              <w:rPr>
                <w:rFonts w:ascii="Aptos" w:hAnsi="Aptos"/>
                <w:b/>
                <w:bCs/>
                <w:color w:val="000000" w:themeColor="text1"/>
                <w:sz w:val="20"/>
                <w:szCs w:val="20"/>
              </w:rPr>
              <w:t>Embedded</w:t>
            </w:r>
          </w:p>
        </w:tc>
      </w:tr>
      <w:tr w:rsidR="00A028EB" w:rsidRPr="0000223E" w14:paraId="62768AFC" w14:textId="77777777" w:rsidTr="007A14C4">
        <w:tc>
          <w:tcPr>
            <w:tcW w:w="1829" w:type="dxa"/>
            <w:shd w:val="clear" w:color="auto" w:fill="BFBFBF"/>
          </w:tcPr>
          <w:p w14:paraId="7B215783" w14:textId="3522D85D" w:rsidR="00A028EB" w:rsidRPr="00B93D9E" w:rsidRDefault="00A028EB" w:rsidP="0000223E">
            <w:pPr>
              <w:rPr>
                <w:rFonts w:ascii="Aptos" w:hAnsi="Aptos"/>
                <w:b/>
                <w:bCs/>
                <w:color w:val="auto"/>
                <w:sz w:val="20"/>
                <w:szCs w:val="20"/>
              </w:rPr>
            </w:pPr>
            <w:r w:rsidRPr="00B93D9E">
              <w:rPr>
                <w:rFonts w:ascii="Aptos" w:hAnsi="Aptos"/>
                <w:b/>
                <w:bCs/>
                <w:color w:val="auto"/>
                <w:sz w:val="20"/>
                <w:szCs w:val="20"/>
              </w:rPr>
              <w:t>Business Impact of AI</w:t>
            </w:r>
          </w:p>
        </w:tc>
        <w:tc>
          <w:tcPr>
            <w:tcW w:w="2060" w:type="dxa"/>
          </w:tcPr>
          <w:p w14:paraId="2C50BD7A" w14:textId="5325773E" w:rsidR="00E82A6B" w:rsidRPr="0000223E" w:rsidRDefault="00E82A6B" w:rsidP="0000223E">
            <w:pPr>
              <w:rPr>
                <w:rFonts w:ascii="Aptos" w:hAnsi="Aptos"/>
                <w:color w:val="auto"/>
                <w:sz w:val="20"/>
                <w:szCs w:val="20"/>
              </w:rPr>
            </w:pPr>
            <w:r w:rsidRPr="0000223E">
              <w:rPr>
                <w:rFonts w:ascii="Aptos" w:hAnsi="Aptos"/>
                <w:color w:val="auto"/>
                <w:sz w:val="20"/>
                <w:szCs w:val="20"/>
              </w:rPr>
              <w:t xml:space="preserve">AI </w:t>
            </w:r>
            <w:r w:rsidR="001835E7" w:rsidRPr="0000223E">
              <w:rPr>
                <w:rFonts w:ascii="Aptos" w:hAnsi="Aptos"/>
                <w:color w:val="auto"/>
                <w:sz w:val="20"/>
                <w:szCs w:val="20"/>
              </w:rPr>
              <w:t xml:space="preserve">is </w:t>
            </w:r>
            <w:r w:rsidRPr="0000223E">
              <w:rPr>
                <w:rFonts w:ascii="Aptos" w:hAnsi="Aptos"/>
                <w:color w:val="auto"/>
                <w:sz w:val="20"/>
                <w:szCs w:val="20"/>
              </w:rPr>
              <w:t>not embedded in critical functions or business decisions.</w:t>
            </w:r>
          </w:p>
          <w:p w14:paraId="492741BD" w14:textId="77777777" w:rsidR="00A028EB" w:rsidRPr="0000223E" w:rsidRDefault="00A028EB" w:rsidP="0000223E">
            <w:pPr>
              <w:rPr>
                <w:rFonts w:ascii="Aptos" w:hAnsi="Aptos"/>
                <w:color w:val="auto"/>
                <w:sz w:val="20"/>
                <w:szCs w:val="20"/>
              </w:rPr>
            </w:pPr>
          </w:p>
        </w:tc>
        <w:tc>
          <w:tcPr>
            <w:tcW w:w="2060" w:type="dxa"/>
          </w:tcPr>
          <w:p w14:paraId="63305E1E" w14:textId="4D107B5A" w:rsidR="00E82A6B" w:rsidRPr="0000223E" w:rsidRDefault="001835E7" w:rsidP="0000223E">
            <w:pPr>
              <w:rPr>
                <w:rFonts w:ascii="Aptos" w:hAnsi="Aptos"/>
                <w:color w:val="auto"/>
                <w:sz w:val="20"/>
                <w:szCs w:val="20"/>
              </w:rPr>
            </w:pPr>
            <w:r w:rsidRPr="0000223E">
              <w:rPr>
                <w:rFonts w:ascii="Aptos" w:hAnsi="Aptos"/>
                <w:color w:val="auto"/>
                <w:sz w:val="20"/>
                <w:szCs w:val="20"/>
              </w:rPr>
              <w:t>AI use is l</w:t>
            </w:r>
            <w:r w:rsidR="00E82A6B" w:rsidRPr="0000223E">
              <w:rPr>
                <w:rFonts w:ascii="Aptos" w:hAnsi="Aptos"/>
                <w:color w:val="auto"/>
                <w:sz w:val="20"/>
                <w:szCs w:val="20"/>
              </w:rPr>
              <w:t>imited (production or non-production) for non-critical tasks.</w:t>
            </w:r>
          </w:p>
          <w:p w14:paraId="0211C0F6" w14:textId="77777777" w:rsidR="00A028EB" w:rsidRPr="0000223E" w:rsidRDefault="00A028EB" w:rsidP="0000223E">
            <w:pPr>
              <w:rPr>
                <w:rFonts w:ascii="Aptos" w:hAnsi="Aptos"/>
                <w:color w:val="auto"/>
                <w:sz w:val="20"/>
                <w:szCs w:val="20"/>
              </w:rPr>
            </w:pPr>
          </w:p>
        </w:tc>
        <w:tc>
          <w:tcPr>
            <w:tcW w:w="2060" w:type="dxa"/>
          </w:tcPr>
          <w:p w14:paraId="7E2453E9" w14:textId="1D088895" w:rsidR="00A028EB" w:rsidRPr="0000223E" w:rsidRDefault="00E82A6B" w:rsidP="0000223E">
            <w:pPr>
              <w:rPr>
                <w:rFonts w:ascii="Aptos" w:hAnsi="Aptos"/>
                <w:color w:val="auto"/>
                <w:sz w:val="20"/>
                <w:szCs w:val="20"/>
              </w:rPr>
            </w:pPr>
            <w:r w:rsidRPr="0000223E">
              <w:rPr>
                <w:rFonts w:ascii="Aptos" w:hAnsi="Aptos"/>
                <w:color w:val="auto"/>
                <w:sz w:val="20"/>
                <w:szCs w:val="20"/>
              </w:rPr>
              <w:t xml:space="preserve">AI drives outcomes through external-facing solutions and </w:t>
            </w:r>
            <w:r w:rsidR="00CF176B" w:rsidRPr="0000223E">
              <w:rPr>
                <w:rFonts w:ascii="Aptos" w:hAnsi="Aptos"/>
                <w:color w:val="auto"/>
                <w:sz w:val="20"/>
                <w:szCs w:val="20"/>
              </w:rPr>
              <w:t xml:space="preserve">the </w:t>
            </w:r>
            <w:r w:rsidRPr="0000223E">
              <w:rPr>
                <w:rFonts w:ascii="Aptos" w:hAnsi="Aptos"/>
                <w:color w:val="auto"/>
                <w:sz w:val="20"/>
                <w:szCs w:val="20"/>
              </w:rPr>
              <w:t>use of sensitive data</w:t>
            </w:r>
            <w:r w:rsidR="00CF176B" w:rsidRPr="0000223E">
              <w:rPr>
                <w:rFonts w:ascii="Aptos" w:hAnsi="Aptos"/>
                <w:color w:val="auto"/>
                <w:sz w:val="20"/>
                <w:szCs w:val="20"/>
              </w:rPr>
              <w:t>, but it is n</w:t>
            </w:r>
            <w:r w:rsidRPr="0000223E">
              <w:rPr>
                <w:rFonts w:ascii="Aptos" w:hAnsi="Aptos"/>
                <w:color w:val="auto"/>
                <w:sz w:val="20"/>
                <w:szCs w:val="20"/>
              </w:rPr>
              <w:t>ot utilized for critical decision-making.</w:t>
            </w:r>
          </w:p>
        </w:tc>
        <w:tc>
          <w:tcPr>
            <w:tcW w:w="2061" w:type="dxa"/>
          </w:tcPr>
          <w:p w14:paraId="52B41AD7" w14:textId="16755FEE" w:rsidR="00A028EB" w:rsidRPr="0000223E" w:rsidRDefault="001835E7" w:rsidP="0000223E">
            <w:pPr>
              <w:rPr>
                <w:rFonts w:ascii="Aptos" w:hAnsi="Aptos"/>
                <w:color w:val="auto"/>
                <w:sz w:val="20"/>
                <w:szCs w:val="20"/>
              </w:rPr>
            </w:pPr>
            <w:r w:rsidRPr="0000223E">
              <w:rPr>
                <w:rFonts w:ascii="Aptos" w:hAnsi="Aptos"/>
                <w:color w:val="auto"/>
                <w:sz w:val="20"/>
                <w:szCs w:val="20"/>
              </w:rPr>
              <w:t>AI drives outcomes by incorporating autonomous decision-making and data-driven insights into critical business functions.</w:t>
            </w:r>
          </w:p>
        </w:tc>
      </w:tr>
      <w:tr w:rsidR="00A028EB" w:rsidRPr="0000223E" w14:paraId="2E3F699A" w14:textId="77777777" w:rsidTr="007A14C4">
        <w:tc>
          <w:tcPr>
            <w:tcW w:w="1829" w:type="dxa"/>
            <w:shd w:val="clear" w:color="auto" w:fill="BFBFBF"/>
          </w:tcPr>
          <w:p w14:paraId="78BEE06D" w14:textId="41DB527D" w:rsidR="00A028EB" w:rsidRPr="00B93D9E" w:rsidRDefault="00A028EB" w:rsidP="0000223E">
            <w:pPr>
              <w:rPr>
                <w:rFonts w:ascii="Aptos" w:hAnsi="Aptos"/>
                <w:b/>
                <w:bCs/>
                <w:color w:val="auto"/>
                <w:sz w:val="20"/>
                <w:szCs w:val="20"/>
              </w:rPr>
            </w:pPr>
            <w:r w:rsidRPr="00B93D9E">
              <w:rPr>
                <w:rFonts w:ascii="Aptos" w:hAnsi="Aptos"/>
                <w:b/>
                <w:bCs/>
                <w:color w:val="auto"/>
                <w:sz w:val="20"/>
                <w:szCs w:val="20"/>
              </w:rPr>
              <w:t>Technology Implementation</w:t>
            </w:r>
          </w:p>
        </w:tc>
        <w:tc>
          <w:tcPr>
            <w:tcW w:w="2060" w:type="dxa"/>
          </w:tcPr>
          <w:p w14:paraId="4DB4B19A" w14:textId="6BB78E22" w:rsidR="00A028EB" w:rsidRPr="0000223E" w:rsidRDefault="00266156" w:rsidP="0000223E">
            <w:pPr>
              <w:rPr>
                <w:rFonts w:ascii="Aptos" w:hAnsi="Aptos"/>
                <w:color w:val="auto"/>
                <w:sz w:val="20"/>
                <w:szCs w:val="20"/>
              </w:rPr>
            </w:pPr>
            <w:r w:rsidRPr="0000223E">
              <w:rPr>
                <w:rFonts w:ascii="Aptos" w:hAnsi="Aptos"/>
                <w:color w:val="auto"/>
                <w:sz w:val="20"/>
                <w:szCs w:val="20"/>
              </w:rPr>
              <w:t>P</w:t>
            </w:r>
            <w:r w:rsidR="00E82A6B" w:rsidRPr="0000223E">
              <w:rPr>
                <w:rFonts w:ascii="Aptos" w:hAnsi="Aptos"/>
                <w:color w:val="auto"/>
                <w:sz w:val="20"/>
                <w:szCs w:val="20"/>
              </w:rPr>
              <w:t>redictive AI and model risk management</w:t>
            </w:r>
            <w:r w:rsidR="00883037" w:rsidRPr="0000223E">
              <w:rPr>
                <w:rFonts w:ascii="Aptos" w:hAnsi="Aptos"/>
                <w:color w:val="auto"/>
                <w:sz w:val="20"/>
                <w:szCs w:val="20"/>
              </w:rPr>
              <w:t xml:space="preserve"> is used but r</w:t>
            </w:r>
            <w:r w:rsidR="00E82A6B" w:rsidRPr="0000223E">
              <w:rPr>
                <w:rFonts w:ascii="Aptos" w:hAnsi="Aptos"/>
                <w:color w:val="auto"/>
                <w:sz w:val="20"/>
                <w:szCs w:val="20"/>
              </w:rPr>
              <w:t>eli</w:t>
            </w:r>
            <w:r w:rsidR="00883037" w:rsidRPr="0000223E">
              <w:rPr>
                <w:rFonts w:ascii="Aptos" w:hAnsi="Aptos"/>
                <w:color w:val="auto"/>
                <w:sz w:val="20"/>
                <w:szCs w:val="20"/>
              </w:rPr>
              <w:t>es</w:t>
            </w:r>
            <w:r w:rsidR="00E82A6B" w:rsidRPr="0000223E">
              <w:rPr>
                <w:rFonts w:ascii="Aptos" w:hAnsi="Aptos"/>
                <w:color w:val="auto"/>
                <w:sz w:val="20"/>
                <w:szCs w:val="20"/>
              </w:rPr>
              <w:t xml:space="preserve"> on legacy systems with no adoption of modern AI technolog</w:t>
            </w:r>
            <w:r w:rsidR="005D177C" w:rsidRPr="0000223E">
              <w:rPr>
                <w:rFonts w:ascii="Aptos" w:hAnsi="Aptos"/>
                <w:color w:val="auto"/>
                <w:sz w:val="20"/>
                <w:szCs w:val="20"/>
              </w:rPr>
              <w:t>ies</w:t>
            </w:r>
            <w:r w:rsidR="00E82A6B" w:rsidRPr="0000223E">
              <w:rPr>
                <w:rFonts w:ascii="Aptos" w:hAnsi="Aptos"/>
                <w:color w:val="auto"/>
                <w:sz w:val="20"/>
                <w:szCs w:val="20"/>
              </w:rPr>
              <w:t>, external</w:t>
            </w:r>
            <w:r w:rsidR="005D177C" w:rsidRPr="0000223E">
              <w:rPr>
                <w:rFonts w:ascii="Aptos" w:hAnsi="Aptos"/>
                <w:color w:val="auto"/>
                <w:sz w:val="20"/>
                <w:szCs w:val="20"/>
              </w:rPr>
              <w:t>-</w:t>
            </w:r>
            <w:r w:rsidR="00E82A6B" w:rsidRPr="0000223E">
              <w:rPr>
                <w:rFonts w:ascii="Aptos" w:hAnsi="Aptos"/>
                <w:color w:val="auto"/>
                <w:sz w:val="20"/>
                <w:szCs w:val="20"/>
              </w:rPr>
              <w:t xml:space="preserve">facing solutions, or internal model development. </w:t>
            </w:r>
          </w:p>
        </w:tc>
        <w:tc>
          <w:tcPr>
            <w:tcW w:w="2060" w:type="dxa"/>
          </w:tcPr>
          <w:p w14:paraId="0241D7EC" w14:textId="6CAFBC4F" w:rsidR="00E82A6B" w:rsidRPr="0000223E" w:rsidRDefault="00E82A6B" w:rsidP="0000223E">
            <w:pPr>
              <w:rPr>
                <w:rFonts w:ascii="Aptos" w:hAnsi="Aptos"/>
                <w:color w:val="auto"/>
                <w:sz w:val="20"/>
                <w:szCs w:val="20"/>
              </w:rPr>
            </w:pPr>
            <w:r w:rsidRPr="0000223E">
              <w:rPr>
                <w:rFonts w:ascii="Aptos" w:hAnsi="Aptos"/>
                <w:color w:val="auto"/>
                <w:sz w:val="20"/>
                <w:szCs w:val="20"/>
              </w:rPr>
              <w:t xml:space="preserve">AI is narrowly in use and is </w:t>
            </w:r>
            <w:r w:rsidR="00DE5CA1" w:rsidRPr="0000223E">
              <w:rPr>
                <w:rFonts w:ascii="Aptos" w:hAnsi="Aptos"/>
                <w:color w:val="auto"/>
                <w:sz w:val="20"/>
                <w:szCs w:val="20"/>
              </w:rPr>
              <w:t xml:space="preserve">not </w:t>
            </w:r>
            <w:r w:rsidRPr="0000223E">
              <w:rPr>
                <w:rFonts w:ascii="Aptos" w:hAnsi="Aptos"/>
                <w:color w:val="auto"/>
                <w:sz w:val="20"/>
                <w:szCs w:val="20"/>
              </w:rPr>
              <w:t>external</w:t>
            </w:r>
            <w:r w:rsidR="00DE5CA1" w:rsidRPr="0000223E">
              <w:rPr>
                <w:rFonts w:ascii="Aptos" w:hAnsi="Aptos"/>
                <w:color w:val="auto"/>
                <w:sz w:val="20"/>
                <w:szCs w:val="20"/>
              </w:rPr>
              <w:t>-</w:t>
            </w:r>
            <w:r w:rsidRPr="0000223E">
              <w:rPr>
                <w:rFonts w:ascii="Aptos" w:hAnsi="Aptos"/>
                <w:color w:val="auto"/>
                <w:sz w:val="20"/>
                <w:szCs w:val="20"/>
              </w:rPr>
              <w:t xml:space="preserve">facing. AI does not handle sensitive data and there is no internal model </w:t>
            </w:r>
            <w:r w:rsidR="007475F6" w:rsidRPr="0000223E">
              <w:rPr>
                <w:rFonts w:ascii="Aptos" w:hAnsi="Aptos"/>
                <w:color w:val="auto"/>
                <w:sz w:val="20"/>
                <w:szCs w:val="20"/>
              </w:rPr>
              <w:t>d</w:t>
            </w:r>
            <w:r w:rsidRPr="0000223E">
              <w:rPr>
                <w:rFonts w:ascii="Aptos" w:hAnsi="Aptos"/>
                <w:color w:val="auto"/>
                <w:sz w:val="20"/>
                <w:szCs w:val="20"/>
              </w:rPr>
              <w:t>evelopment.</w:t>
            </w:r>
          </w:p>
          <w:p w14:paraId="280E5277" w14:textId="77777777" w:rsidR="00A028EB" w:rsidRPr="0000223E" w:rsidRDefault="00A028EB" w:rsidP="0000223E">
            <w:pPr>
              <w:rPr>
                <w:rFonts w:ascii="Aptos" w:hAnsi="Aptos"/>
                <w:color w:val="auto"/>
                <w:sz w:val="20"/>
                <w:szCs w:val="20"/>
              </w:rPr>
            </w:pPr>
          </w:p>
        </w:tc>
        <w:tc>
          <w:tcPr>
            <w:tcW w:w="2060" w:type="dxa"/>
          </w:tcPr>
          <w:p w14:paraId="71EA052B" w14:textId="77777777" w:rsidR="001835E7" w:rsidRPr="0000223E" w:rsidRDefault="001835E7" w:rsidP="0000223E">
            <w:pPr>
              <w:rPr>
                <w:rFonts w:ascii="Aptos" w:hAnsi="Aptos"/>
                <w:color w:val="auto"/>
                <w:sz w:val="20"/>
                <w:szCs w:val="20"/>
              </w:rPr>
            </w:pPr>
            <w:r w:rsidRPr="0000223E">
              <w:rPr>
                <w:rFonts w:ascii="Aptos" w:hAnsi="Aptos"/>
                <w:color w:val="auto"/>
                <w:sz w:val="20"/>
                <w:szCs w:val="20"/>
              </w:rPr>
              <w:t>AI adoption includes expanded use of solutions and sensitive data processing but lacks internal model development.</w:t>
            </w:r>
          </w:p>
          <w:p w14:paraId="487E59D3" w14:textId="77777777" w:rsidR="00A028EB" w:rsidRPr="0000223E" w:rsidRDefault="00A028EB" w:rsidP="0000223E">
            <w:pPr>
              <w:rPr>
                <w:rFonts w:ascii="Aptos" w:hAnsi="Aptos"/>
                <w:color w:val="auto"/>
                <w:sz w:val="20"/>
                <w:szCs w:val="20"/>
              </w:rPr>
            </w:pPr>
          </w:p>
        </w:tc>
        <w:tc>
          <w:tcPr>
            <w:tcW w:w="2061" w:type="dxa"/>
          </w:tcPr>
          <w:p w14:paraId="099B503D" w14:textId="7263B658" w:rsidR="001835E7" w:rsidRPr="0000223E" w:rsidRDefault="007B4FE3" w:rsidP="0000223E">
            <w:pPr>
              <w:rPr>
                <w:rFonts w:ascii="Aptos" w:hAnsi="Aptos"/>
                <w:color w:val="auto"/>
                <w:sz w:val="20"/>
                <w:szCs w:val="20"/>
              </w:rPr>
            </w:pPr>
            <w:r w:rsidRPr="0000223E">
              <w:rPr>
                <w:rFonts w:ascii="Aptos" w:hAnsi="Aptos"/>
                <w:color w:val="auto"/>
                <w:sz w:val="20"/>
                <w:szCs w:val="20"/>
              </w:rPr>
              <w:t>AI is used for</w:t>
            </w:r>
            <w:r w:rsidR="001835E7" w:rsidRPr="0000223E">
              <w:rPr>
                <w:rFonts w:ascii="Aptos" w:hAnsi="Aptos"/>
                <w:color w:val="auto"/>
                <w:sz w:val="20"/>
                <w:szCs w:val="20"/>
              </w:rPr>
              <w:t xml:space="preserve"> autonomous decision-making, high-sensitivity data processing, external</w:t>
            </w:r>
            <w:r w:rsidR="00DE5CA1" w:rsidRPr="0000223E">
              <w:rPr>
                <w:rFonts w:ascii="Aptos" w:hAnsi="Aptos"/>
                <w:color w:val="auto"/>
                <w:sz w:val="20"/>
                <w:szCs w:val="20"/>
              </w:rPr>
              <w:t>-</w:t>
            </w:r>
            <w:r w:rsidR="001835E7" w:rsidRPr="0000223E">
              <w:rPr>
                <w:rFonts w:ascii="Aptos" w:hAnsi="Aptos"/>
                <w:color w:val="auto"/>
                <w:sz w:val="20"/>
                <w:szCs w:val="20"/>
              </w:rPr>
              <w:t>facing solutions, internal model development.</w:t>
            </w:r>
          </w:p>
          <w:p w14:paraId="3248CF24" w14:textId="77777777" w:rsidR="00A028EB" w:rsidRPr="0000223E" w:rsidRDefault="00A028EB" w:rsidP="0000223E">
            <w:pPr>
              <w:rPr>
                <w:rFonts w:ascii="Aptos" w:hAnsi="Aptos"/>
                <w:color w:val="auto"/>
                <w:sz w:val="20"/>
                <w:szCs w:val="20"/>
              </w:rPr>
            </w:pPr>
          </w:p>
        </w:tc>
      </w:tr>
      <w:tr w:rsidR="00A028EB" w:rsidRPr="0000223E" w14:paraId="51ABC70D" w14:textId="77777777" w:rsidTr="007A14C4">
        <w:tc>
          <w:tcPr>
            <w:tcW w:w="1829" w:type="dxa"/>
            <w:shd w:val="clear" w:color="auto" w:fill="BFBFBF"/>
          </w:tcPr>
          <w:p w14:paraId="51C30466" w14:textId="3D9121E5" w:rsidR="00A028EB" w:rsidRPr="00B93D9E" w:rsidRDefault="009D32DB" w:rsidP="0000223E">
            <w:pPr>
              <w:rPr>
                <w:rFonts w:ascii="Aptos" w:hAnsi="Aptos"/>
                <w:b/>
                <w:bCs/>
                <w:color w:val="auto"/>
                <w:sz w:val="20"/>
                <w:szCs w:val="20"/>
              </w:rPr>
            </w:pPr>
            <w:r w:rsidRPr="00B93D9E">
              <w:rPr>
                <w:rFonts w:ascii="Aptos" w:hAnsi="Aptos"/>
                <w:b/>
                <w:bCs/>
                <w:color w:val="auto"/>
                <w:sz w:val="20"/>
                <w:szCs w:val="20"/>
              </w:rPr>
              <w:lastRenderedPageBreak/>
              <w:t>Scalability</w:t>
            </w:r>
          </w:p>
        </w:tc>
        <w:tc>
          <w:tcPr>
            <w:tcW w:w="2060" w:type="dxa"/>
          </w:tcPr>
          <w:p w14:paraId="3455ADBF" w14:textId="77777777" w:rsidR="00E82A6B" w:rsidRPr="0000223E" w:rsidRDefault="00E82A6B" w:rsidP="0000223E">
            <w:pPr>
              <w:rPr>
                <w:rFonts w:ascii="Aptos" w:hAnsi="Aptos"/>
                <w:color w:val="auto"/>
                <w:sz w:val="20"/>
                <w:szCs w:val="20"/>
              </w:rPr>
            </w:pPr>
            <w:r w:rsidRPr="0000223E">
              <w:rPr>
                <w:rFonts w:ascii="Aptos" w:hAnsi="Aptos"/>
                <w:color w:val="auto"/>
                <w:sz w:val="20"/>
                <w:szCs w:val="20"/>
              </w:rPr>
              <w:t>Existing AI systems lack scalability and are confined to specific, limited applications that do not interact with or support broader organizational processes.</w:t>
            </w:r>
          </w:p>
          <w:p w14:paraId="418C9386" w14:textId="77777777" w:rsidR="00A028EB" w:rsidRPr="0000223E" w:rsidRDefault="00A028EB" w:rsidP="0000223E">
            <w:pPr>
              <w:rPr>
                <w:rFonts w:ascii="Aptos" w:hAnsi="Aptos"/>
                <w:color w:val="auto"/>
                <w:sz w:val="20"/>
                <w:szCs w:val="20"/>
              </w:rPr>
            </w:pPr>
          </w:p>
        </w:tc>
        <w:tc>
          <w:tcPr>
            <w:tcW w:w="2060" w:type="dxa"/>
          </w:tcPr>
          <w:p w14:paraId="490446AF" w14:textId="441D2CDA" w:rsidR="00A028EB" w:rsidRPr="0000223E" w:rsidRDefault="00E82A6B" w:rsidP="0000223E">
            <w:pPr>
              <w:rPr>
                <w:rFonts w:ascii="Aptos" w:hAnsi="Aptos"/>
                <w:color w:val="auto"/>
                <w:sz w:val="20"/>
                <w:szCs w:val="20"/>
              </w:rPr>
            </w:pPr>
            <w:r w:rsidRPr="0000223E">
              <w:rPr>
                <w:rFonts w:ascii="Aptos" w:hAnsi="Aptos"/>
                <w:color w:val="auto"/>
                <w:sz w:val="20"/>
                <w:szCs w:val="20"/>
              </w:rPr>
              <w:t>AI applications are limited to isolated instances without integration into wider business processes</w:t>
            </w:r>
            <w:r w:rsidR="009E2632" w:rsidRPr="0000223E">
              <w:rPr>
                <w:rFonts w:ascii="Aptos" w:hAnsi="Aptos"/>
                <w:color w:val="auto"/>
                <w:sz w:val="20"/>
                <w:szCs w:val="20"/>
              </w:rPr>
              <w:t>, and the</w:t>
            </w:r>
            <w:r w:rsidRPr="0000223E">
              <w:rPr>
                <w:rFonts w:ascii="Aptos" w:hAnsi="Aptos"/>
                <w:color w:val="auto"/>
                <w:sz w:val="20"/>
                <w:szCs w:val="20"/>
              </w:rPr>
              <w:t xml:space="preserve"> </w:t>
            </w:r>
            <w:r w:rsidR="009E2632" w:rsidRPr="0000223E">
              <w:rPr>
                <w:rFonts w:ascii="Aptos" w:hAnsi="Aptos"/>
                <w:color w:val="auto"/>
                <w:sz w:val="20"/>
                <w:szCs w:val="20"/>
              </w:rPr>
              <w:t>o</w:t>
            </w:r>
            <w:r w:rsidRPr="0000223E">
              <w:rPr>
                <w:rFonts w:ascii="Aptos" w:hAnsi="Aptos"/>
                <w:color w:val="auto"/>
                <w:sz w:val="20"/>
                <w:szCs w:val="20"/>
              </w:rPr>
              <w:t>rganization lacks the infrastructure necessary to scale AI solutions across multiple areas or functions.</w:t>
            </w:r>
          </w:p>
        </w:tc>
        <w:tc>
          <w:tcPr>
            <w:tcW w:w="2060" w:type="dxa"/>
          </w:tcPr>
          <w:p w14:paraId="44187A98" w14:textId="2D761452" w:rsidR="00A028EB" w:rsidRPr="0000223E" w:rsidRDefault="001835E7" w:rsidP="0000223E">
            <w:pPr>
              <w:rPr>
                <w:rFonts w:ascii="Aptos" w:hAnsi="Aptos"/>
                <w:color w:val="auto"/>
                <w:sz w:val="20"/>
                <w:szCs w:val="20"/>
              </w:rPr>
            </w:pPr>
            <w:r w:rsidRPr="0000223E">
              <w:rPr>
                <w:rFonts w:ascii="Aptos" w:hAnsi="Aptos"/>
                <w:color w:val="auto"/>
                <w:sz w:val="20"/>
                <w:szCs w:val="20"/>
              </w:rPr>
              <w:t>AI systems show potential for wider application, with deployment in more extensive, external-facing functions</w:t>
            </w:r>
            <w:r w:rsidR="00E751D0" w:rsidRPr="0000223E">
              <w:rPr>
                <w:rFonts w:ascii="Aptos" w:hAnsi="Aptos"/>
                <w:color w:val="auto"/>
                <w:sz w:val="20"/>
                <w:szCs w:val="20"/>
              </w:rPr>
              <w:t xml:space="preserve">, but </w:t>
            </w:r>
            <w:r w:rsidRPr="0000223E">
              <w:rPr>
                <w:rFonts w:ascii="Aptos" w:hAnsi="Aptos"/>
                <w:color w:val="auto"/>
                <w:sz w:val="20"/>
                <w:szCs w:val="20"/>
              </w:rPr>
              <w:t xml:space="preserve">these systems are not fully scalable or integrated, indicating a </w:t>
            </w:r>
            <w:r w:rsidR="00937CF2" w:rsidRPr="0000223E">
              <w:rPr>
                <w:rFonts w:ascii="Aptos" w:hAnsi="Aptos"/>
                <w:color w:val="auto"/>
                <w:sz w:val="20"/>
                <w:szCs w:val="20"/>
              </w:rPr>
              <w:t>transition</w:t>
            </w:r>
            <w:r w:rsidRPr="0000223E">
              <w:rPr>
                <w:rFonts w:ascii="Aptos" w:hAnsi="Aptos"/>
                <w:color w:val="auto"/>
                <w:sz w:val="20"/>
                <w:szCs w:val="20"/>
              </w:rPr>
              <w:t xml:space="preserve"> towards broader usability.</w:t>
            </w:r>
          </w:p>
        </w:tc>
        <w:tc>
          <w:tcPr>
            <w:tcW w:w="2061" w:type="dxa"/>
          </w:tcPr>
          <w:p w14:paraId="7A23FCF2" w14:textId="1ABFF590" w:rsidR="00A028EB" w:rsidRPr="0000223E" w:rsidRDefault="001835E7" w:rsidP="0000223E">
            <w:pPr>
              <w:rPr>
                <w:rFonts w:ascii="Aptos" w:hAnsi="Aptos"/>
                <w:color w:val="auto"/>
                <w:sz w:val="20"/>
                <w:szCs w:val="20"/>
              </w:rPr>
            </w:pPr>
            <w:r w:rsidRPr="0000223E">
              <w:rPr>
                <w:rFonts w:ascii="Aptos" w:hAnsi="Aptos"/>
                <w:color w:val="auto"/>
                <w:sz w:val="20"/>
                <w:szCs w:val="20"/>
              </w:rPr>
              <w:t xml:space="preserve">AI systems are fully scalable and integrated throughout the organization. </w:t>
            </w:r>
            <w:r w:rsidR="00937CF2" w:rsidRPr="0000223E">
              <w:rPr>
                <w:rFonts w:ascii="Aptos" w:hAnsi="Aptos"/>
                <w:color w:val="auto"/>
                <w:sz w:val="20"/>
                <w:szCs w:val="20"/>
              </w:rPr>
              <w:t>A</w:t>
            </w:r>
            <w:r w:rsidRPr="0000223E">
              <w:rPr>
                <w:rFonts w:ascii="Aptos" w:hAnsi="Aptos"/>
                <w:color w:val="auto"/>
                <w:sz w:val="20"/>
                <w:szCs w:val="20"/>
              </w:rPr>
              <w:t xml:space="preserve"> robust framework supports the deployment and interconnection of AI across diverse functions, promoting growth and adaptability.</w:t>
            </w:r>
          </w:p>
        </w:tc>
      </w:tr>
    </w:tbl>
    <w:p w14:paraId="0A545A5F" w14:textId="77777777" w:rsidR="00077FC7" w:rsidRDefault="00077FC7" w:rsidP="00304B3B">
      <w:pPr>
        <w:spacing w:line="269" w:lineRule="auto"/>
        <w:jc w:val="both"/>
        <w:rPr>
          <w:rFonts w:ascii="Aptos" w:hAnsi="Aptos"/>
          <w:color w:val="auto"/>
        </w:rPr>
      </w:pPr>
    </w:p>
    <w:p w14:paraId="442C7DBC" w14:textId="3427AEE0" w:rsidR="007F0005" w:rsidRPr="00BF0C10" w:rsidRDefault="00B428C2" w:rsidP="00BF0C10">
      <w:pPr>
        <w:jc w:val="both"/>
        <w:rPr>
          <w:rFonts w:ascii="Aptos" w:hAnsi="Aptos"/>
          <w:color w:val="auto"/>
          <w:sz w:val="20"/>
          <w:szCs w:val="20"/>
        </w:rPr>
      </w:pPr>
      <w:r w:rsidRPr="00BF0C10">
        <w:rPr>
          <w:rFonts w:ascii="Aptos" w:hAnsi="Aptos"/>
          <w:color w:val="auto"/>
          <w:sz w:val="20"/>
          <w:szCs w:val="20"/>
        </w:rPr>
        <w:t xml:space="preserve">To determine </w:t>
      </w:r>
      <w:r w:rsidR="00C173CA" w:rsidRPr="00BF0C10">
        <w:rPr>
          <w:rFonts w:ascii="Aptos" w:hAnsi="Aptos"/>
          <w:color w:val="auto"/>
          <w:sz w:val="20"/>
          <w:szCs w:val="20"/>
        </w:rPr>
        <w:t xml:space="preserve">its appropriate AI </w:t>
      </w:r>
      <w:r w:rsidR="001B0392">
        <w:rPr>
          <w:rFonts w:ascii="Aptos" w:hAnsi="Aptos"/>
          <w:color w:val="auto"/>
          <w:sz w:val="20"/>
          <w:szCs w:val="20"/>
        </w:rPr>
        <w:t>A</w:t>
      </w:r>
      <w:r w:rsidR="00C173CA" w:rsidRPr="00BF0C10">
        <w:rPr>
          <w:rFonts w:ascii="Aptos" w:hAnsi="Aptos"/>
          <w:color w:val="auto"/>
          <w:sz w:val="20"/>
          <w:szCs w:val="20"/>
        </w:rPr>
        <w:t xml:space="preserve">doption </w:t>
      </w:r>
      <w:r w:rsidR="001B0392">
        <w:rPr>
          <w:rFonts w:ascii="Aptos" w:hAnsi="Aptos"/>
          <w:color w:val="auto"/>
          <w:sz w:val="20"/>
          <w:szCs w:val="20"/>
        </w:rPr>
        <w:t>S</w:t>
      </w:r>
      <w:r w:rsidR="00C173CA" w:rsidRPr="00BF0C10">
        <w:rPr>
          <w:rFonts w:ascii="Aptos" w:hAnsi="Aptos"/>
          <w:color w:val="auto"/>
          <w:sz w:val="20"/>
          <w:szCs w:val="20"/>
        </w:rPr>
        <w:t>tage, t</w:t>
      </w:r>
      <w:r w:rsidR="007F0005" w:rsidRPr="00BF0C10">
        <w:rPr>
          <w:rFonts w:ascii="Aptos" w:hAnsi="Aptos"/>
          <w:color w:val="auto"/>
          <w:sz w:val="20"/>
          <w:szCs w:val="20"/>
        </w:rPr>
        <w:t xml:space="preserve">he </w:t>
      </w:r>
      <w:r w:rsidR="001317E4" w:rsidRPr="00BF0C10">
        <w:rPr>
          <w:rFonts w:ascii="Aptos" w:hAnsi="Aptos"/>
          <w:color w:val="auto"/>
          <w:sz w:val="20"/>
          <w:szCs w:val="20"/>
        </w:rPr>
        <w:t xml:space="preserve">AI </w:t>
      </w:r>
      <w:r w:rsidR="00C173CA" w:rsidRPr="00BF0C10">
        <w:rPr>
          <w:rFonts w:ascii="Aptos" w:hAnsi="Aptos"/>
          <w:color w:val="auto"/>
          <w:sz w:val="20"/>
          <w:szCs w:val="20"/>
        </w:rPr>
        <w:t>Q</w:t>
      </w:r>
      <w:r w:rsidR="007F0005" w:rsidRPr="00BF0C10">
        <w:rPr>
          <w:rFonts w:ascii="Aptos" w:hAnsi="Aptos"/>
          <w:color w:val="auto"/>
          <w:sz w:val="20"/>
          <w:szCs w:val="20"/>
        </w:rPr>
        <w:t xml:space="preserve">uestionnaire prompts </w:t>
      </w:r>
      <w:r w:rsidR="00C173CA" w:rsidRPr="00BF0C10">
        <w:rPr>
          <w:rFonts w:ascii="Aptos" w:hAnsi="Aptos"/>
          <w:color w:val="auto"/>
          <w:sz w:val="20"/>
          <w:szCs w:val="20"/>
        </w:rPr>
        <w:t>the user</w:t>
      </w:r>
      <w:r w:rsidR="007F0005" w:rsidRPr="00BF0C10">
        <w:rPr>
          <w:rFonts w:ascii="Aptos" w:hAnsi="Aptos"/>
          <w:color w:val="auto"/>
          <w:sz w:val="20"/>
          <w:szCs w:val="20"/>
        </w:rPr>
        <w:t xml:space="preserve"> to evaluate six key dimensions—Business Impact, Governance, Deployment Model, Third-Party AI Use, Organizational Goals, and Data Sensitivity and Criticality—by reviewing statements that describe their current practices and policies. Based on </w:t>
      </w:r>
      <w:r w:rsidR="00C77572">
        <w:rPr>
          <w:rFonts w:ascii="Aptos" w:hAnsi="Aptos"/>
          <w:color w:val="auto"/>
          <w:sz w:val="20"/>
          <w:szCs w:val="20"/>
        </w:rPr>
        <w:t>the</w:t>
      </w:r>
      <w:r w:rsidR="007F0005" w:rsidRPr="00BF0C10">
        <w:rPr>
          <w:rFonts w:ascii="Aptos" w:hAnsi="Aptos"/>
          <w:color w:val="auto"/>
          <w:sz w:val="20"/>
          <w:szCs w:val="20"/>
        </w:rPr>
        <w:t xml:space="preserve"> responses, organizations </w:t>
      </w:r>
      <w:r w:rsidR="00C173CA" w:rsidRPr="00BF0C10">
        <w:rPr>
          <w:rFonts w:ascii="Aptos" w:hAnsi="Aptos"/>
          <w:color w:val="auto"/>
          <w:sz w:val="20"/>
          <w:szCs w:val="20"/>
        </w:rPr>
        <w:t>will</w:t>
      </w:r>
      <w:r w:rsidR="007F0005" w:rsidRPr="00BF0C10">
        <w:rPr>
          <w:rFonts w:ascii="Aptos" w:hAnsi="Aptos"/>
          <w:color w:val="auto"/>
          <w:sz w:val="20"/>
          <w:szCs w:val="20"/>
        </w:rPr>
        <w:t xml:space="preserve"> determine whether they are in the early</w:t>
      </w:r>
      <w:r w:rsidR="003F6BDE" w:rsidRPr="00BF0C10">
        <w:rPr>
          <w:rFonts w:ascii="Aptos" w:hAnsi="Aptos"/>
          <w:color w:val="auto"/>
          <w:sz w:val="20"/>
          <w:szCs w:val="20"/>
        </w:rPr>
        <w:t>, mid, or later</w:t>
      </w:r>
      <w:r w:rsidR="007F0005" w:rsidRPr="00BF0C10">
        <w:rPr>
          <w:rFonts w:ascii="Aptos" w:hAnsi="Aptos"/>
          <w:color w:val="auto"/>
          <w:sz w:val="20"/>
          <w:szCs w:val="20"/>
        </w:rPr>
        <w:t xml:space="preserve"> stages of AI adoption. This </w:t>
      </w:r>
      <w:r w:rsidR="00CB6750" w:rsidRPr="00BF0C10">
        <w:rPr>
          <w:rFonts w:ascii="Aptos" w:hAnsi="Aptos"/>
          <w:color w:val="auto"/>
          <w:sz w:val="20"/>
          <w:szCs w:val="20"/>
        </w:rPr>
        <w:t xml:space="preserve">provides the foundation </w:t>
      </w:r>
      <w:r w:rsidR="007F0005" w:rsidRPr="00BF0C10">
        <w:rPr>
          <w:rFonts w:ascii="Aptos" w:hAnsi="Aptos"/>
          <w:color w:val="auto"/>
          <w:sz w:val="20"/>
          <w:szCs w:val="20"/>
        </w:rPr>
        <w:t xml:space="preserve">for understanding the organization’s current </w:t>
      </w:r>
      <w:r w:rsidR="00CB6750" w:rsidRPr="00BF0C10">
        <w:rPr>
          <w:rFonts w:ascii="Aptos" w:hAnsi="Aptos"/>
          <w:color w:val="auto"/>
          <w:sz w:val="20"/>
          <w:szCs w:val="20"/>
        </w:rPr>
        <w:t xml:space="preserve">and </w:t>
      </w:r>
      <w:r w:rsidR="00DD5DBB" w:rsidRPr="00BF0C10">
        <w:rPr>
          <w:rFonts w:ascii="Aptos" w:hAnsi="Aptos"/>
          <w:color w:val="auto"/>
          <w:sz w:val="20"/>
          <w:szCs w:val="20"/>
        </w:rPr>
        <w:t xml:space="preserve">desired </w:t>
      </w:r>
      <w:r w:rsidR="007F0005" w:rsidRPr="00BF0C10">
        <w:rPr>
          <w:rFonts w:ascii="Aptos" w:hAnsi="Aptos"/>
          <w:color w:val="auto"/>
          <w:sz w:val="20"/>
          <w:szCs w:val="20"/>
        </w:rPr>
        <w:t xml:space="preserve">AI </w:t>
      </w:r>
      <w:r w:rsidR="00DD5DBB" w:rsidRPr="00BF0C10">
        <w:rPr>
          <w:rFonts w:ascii="Aptos" w:hAnsi="Aptos"/>
          <w:color w:val="auto"/>
          <w:sz w:val="20"/>
          <w:szCs w:val="20"/>
        </w:rPr>
        <w:t>use</w:t>
      </w:r>
      <w:r w:rsidR="007F0005" w:rsidRPr="00BF0C10">
        <w:rPr>
          <w:rFonts w:ascii="Aptos" w:hAnsi="Aptos"/>
          <w:color w:val="auto"/>
          <w:sz w:val="20"/>
          <w:szCs w:val="20"/>
        </w:rPr>
        <w:t xml:space="preserve"> and </w:t>
      </w:r>
      <w:r w:rsidR="00DD5DBB" w:rsidRPr="00BF0C10">
        <w:rPr>
          <w:rFonts w:ascii="Aptos" w:hAnsi="Aptos"/>
          <w:color w:val="auto"/>
          <w:sz w:val="20"/>
          <w:szCs w:val="20"/>
        </w:rPr>
        <w:t xml:space="preserve">enables a more customized view of the </w:t>
      </w:r>
      <w:r w:rsidR="003D216A" w:rsidRPr="00BF0C10">
        <w:rPr>
          <w:rFonts w:ascii="Aptos" w:hAnsi="Aptos"/>
          <w:color w:val="auto"/>
          <w:sz w:val="20"/>
          <w:szCs w:val="20"/>
        </w:rPr>
        <w:t xml:space="preserve">related </w:t>
      </w:r>
      <w:r w:rsidR="00C77572">
        <w:rPr>
          <w:rFonts w:ascii="Aptos" w:hAnsi="Aptos"/>
          <w:color w:val="auto"/>
          <w:sz w:val="20"/>
          <w:szCs w:val="20"/>
        </w:rPr>
        <w:t>R</w:t>
      </w:r>
      <w:r w:rsidR="003D216A" w:rsidRPr="00BF0C10">
        <w:rPr>
          <w:rFonts w:ascii="Aptos" w:hAnsi="Aptos"/>
          <w:color w:val="auto"/>
          <w:sz w:val="20"/>
          <w:szCs w:val="20"/>
        </w:rPr>
        <w:t>isk</w:t>
      </w:r>
      <w:r w:rsidR="00C77572">
        <w:rPr>
          <w:rFonts w:ascii="Aptos" w:hAnsi="Aptos"/>
          <w:color w:val="auto"/>
          <w:sz w:val="20"/>
          <w:szCs w:val="20"/>
        </w:rPr>
        <w:t xml:space="preserve"> Statements</w:t>
      </w:r>
      <w:r w:rsidR="003D216A" w:rsidRPr="00BF0C10">
        <w:rPr>
          <w:rFonts w:ascii="Aptos" w:hAnsi="Aptos"/>
          <w:color w:val="auto"/>
          <w:sz w:val="20"/>
          <w:szCs w:val="20"/>
        </w:rPr>
        <w:t xml:space="preserve"> and applicable </w:t>
      </w:r>
      <w:r w:rsidR="003F6BDE" w:rsidRPr="00BF0C10">
        <w:rPr>
          <w:rFonts w:ascii="Aptos" w:hAnsi="Aptos"/>
          <w:color w:val="auto"/>
          <w:sz w:val="20"/>
          <w:szCs w:val="20"/>
        </w:rPr>
        <w:t>C</w:t>
      </w:r>
      <w:r w:rsidR="003D216A" w:rsidRPr="00BF0C10">
        <w:rPr>
          <w:rFonts w:ascii="Aptos" w:hAnsi="Aptos"/>
          <w:color w:val="auto"/>
          <w:sz w:val="20"/>
          <w:szCs w:val="20"/>
        </w:rPr>
        <w:t xml:space="preserve">ontrol </w:t>
      </w:r>
      <w:r w:rsidR="003F6BDE" w:rsidRPr="00BF0C10">
        <w:rPr>
          <w:rFonts w:ascii="Aptos" w:hAnsi="Aptos"/>
          <w:color w:val="auto"/>
          <w:sz w:val="20"/>
          <w:szCs w:val="20"/>
        </w:rPr>
        <w:t>O</w:t>
      </w:r>
      <w:r w:rsidR="003D216A" w:rsidRPr="00BF0C10">
        <w:rPr>
          <w:rFonts w:ascii="Aptos" w:hAnsi="Aptos"/>
          <w:color w:val="auto"/>
          <w:sz w:val="20"/>
          <w:szCs w:val="20"/>
        </w:rPr>
        <w:t xml:space="preserve">bjectives defined in detail in the RCM. </w:t>
      </w:r>
    </w:p>
    <w:p w14:paraId="260EBD61" w14:textId="77777777" w:rsidR="00142460" w:rsidRPr="00BF0C10" w:rsidRDefault="00142460" w:rsidP="00304B3B">
      <w:pPr>
        <w:spacing w:line="269" w:lineRule="auto"/>
        <w:jc w:val="both"/>
        <w:rPr>
          <w:rFonts w:ascii="Aptos" w:hAnsi="Aptos"/>
          <w:color w:val="auto"/>
          <w:sz w:val="20"/>
          <w:szCs w:val="20"/>
        </w:rPr>
      </w:pPr>
    </w:p>
    <w:p w14:paraId="46FED8E8" w14:textId="7878E055" w:rsidR="00142460" w:rsidRPr="00BF0C10" w:rsidRDefault="0043711B" w:rsidP="00304B3B">
      <w:pPr>
        <w:spacing w:line="269" w:lineRule="auto"/>
        <w:jc w:val="both"/>
        <w:rPr>
          <w:rFonts w:ascii="Aptos" w:hAnsi="Aptos"/>
          <w:color w:val="auto"/>
          <w:sz w:val="20"/>
          <w:szCs w:val="20"/>
        </w:rPr>
      </w:pPr>
      <w:r w:rsidRPr="00BF0C10">
        <w:rPr>
          <w:rFonts w:ascii="Aptos" w:hAnsi="Aptos"/>
          <w:color w:val="auto"/>
          <w:sz w:val="20"/>
          <w:szCs w:val="20"/>
        </w:rPr>
        <w:t>Please s</w:t>
      </w:r>
      <w:r w:rsidR="00142460" w:rsidRPr="00BF0C10">
        <w:rPr>
          <w:rFonts w:ascii="Aptos" w:hAnsi="Aptos"/>
          <w:color w:val="auto"/>
          <w:sz w:val="20"/>
          <w:szCs w:val="20"/>
        </w:rPr>
        <w:t xml:space="preserve">ee </w:t>
      </w:r>
      <w:r w:rsidR="001B5442" w:rsidRPr="00BF0C10">
        <w:rPr>
          <w:rFonts w:ascii="Aptos" w:hAnsi="Aptos"/>
          <w:b/>
          <w:bCs/>
          <w:color w:val="auto"/>
          <w:sz w:val="20"/>
          <w:szCs w:val="20"/>
        </w:rPr>
        <w:t>Section</w:t>
      </w:r>
      <w:r w:rsidR="00142460" w:rsidRPr="00BF0C10">
        <w:rPr>
          <w:rFonts w:ascii="Aptos" w:hAnsi="Aptos"/>
          <w:b/>
          <w:bCs/>
          <w:color w:val="auto"/>
          <w:sz w:val="20"/>
          <w:szCs w:val="20"/>
        </w:rPr>
        <w:t xml:space="preserve"> </w:t>
      </w:r>
      <w:r w:rsidR="00742F41" w:rsidRPr="00BF0C10">
        <w:rPr>
          <w:rFonts w:ascii="Aptos" w:hAnsi="Aptos"/>
          <w:b/>
          <w:bCs/>
          <w:color w:val="auto"/>
          <w:sz w:val="20"/>
          <w:szCs w:val="20"/>
        </w:rPr>
        <w:t>1</w:t>
      </w:r>
      <w:r w:rsidR="00742F41" w:rsidRPr="00BF0C10">
        <w:rPr>
          <w:rFonts w:ascii="Aptos" w:hAnsi="Aptos"/>
          <w:color w:val="auto"/>
          <w:sz w:val="20"/>
          <w:szCs w:val="20"/>
        </w:rPr>
        <w:t xml:space="preserve"> for the Adoption Stage </w:t>
      </w:r>
      <w:r w:rsidRPr="00BF0C10">
        <w:rPr>
          <w:rFonts w:ascii="Aptos" w:hAnsi="Aptos"/>
          <w:color w:val="auto"/>
          <w:sz w:val="20"/>
          <w:szCs w:val="20"/>
        </w:rPr>
        <w:t>Questionnaire.</w:t>
      </w:r>
    </w:p>
    <w:p w14:paraId="2FD891E3" w14:textId="77777777" w:rsidR="00746B61" w:rsidRPr="00B93D9E" w:rsidRDefault="00746B61" w:rsidP="00304B3B">
      <w:pPr>
        <w:spacing w:line="269" w:lineRule="auto"/>
        <w:jc w:val="both"/>
        <w:rPr>
          <w:rFonts w:ascii="Aptos" w:hAnsi="Aptos"/>
          <w:color w:val="auto"/>
          <w:sz w:val="20"/>
          <w:szCs w:val="20"/>
        </w:rPr>
      </w:pPr>
    </w:p>
    <w:p w14:paraId="6F7166C1" w14:textId="3A62E979" w:rsidR="005E5CDC" w:rsidRPr="000244C4" w:rsidRDefault="005E5CDC" w:rsidP="00304B3B">
      <w:pPr>
        <w:pStyle w:val="Heading15"/>
        <w:spacing w:before="0" w:after="0" w:line="269" w:lineRule="auto"/>
        <w:jc w:val="both"/>
        <w:rPr>
          <w:rFonts w:ascii="Aptos" w:hAnsi="Aptos"/>
          <w:color w:val="B31E3E" w:themeColor="accent1"/>
          <w:sz w:val="24"/>
          <w:szCs w:val="28"/>
          <w:u w:val="single"/>
        </w:rPr>
      </w:pPr>
      <w:bookmarkStart w:id="37" w:name="_Toc221009653"/>
      <w:r w:rsidRPr="000244C4">
        <w:rPr>
          <w:rFonts w:ascii="Aptos" w:hAnsi="Aptos"/>
          <w:color w:val="B31E3E" w:themeColor="accent1"/>
          <w:sz w:val="24"/>
          <w:szCs w:val="28"/>
          <w:u w:val="single"/>
        </w:rPr>
        <w:t>Risk and Control Matrix</w:t>
      </w:r>
      <w:bookmarkEnd w:id="37"/>
    </w:p>
    <w:p w14:paraId="6B5C29AD" w14:textId="77777777" w:rsidR="005E5CDC" w:rsidRPr="00B93D9E" w:rsidRDefault="005E5CDC" w:rsidP="00304B3B">
      <w:pPr>
        <w:spacing w:line="269" w:lineRule="auto"/>
        <w:jc w:val="both"/>
        <w:rPr>
          <w:rFonts w:ascii="Aptos" w:hAnsi="Aptos"/>
          <w:color w:val="auto"/>
          <w:sz w:val="20"/>
          <w:szCs w:val="20"/>
        </w:rPr>
      </w:pPr>
    </w:p>
    <w:p w14:paraId="3B92663A" w14:textId="69044B1C" w:rsidR="00746E4F" w:rsidRPr="00B93D9E" w:rsidRDefault="00746E4F" w:rsidP="00B93D9E">
      <w:pPr>
        <w:jc w:val="both"/>
        <w:rPr>
          <w:rFonts w:ascii="Aptos" w:hAnsi="Aptos"/>
          <w:color w:val="auto"/>
          <w:sz w:val="20"/>
          <w:szCs w:val="20"/>
        </w:rPr>
      </w:pPr>
      <w:r w:rsidRPr="00B93D9E">
        <w:rPr>
          <w:rFonts w:ascii="Aptos" w:hAnsi="Aptos"/>
          <w:color w:val="auto"/>
          <w:sz w:val="20"/>
          <w:szCs w:val="20"/>
        </w:rPr>
        <w:t xml:space="preserve">The </w:t>
      </w:r>
      <w:r w:rsidR="00177D0E" w:rsidRPr="00B93D9E">
        <w:rPr>
          <w:rFonts w:ascii="Aptos" w:hAnsi="Aptos"/>
          <w:color w:val="auto"/>
          <w:sz w:val="20"/>
          <w:szCs w:val="20"/>
        </w:rPr>
        <w:t>RCM</w:t>
      </w:r>
      <w:r w:rsidRPr="00B93D9E">
        <w:rPr>
          <w:rFonts w:ascii="Aptos" w:hAnsi="Aptos"/>
          <w:color w:val="auto"/>
          <w:sz w:val="20"/>
          <w:szCs w:val="20"/>
        </w:rPr>
        <w:t xml:space="preserve"> provides a structured, comprehensive way to organize </w:t>
      </w:r>
      <w:r w:rsidR="002F0F14" w:rsidRPr="00B93D9E">
        <w:rPr>
          <w:rFonts w:ascii="Aptos" w:hAnsi="Aptos"/>
          <w:color w:val="auto"/>
          <w:sz w:val="20"/>
          <w:szCs w:val="20"/>
        </w:rPr>
        <w:t>C</w:t>
      </w:r>
      <w:r w:rsidRPr="00B93D9E">
        <w:rPr>
          <w:rFonts w:ascii="Aptos" w:hAnsi="Aptos"/>
          <w:color w:val="auto"/>
          <w:sz w:val="20"/>
          <w:szCs w:val="20"/>
        </w:rPr>
        <w:t xml:space="preserve">ontrol </w:t>
      </w:r>
      <w:r w:rsidR="002F0F14" w:rsidRPr="00B93D9E">
        <w:rPr>
          <w:rFonts w:ascii="Aptos" w:hAnsi="Aptos"/>
          <w:color w:val="auto"/>
          <w:sz w:val="20"/>
          <w:szCs w:val="20"/>
        </w:rPr>
        <w:t>O</w:t>
      </w:r>
      <w:r w:rsidRPr="00B93D9E">
        <w:rPr>
          <w:rFonts w:ascii="Aptos" w:hAnsi="Aptos"/>
          <w:color w:val="auto"/>
          <w:sz w:val="20"/>
          <w:szCs w:val="20"/>
        </w:rPr>
        <w:t xml:space="preserve">bjectives </w:t>
      </w:r>
      <w:r w:rsidR="00462FEB" w:rsidRPr="00B93D9E">
        <w:rPr>
          <w:rFonts w:ascii="Aptos" w:hAnsi="Aptos"/>
          <w:color w:val="auto"/>
          <w:sz w:val="20"/>
          <w:szCs w:val="20"/>
        </w:rPr>
        <w:t>b</w:t>
      </w:r>
      <w:r w:rsidR="007820DC" w:rsidRPr="00B93D9E">
        <w:rPr>
          <w:rFonts w:ascii="Aptos" w:hAnsi="Aptos"/>
          <w:color w:val="auto"/>
          <w:sz w:val="20"/>
          <w:szCs w:val="20"/>
        </w:rPr>
        <w:t xml:space="preserve">y </w:t>
      </w:r>
      <w:r w:rsidR="00C77572">
        <w:rPr>
          <w:rFonts w:ascii="Aptos" w:hAnsi="Aptos"/>
          <w:color w:val="auto"/>
          <w:sz w:val="20"/>
          <w:szCs w:val="20"/>
        </w:rPr>
        <w:t>A</w:t>
      </w:r>
      <w:r w:rsidR="007820DC" w:rsidRPr="00B93D9E">
        <w:rPr>
          <w:rFonts w:ascii="Aptos" w:hAnsi="Aptos"/>
          <w:color w:val="auto"/>
          <w:sz w:val="20"/>
          <w:szCs w:val="20"/>
        </w:rPr>
        <w:t xml:space="preserve">doption </w:t>
      </w:r>
      <w:r w:rsidR="00C77572">
        <w:rPr>
          <w:rFonts w:ascii="Aptos" w:hAnsi="Aptos"/>
          <w:color w:val="auto"/>
          <w:sz w:val="20"/>
          <w:szCs w:val="20"/>
        </w:rPr>
        <w:t>S</w:t>
      </w:r>
      <w:r w:rsidR="007820DC" w:rsidRPr="00B93D9E">
        <w:rPr>
          <w:rFonts w:ascii="Aptos" w:hAnsi="Aptos"/>
          <w:color w:val="auto"/>
          <w:sz w:val="20"/>
          <w:szCs w:val="20"/>
        </w:rPr>
        <w:t xml:space="preserve">tage </w:t>
      </w:r>
      <w:r w:rsidR="00791396" w:rsidRPr="00B93D9E">
        <w:rPr>
          <w:rFonts w:ascii="Aptos" w:hAnsi="Aptos"/>
          <w:color w:val="auto"/>
          <w:sz w:val="20"/>
          <w:szCs w:val="20"/>
        </w:rPr>
        <w:t xml:space="preserve">and align them with </w:t>
      </w:r>
      <w:r w:rsidRPr="00B93D9E">
        <w:rPr>
          <w:rFonts w:ascii="Aptos" w:hAnsi="Aptos"/>
          <w:color w:val="auto"/>
          <w:sz w:val="20"/>
          <w:szCs w:val="20"/>
        </w:rPr>
        <w:t xml:space="preserve">AI </w:t>
      </w:r>
      <w:r w:rsidR="002F0F14" w:rsidRPr="00B93D9E">
        <w:rPr>
          <w:rFonts w:ascii="Aptos" w:hAnsi="Aptos"/>
          <w:color w:val="auto"/>
          <w:sz w:val="20"/>
          <w:szCs w:val="20"/>
        </w:rPr>
        <w:t>T</w:t>
      </w:r>
      <w:r w:rsidRPr="00B93D9E">
        <w:rPr>
          <w:rFonts w:ascii="Aptos" w:hAnsi="Aptos"/>
          <w:color w:val="auto"/>
          <w:sz w:val="20"/>
          <w:szCs w:val="20"/>
        </w:rPr>
        <w:t>rust</w:t>
      </w:r>
      <w:r w:rsidR="000B29A5" w:rsidRPr="00B93D9E">
        <w:rPr>
          <w:rFonts w:ascii="Aptos" w:hAnsi="Aptos"/>
          <w:color w:val="auto"/>
          <w:sz w:val="20"/>
          <w:szCs w:val="20"/>
        </w:rPr>
        <w:t>worthy</w:t>
      </w:r>
      <w:r w:rsidRPr="00B93D9E">
        <w:rPr>
          <w:rFonts w:ascii="Aptos" w:hAnsi="Aptos"/>
          <w:color w:val="auto"/>
          <w:sz w:val="20"/>
          <w:szCs w:val="20"/>
        </w:rPr>
        <w:t xml:space="preserve"> </w:t>
      </w:r>
      <w:r w:rsidR="002F0F14" w:rsidRPr="00B93D9E">
        <w:rPr>
          <w:rFonts w:ascii="Aptos" w:hAnsi="Aptos"/>
          <w:color w:val="auto"/>
          <w:sz w:val="20"/>
          <w:szCs w:val="20"/>
        </w:rPr>
        <w:t>P</w:t>
      </w:r>
      <w:r w:rsidRPr="00B93D9E">
        <w:rPr>
          <w:rFonts w:ascii="Aptos" w:hAnsi="Aptos"/>
          <w:color w:val="auto"/>
          <w:sz w:val="20"/>
          <w:szCs w:val="20"/>
        </w:rPr>
        <w:t>rinciples</w:t>
      </w:r>
      <w:r w:rsidR="00DA1E6A" w:rsidRPr="00B93D9E">
        <w:rPr>
          <w:rFonts w:ascii="Aptos" w:hAnsi="Aptos"/>
          <w:color w:val="auto"/>
          <w:sz w:val="20"/>
          <w:szCs w:val="20"/>
        </w:rPr>
        <w:t xml:space="preserve"> and</w:t>
      </w:r>
      <w:r w:rsidR="00296E40" w:rsidRPr="00B93D9E">
        <w:rPr>
          <w:rFonts w:ascii="Aptos" w:hAnsi="Aptos"/>
          <w:color w:val="auto"/>
          <w:sz w:val="20"/>
          <w:szCs w:val="20"/>
        </w:rPr>
        <w:t xml:space="preserve"> important</w:t>
      </w:r>
      <w:r w:rsidR="00DA1E6A" w:rsidRPr="00B93D9E">
        <w:rPr>
          <w:rFonts w:ascii="Aptos" w:hAnsi="Aptos"/>
          <w:color w:val="auto"/>
          <w:sz w:val="20"/>
          <w:szCs w:val="20"/>
        </w:rPr>
        <w:t xml:space="preserve"> risk information</w:t>
      </w:r>
      <w:r w:rsidR="007820DC" w:rsidRPr="00B93D9E">
        <w:rPr>
          <w:rFonts w:ascii="Aptos" w:hAnsi="Aptos"/>
          <w:color w:val="auto"/>
          <w:sz w:val="20"/>
          <w:szCs w:val="20"/>
        </w:rPr>
        <w:t xml:space="preserve">. </w:t>
      </w:r>
      <w:r w:rsidRPr="00B93D9E">
        <w:rPr>
          <w:rFonts w:ascii="Aptos" w:hAnsi="Aptos"/>
          <w:color w:val="auto"/>
          <w:sz w:val="20"/>
          <w:szCs w:val="20"/>
        </w:rPr>
        <w:t xml:space="preserve">It </w:t>
      </w:r>
      <w:r w:rsidR="000B29A5" w:rsidRPr="00B93D9E">
        <w:rPr>
          <w:rFonts w:ascii="Aptos" w:hAnsi="Aptos"/>
          <w:color w:val="auto"/>
          <w:sz w:val="20"/>
          <w:szCs w:val="20"/>
        </w:rPr>
        <w:t>consists of</w:t>
      </w:r>
      <w:r w:rsidRPr="00B93D9E">
        <w:rPr>
          <w:rFonts w:ascii="Aptos" w:hAnsi="Aptos"/>
          <w:color w:val="auto"/>
          <w:sz w:val="20"/>
          <w:szCs w:val="20"/>
        </w:rPr>
        <w:t xml:space="preserve"> </w:t>
      </w:r>
      <w:r w:rsidR="0019121C" w:rsidRPr="00B93D9E">
        <w:rPr>
          <w:rFonts w:ascii="Aptos" w:hAnsi="Aptos"/>
          <w:color w:val="auto"/>
          <w:sz w:val="20"/>
          <w:szCs w:val="20"/>
        </w:rPr>
        <w:t xml:space="preserve">the </w:t>
      </w:r>
      <w:r w:rsidR="00225E01" w:rsidRPr="00B93D9E">
        <w:rPr>
          <w:rFonts w:ascii="Aptos" w:hAnsi="Aptos"/>
          <w:color w:val="auto"/>
          <w:sz w:val="20"/>
          <w:szCs w:val="20"/>
        </w:rPr>
        <w:t xml:space="preserve">information outlined below, which </w:t>
      </w:r>
      <w:r w:rsidR="007A610B" w:rsidRPr="00B93D9E">
        <w:rPr>
          <w:rFonts w:ascii="Aptos" w:hAnsi="Aptos"/>
          <w:color w:val="auto"/>
          <w:sz w:val="20"/>
          <w:szCs w:val="20"/>
        </w:rPr>
        <w:t xml:space="preserve">is further detailed in </w:t>
      </w:r>
      <w:r w:rsidR="00FA7C6C" w:rsidRPr="00B93D9E">
        <w:rPr>
          <w:rFonts w:ascii="Aptos" w:hAnsi="Aptos"/>
          <w:b/>
          <w:bCs/>
          <w:color w:val="auto"/>
          <w:sz w:val="20"/>
          <w:szCs w:val="20"/>
        </w:rPr>
        <w:t>Section</w:t>
      </w:r>
      <w:r w:rsidR="007A610B" w:rsidRPr="00B93D9E">
        <w:rPr>
          <w:rFonts w:ascii="Aptos" w:hAnsi="Aptos"/>
          <w:b/>
          <w:bCs/>
          <w:color w:val="auto"/>
          <w:sz w:val="20"/>
          <w:szCs w:val="20"/>
        </w:rPr>
        <w:t xml:space="preserve"> 2</w:t>
      </w:r>
      <w:r w:rsidR="007A610B" w:rsidRPr="00B93D9E">
        <w:rPr>
          <w:rFonts w:ascii="Aptos" w:hAnsi="Aptos"/>
          <w:color w:val="auto"/>
          <w:sz w:val="20"/>
          <w:szCs w:val="20"/>
        </w:rPr>
        <w:t>.</w:t>
      </w:r>
    </w:p>
    <w:p w14:paraId="678F0604" w14:textId="77777777" w:rsidR="00AB573E" w:rsidRDefault="00AB573E" w:rsidP="006B5D89">
      <w:pPr>
        <w:spacing w:line="269" w:lineRule="auto"/>
        <w:jc w:val="both"/>
        <w:rPr>
          <w:rFonts w:ascii="Aptos" w:hAnsi="Aptos"/>
          <w:color w:val="auto"/>
        </w:rPr>
      </w:pPr>
    </w:p>
    <w:tbl>
      <w:tblPr>
        <w:tblStyle w:val="TableGrid"/>
        <w:tblW w:w="0" w:type="auto"/>
        <w:tblLook w:val="04A0" w:firstRow="1" w:lastRow="0" w:firstColumn="1" w:lastColumn="0" w:noHBand="0" w:noVBand="1"/>
      </w:tblPr>
      <w:tblGrid>
        <w:gridCol w:w="1682"/>
        <w:gridCol w:w="8388"/>
      </w:tblGrid>
      <w:tr w:rsidR="00CB0491" w:rsidRPr="00B93D9E" w14:paraId="70D4CC92" w14:textId="77777777" w:rsidTr="007A14C4">
        <w:tc>
          <w:tcPr>
            <w:tcW w:w="1525" w:type="dxa"/>
            <w:shd w:val="clear" w:color="auto" w:fill="BFBFBF"/>
          </w:tcPr>
          <w:p w14:paraId="37B947D1" w14:textId="77777777" w:rsidR="00CB0491" w:rsidRPr="00B93D9E" w:rsidRDefault="00CB0491" w:rsidP="00B93D9E">
            <w:pPr>
              <w:rPr>
                <w:rFonts w:ascii="Aptos" w:hAnsi="Aptos"/>
                <w:b/>
                <w:bCs/>
                <w:color w:val="000000" w:themeColor="text1"/>
                <w:sz w:val="20"/>
                <w:szCs w:val="20"/>
              </w:rPr>
            </w:pPr>
            <w:r w:rsidRPr="00B93D9E">
              <w:rPr>
                <w:rFonts w:ascii="Aptos" w:hAnsi="Aptos"/>
                <w:b/>
                <w:bCs/>
                <w:color w:val="000000" w:themeColor="text1"/>
                <w:sz w:val="20"/>
                <w:szCs w:val="20"/>
              </w:rPr>
              <w:t>NIST Function, Category, and Sub-Category</w:t>
            </w:r>
            <w:r w:rsidR="0023562B" w:rsidRPr="00B93D9E">
              <w:rPr>
                <w:rFonts w:ascii="Aptos" w:hAnsi="Aptos"/>
                <w:b/>
                <w:bCs/>
                <w:color w:val="000000" w:themeColor="text1"/>
                <w:sz w:val="20"/>
                <w:szCs w:val="20"/>
              </w:rPr>
              <w:t xml:space="preserve"> </w:t>
            </w:r>
          </w:p>
          <w:p w14:paraId="37A24411" w14:textId="6AEEFA33" w:rsidR="00A807A1" w:rsidRPr="00B93D9E" w:rsidRDefault="00A807A1" w:rsidP="00B93D9E">
            <w:pPr>
              <w:rPr>
                <w:rFonts w:ascii="Aptos" w:hAnsi="Aptos"/>
                <w:b/>
                <w:bCs/>
                <w:color w:val="000000" w:themeColor="text1"/>
                <w:sz w:val="20"/>
                <w:szCs w:val="20"/>
              </w:rPr>
            </w:pPr>
          </w:p>
        </w:tc>
        <w:tc>
          <w:tcPr>
            <w:tcW w:w="8545" w:type="dxa"/>
          </w:tcPr>
          <w:p w14:paraId="671A239B" w14:textId="39B0C037" w:rsidR="00CB0491" w:rsidRPr="00B93D9E" w:rsidRDefault="000169AA" w:rsidP="00B93D9E">
            <w:pPr>
              <w:rPr>
                <w:rFonts w:ascii="Aptos" w:hAnsi="Aptos"/>
                <w:color w:val="auto"/>
                <w:sz w:val="20"/>
                <w:szCs w:val="20"/>
              </w:rPr>
            </w:pPr>
            <w:r w:rsidRPr="00B93D9E">
              <w:rPr>
                <w:rFonts w:ascii="Aptos" w:hAnsi="Aptos"/>
                <w:color w:val="auto"/>
                <w:sz w:val="20"/>
                <w:szCs w:val="20"/>
              </w:rPr>
              <w:t xml:space="preserve">The structure of the RCM is based on the Functions, Categories, and Sub-Categories defined in the NIST AI RMF. </w:t>
            </w:r>
            <w:r w:rsidR="0023562B" w:rsidRPr="00B93D9E">
              <w:rPr>
                <w:rFonts w:ascii="Aptos" w:hAnsi="Aptos"/>
                <w:color w:val="auto"/>
                <w:sz w:val="20"/>
                <w:szCs w:val="20"/>
              </w:rPr>
              <w:t xml:space="preserve">Each </w:t>
            </w:r>
            <w:r w:rsidR="00501C0A" w:rsidRPr="00B93D9E">
              <w:rPr>
                <w:rFonts w:ascii="Aptos" w:hAnsi="Aptos"/>
                <w:color w:val="auto"/>
                <w:sz w:val="20"/>
                <w:szCs w:val="20"/>
              </w:rPr>
              <w:t xml:space="preserve">includes a </w:t>
            </w:r>
            <w:r w:rsidR="00A503C7">
              <w:rPr>
                <w:rFonts w:ascii="Aptos" w:hAnsi="Aptos"/>
                <w:color w:val="auto"/>
                <w:sz w:val="20"/>
                <w:szCs w:val="20"/>
              </w:rPr>
              <w:t>R</w:t>
            </w:r>
            <w:r w:rsidR="00501C0A" w:rsidRPr="00B93D9E">
              <w:rPr>
                <w:rFonts w:ascii="Aptos" w:hAnsi="Aptos"/>
                <w:color w:val="auto"/>
                <w:sz w:val="20"/>
                <w:szCs w:val="20"/>
              </w:rPr>
              <w:t xml:space="preserve">eference ID, </w:t>
            </w:r>
            <w:r w:rsidR="00A503C7">
              <w:rPr>
                <w:rFonts w:ascii="Aptos" w:hAnsi="Aptos"/>
                <w:color w:val="auto"/>
                <w:sz w:val="20"/>
                <w:szCs w:val="20"/>
              </w:rPr>
              <w:t>N</w:t>
            </w:r>
            <w:r w:rsidR="00501C0A" w:rsidRPr="00B93D9E">
              <w:rPr>
                <w:rFonts w:ascii="Aptos" w:hAnsi="Aptos"/>
                <w:color w:val="auto"/>
                <w:sz w:val="20"/>
                <w:szCs w:val="20"/>
              </w:rPr>
              <w:t xml:space="preserve">ame, and </w:t>
            </w:r>
            <w:r w:rsidR="00A503C7">
              <w:rPr>
                <w:rFonts w:ascii="Aptos" w:hAnsi="Aptos"/>
                <w:color w:val="auto"/>
                <w:sz w:val="20"/>
                <w:szCs w:val="20"/>
              </w:rPr>
              <w:t>D</w:t>
            </w:r>
            <w:r w:rsidR="00501C0A" w:rsidRPr="00B93D9E">
              <w:rPr>
                <w:rFonts w:ascii="Aptos" w:hAnsi="Aptos"/>
                <w:color w:val="auto"/>
                <w:sz w:val="20"/>
                <w:szCs w:val="20"/>
              </w:rPr>
              <w:t>escription. C</w:t>
            </w:r>
            <w:r w:rsidR="006676FF" w:rsidRPr="00B93D9E">
              <w:rPr>
                <w:rFonts w:ascii="Aptos" w:hAnsi="Aptos"/>
                <w:color w:val="auto"/>
                <w:sz w:val="20"/>
                <w:szCs w:val="20"/>
              </w:rPr>
              <w:t xml:space="preserve">ontrol </w:t>
            </w:r>
            <w:r w:rsidR="00A503C7">
              <w:rPr>
                <w:rFonts w:ascii="Aptos" w:hAnsi="Aptos"/>
                <w:color w:val="auto"/>
                <w:sz w:val="20"/>
                <w:szCs w:val="20"/>
              </w:rPr>
              <w:t>O</w:t>
            </w:r>
            <w:r w:rsidR="006676FF" w:rsidRPr="00B93D9E">
              <w:rPr>
                <w:rFonts w:ascii="Aptos" w:hAnsi="Aptos"/>
                <w:color w:val="auto"/>
                <w:sz w:val="20"/>
                <w:szCs w:val="20"/>
              </w:rPr>
              <w:t>bjective</w:t>
            </w:r>
            <w:r w:rsidR="00501C0A" w:rsidRPr="00B93D9E">
              <w:rPr>
                <w:rFonts w:ascii="Aptos" w:hAnsi="Aptos"/>
                <w:color w:val="auto"/>
                <w:sz w:val="20"/>
                <w:szCs w:val="20"/>
              </w:rPr>
              <w:t>s are</w:t>
            </w:r>
            <w:r w:rsidR="006676FF" w:rsidRPr="00B93D9E">
              <w:rPr>
                <w:rFonts w:ascii="Aptos" w:hAnsi="Aptos"/>
                <w:color w:val="auto"/>
                <w:sz w:val="20"/>
                <w:szCs w:val="20"/>
              </w:rPr>
              <w:t xml:space="preserve"> mapped to </w:t>
            </w:r>
            <w:r w:rsidR="00501C0A" w:rsidRPr="00B93D9E">
              <w:rPr>
                <w:rFonts w:ascii="Aptos" w:hAnsi="Aptos"/>
                <w:color w:val="auto"/>
                <w:sz w:val="20"/>
                <w:szCs w:val="20"/>
              </w:rPr>
              <w:t>the</w:t>
            </w:r>
            <w:r w:rsidR="006676FF" w:rsidRPr="00B93D9E">
              <w:rPr>
                <w:rFonts w:ascii="Aptos" w:hAnsi="Aptos"/>
                <w:color w:val="auto"/>
                <w:sz w:val="20"/>
                <w:szCs w:val="20"/>
              </w:rPr>
              <w:t xml:space="preserve"> relevant Sub-Categor</w:t>
            </w:r>
            <w:r w:rsidR="006E1A66" w:rsidRPr="00B93D9E">
              <w:rPr>
                <w:rFonts w:ascii="Aptos" w:hAnsi="Aptos"/>
                <w:color w:val="auto"/>
                <w:sz w:val="20"/>
                <w:szCs w:val="20"/>
              </w:rPr>
              <w:t>y</w:t>
            </w:r>
            <w:r w:rsidR="00256ECC" w:rsidRPr="00B93D9E">
              <w:rPr>
                <w:rFonts w:ascii="Aptos" w:hAnsi="Aptos"/>
                <w:color w:val="auto"/>
                <w:sz w:val="20"/>
                <w:szCs w:val="20"/>
              </w:rPr>
              <w:t>, which then rolls up into a Category</w:t>
            </w:r>
            <w:r w:rsidR="00B15E9E" w:rsidRPr="00B93D9E">
              <w:rPr>
                <w:rFonts w:ascii="Aptos" w:hAnsi="Aptos"/>
                <w:color w:val="auto"/>
                <w:sz w:val="20"/>
                <w:szCs w:val="20"/>
              </w:rPr>
              <w:t xml:space="preserve"> and finally </w:t>
            </w:r>
            <w:r w:rsidR="004F3B7D" w:rsidRPr="00B93D9E">
              <w:rPr>
                <w:rFonts w:ascii="Aptos" w:hAnsi="Aptos"/>
                <w:color w:val="auto"/>
                <w:sz w:val="20"/>
                <w:szCs w:val="20"/>
              </w:rPr>
              <w:t xml:space="preserve">into </w:t>
            </w:r>
            <w:r w:rsidR="00B15E9E" w:rsidRPr="00B93D9E">
              <w:rPr>
                <w:rFonts w:ascii="Aptos" w:hAnsi="Aptos"/>
                <w:color w:val="auto"/>
                <w:sz w:val="20"/>
                <w:szCs w:val="20"/>
              </w:rPr>
              <w:t>a Function</w:t>
            </w:r>
            <w:r w:rsidR="006676FF" w:rsidRPr="00B93D9E">
              <w:rPr>
                <w:rFonts w:ascii="Aptos" w:hAnsi="Aptos"/>
                <w:color w:val="auto"/>
                <w:sz w:val="20"/>
                <w:szCs w:val="20"/>
              </w:rPr>
              <w:t xml:space="preserve">. This classification offers a standardized taxonomy to organize </w:t>
            </w:r>
            <w:r w:rsidR="000351BF" w:rsidRPr="00B93D9E">
              <w:rPr>
                <w:rFonts w:ascii="Aptos" w:hAnsi="Aptos"/>
                <w:color w:val="auto"/>
                <w:sz w:val="20"/>
                <w:szCs w:val="20"/>
              </w:rPr>
              <w:t xml:space="preserve">risk and </w:t>
            </w:r>
            <w:r w:rsidR="006676FF" w:rsidRPr="00B93D9E">
              <w:rPr>
                <w:rFonts w:ascii="Aptos" w:hAnsi="Aptos"/>
                <w:color w:val="auto"/>
                <w:sz w:val="20"/>
                <w:szCs w:val="20"/>
              </w:rPr>
              <w:t xml:space="preserve">control </w:t>
            </w:r>
            <w:r w:rsidR="000351BF" w:rsidRPr="00B93D9E">
              <w:rPr>
                <w:rFonts w:ascii="Aptos" w:hAnsi="Aptos"/>
                <w:color w:val="auto"/>
                <w:sz w:val="20"/>
                <w:szCs w:val="20"/>
              </w:rPr>
              <w:t>information</w:t>
            </w:r>
            <w:r w:rsidR="006676FF" w:rsidRPr="00B93D9E">
              <w:rPr>
                <w:rFonts w:ascii="Aptos" w:hAnsi="Aptos"/>
                <w:color w:val="auto"/>
                <w:sz w:val="20"/>
                <w:szCs w:val="20"/>
              </w:rPr>
              <w:t xml:space="preserve">, facilitating consistency and clarity in risk management practices. </w:t>
            </w:r>
          </w:p>
        </w:tc>
      </w:tr>
      <w:tr w:rsidR="00CB0491" w:rsidRPr="00B93D9E" w14:paraId="4009B711" w14:textId="77777777" w:rsidTr="007A14C4">
        <w:tc>
          <w:tcPr>
            <w:tcW w:w="1525" w:type="dxa"/>
            <w:shd w:val="clear" w:color="auto" w:fill="BFBFBF"/>
          </w:tcPr>
          <w:p w14:paraId="2EB8E005" w14:textId="72AD693D" w:rsidR="00CB0491" w:rsidRPr="00B93D9E" w:rsidRDefault="00981A1D" w:rsidP="00B93D9E">
            <w:pPr>
              <w:rPr>
                <w:rFonts w:ascii="Aptos" w:hAnsi="Aptos"/>
                <w:b/>
                <w:bCs/>
                <w:color w:val="000000" w:themeColor="text1"/>
                <w:sz w:val="20"/>
                <w:szCs w:val="20"/>
              </w:rPr>
            </w:pPr>
            <w:r w:rsidRPr="00B93D9E">
              <w:rPr>
                <w:rFonts w:ascii="Aptos" w:hAnsi="Aptos"/>
                <w:b/>
                <w:bCs/>
                <w:color w:val="000000" w:themeColor="text1"/>
                <w:sz w:val="20"/>
                <w:szCs w:val="20"/>
              </w:rPr>
              <w:t>AI Trustworthy Principle</w:t>
            </w:r>
            <w:r w:rsidR="00C34BD8" w:rsidRPr="00B93D9E">
              <w:rPr>
                <w:rFonts w:ascii="Aptos" w:hAnsi="Aptos"/>
                <w:b/>
                <w:bCs/>
                <w:color w:val="000000" w:themeColor="text1"/>
                <w:sz w:val="20"/>
                <w:szCs w:val="20"/>
              </w:rPr>
              <w:t xml:space="preserve"> and Risk Statement</w:t>
            </w:r>
          </w:p>
        </w:tc>
        <w:tc>
          <w:tcPr>
            <w:tcW w:w="8545" w:type="dxa"/>
          </w:tcPr>
          <w:p w14:paraId="0576F7B6" w14:textId="5099B887" w:rsidR="00CB0491" w:rsidRPr="00B93D9E" w:rsidRDefault="007A610B" w:rsidP="00B93D9E">
            <w:pPr>
              <w:rPr>
                <w:rFonts w:ascii="Aptos" w:hAnsi="Aptos"/>
                <w:color w:val="auto"/>
                <w:sz w:val="20"/>
                <w:szCs w:val="20"/>
              </w:rPr>
            </w:pPr>
            <w:r w:rsidRPr="00B93D9E">
              <w:rPr>
                <w:rFonts w:ascii="Aptos" w:hAnsi="Aptos"/>
                <w:color w:val="auto"/>
                <w:sz w:val="20"/>
                <w:szCs w:val="20"/>
              </w:rPr>
              <w:t xml:space="preserve">Each </w:t>
            </w:r>
            <w:r w:rsidR="00A503C7">
              <w:rPr>
                <w:rFonts w:ascii="Aptos" w:hAnsi="Aptos"/>
                <w:color w:val="auto"/>
                <w:sz w:val="20"/>
                <w:szCs w:val="20"/>
              </w:rPr>
              <w:t>C</w:t>
            </w:r>
            <w:r w:rsidRPr="00B93D9E">
              <w:rPr>
                <w:rFonts w:ascii="Aptos" w:hAnsi="Aptos"/>
                <w:color w:val="auto"/>
                <w:sz w:val="20"/>
                <w:szCs w:val="20"/>
              </w:rPr>
              <w:t xml:space="preserve">ontrol </w:t>
            </w:r>
            <w:r w:rsidR="00A503C7">
              <w:rPr>
                <w:rFonts w:ascii="Aptos" w:hAnsi="Aptos"/>
                <w:color w:val="auto"/>
                <w:sz w:val="20"/>
                <w:szCs w:val="20"/>
              </w:rPr>
              <w:t>O</w:t>
            </w:r>
            <w:r w:rsidRPr="00B93D9E">
              <w:rPr>
                <w:rFonts w:ascii="Aptos" w:hAnsi="Aptos"/>
                <w:color w:val="auto"/>
                <w:sz w:val="20"/>
                <w:szCs w:val="20"/>
              </w:rPr>
              <w:t>bjective</w:t>
            </w:r>
            <w:r w:rsidR="0053187C" w:rsidRPr="00B93D9E">
              <w:rPr>
                <w:rFonts w:ascii="Aptos" w:hAnsi="Aptos"/>
                <w:color w:val="auto"/>
                <w:sz w:val="20"/>
                <w:szCs w:val="20"/>
              </w:rPr>
              <w:t xml:space="preserve"> is aligned with </w:t>
            </w:r>
            <w:r w:rsidR="00020D79" w:rsidRPr="00B93D9E">
              <w:rPr>
                <w:rFonts w:ascii="Aptos" w:hAnsi="Aptos"/>
                <w:color w:val="auto"/>
                <w:sz w:val="20"/>
                <w:szCs w:val="20"/>
              </w:rPr>
              <w:t>its primary</w:t>
            </w:r>
            <w:r w:rsidR="0053187C" w:rsidRPr="00B93D9E">
              <w:rPr>
                <w:rFonts w:ascii="Aptos" w:hAnsi="Aptos"/>
                <w:color w:val="auto"/>
                <w:sz w:val="20"/>
                <w:szCs w:val="20"/>
              </w:rPr>
              <w:t xml:space="preserve"> </w:t>
            </w:r>
            <w:r w:rsidR="00C36C2B" w:rsidRPr="00B93D9E">
              <w:rPr>
                <w:rFonts w:ascii="Aptos" w:hAnsi="Aptos"/>
                <w:color w:val="auto"/>
                <w:sz w:val="20"/>
                <w:szCs w:val="20"/>
              </w:rPr>
              <w:t xml:space="preserve">AI </w:t>
            </w:r>
            <w:r w:rsidR="0053187C" w:rsidRPr="00B93D9E">
              <w:rPr>
                <w:rFonts w:ascii="Aptos" w:hAnsi="Aptos"/>
                <w:color w:val="auto"/>
                <w:sz w:val="20"/>
                <w:szCs w:val="20"/>
              </w:rPr>
              <w:t>Trustworthy Principle</w:t>
            </w:r>
            <w:r w:rsidR="0091381F" w:rsidRPr="00B93D9E">
              <w:rPr>
                <w:rFonts w:ascii="Aptos" w:hAnsi="Aptos"/>
                <w:color w:val="auto"/>
                <w:sz w:val="20"/>
                <w:szCs w:val="20"/>
              </w:rPr>
              <w:t xml:space="preserve"> </w:t>
            </w:r>
            <w:r w:rsidR="0078416F" w:rsidRPr="00B93D9E">
              <w:rPr>
                <w:rFonts w:ascii="Aptos" w:hAnsi="Aptos"/>
                <w:color w:val="auto"/>
                <w:sz w:val="20"/>
                <w:szCs w:val="20"/>
              </w:rPr>
              <w:t xml:space="preserve">(e.g., Accountable, Transparent, Explainable, Fair) </w:t>
            </w:r>
            <w:r w:rsidR="0060278F" w:rsidRPr="00B93D9E">
              <w:rPr>
                <w:rFonts w:ascii="Aptos" w:hAnsi="Aptos"/>
                <w:color w:val="auto"/>
                <w:sz w:val="20"/>
                <w:szCs w:val="20"/>
              </w:rPr>
              <w:t xml:space="preserve">and a broad </w:t>
            </w:r>
            <w:r w:rsidR="00A503C7">
              <w:rPr>
                <w:rFonts w:ascii="Aptos" w:hAnsi="Aptos"/>
                <w:color w:val="auto"/>
                <w:sz w:val="20"/>
                <w:szCs w:val="20"/>
              </w:rPr>
              <w:t>R</w:t>
            </w:r>
            <w:r w:rsidR="0060278F" w:rsidRPr="00B93D9E">
              <w:rPr>
                <w:rFonts w:ascii="Aptos" w:hAnsi="Aptos"/>
                <w:color w:val="auto"/>
                <w:sz w:val="20"/>
                <w:szCs w:val="20"/>
              </w:rPr>
              <w:t xml:space="preserve">isk </w:t>
            </w:r>
            <w:r w:rsidR="00A503C7">
              <w:rPr>
                <w:rFonts w:ascii="Aptos" w:hAnsi="Aptos"/>
                <w:color w:val="auto"/>
                <w:sz w:val="20"/>
                <w:szCs w:val="20"/>
              </w:rPr>
              <w:t>S</w:t>
            </w:r>
            <w:r w:rsidR="0060278F" w:rsidRPr="00B93D9E">
              <w:rPr>
                <w:rFonts w:ascii="Aptos" w:hAnsi="Aptos"/>
                <w:color w:val="auto"/>
                <w:sz w:val="20"/>
                <w:szCs w:val="20"/>
              </w:rPr>
              <w:t>tatement</w:t>
            </w:r>
            <w:r w:rsidR="002021B8" w:rsidRPr="00B93D9E">
              <w:rPr>
                <w:rFonts w:ascii="Aptos" w:hAnsi="Aptos"/>
                <w:color w:val="auto"/>
                <w:sz w:val="20"/>
                <w:szCs w:val="20"/>
              </w:rPr>
              <w:t>. T</w:t>
            </w:r>
            <w:r w:rsidR="0091381F" w:rsidRPr="00B93D9E">
              <w:rPr>
                <w:rFonts w:ascii="Aptos" w:hAnsi="Aptos"/>
                <w:color w:val="auto"/>
                <w:sz w:val="20"/>
                <w:szCs w:val="20"/>
              </w:rPr>
              <w:t>his is done for the purposes of prioritization and aggregation</w:t>
            </w:r>
            <w:r w:rsidR="002021B8" w:rsidRPr="00B93D9E">
              <w:rPr>
                <w:rFonts w:ascii="Aptos" w:hAnsi="Aptos"/>
                <w:color w:val="auto"/>
                <w:sz w:val="20"/>
                <w:szCs w:val="20"/>
              </w:rPr>
              <w:t xml:space="preserve"> within the Framework</w:t>
            </w:r>
            <w:r w:rsidR="000E3BEE" w:rsidRPr="00B93D9E">
              <w:rPr>
                <w:rFonts w:ascii="Aptos" w:hAnsi="Aptos"/>
                <w:color w:val="auto"/>
                <w:sz w:val="20"/>
                <w:szCs w:val="20"/>
              </w:rPr>
              <w:t>. In p</w:t>
            </w:r>
            <w:r w:rsidR="00CE573F" w:rsidRPr="00B93D9E">
              <w:rPr>
                <w:rFonts w:ascii="Aptos" w:hAnsi="Aptos"/>
                <w:color w:val="auto"/>
                <w:sz w:val="20"/>
                <w:szCs w:val="20"/>
              </w:rPr>
              <w:t xml:space="preserve">ractice, several Trustworthy Principles may apply, and </w:t>
            </w:r>
            <w:r w:rsidR="00A503C7">
              <w:rPr>
                <w:rFonts w:ascii="Aptos" w:hAnsi="Aptos"/>
                <w:color w:val="auto"/>
                <w:sz w:val="20"/>
                <w:szCs w:val="20"/>
              </w:rPr>
              <w:t>R</w:t>
            </w:r>
            <w:r w:rsidR="004B1106" w:rsidRPr="00B93D9E">
              <w:rPr>
                <w:rFonts w:ascii="Aptos" w:hAnsi="Aptos"/>
                <w:color w:val="auto"/>
                <w:sz w:val="20"/>
                <w:szCs w:val="20"/>
              </w:rPr>
              <w:t xml:space="preserve">isk </w:t>
            </w:r>
            <w:r w:rsidR="00A503C7">
              <w:rPr>
                <w:rFonts w:ascii="Aptos" w:hAnsi="Aptos"/>
                <w:color w:val="auto"/>
                <w:sz w:val="20"/>
                <w:szCs w:val="20"/>
              </w:rPr>
              <w:t>S</w:t>
            </w:r>
            <w:r w:rsidR="004B1106" w:rsidRPr="00B93D9E">
              <w:rPr>
                <w:rFonts w:ascii="Aptos" w:hAnsi="Aptos"/>
                <w:color w:val="auto"/>
                <w:sz w:val="20"/>
                <w:szCs w:val="20"/>
              </w:rPr>
              <w:t xml:space="preserve">tatements may be customized to </w:t>
            </w:r>
            <w:r w:rsidR="0078416F" w:rsidRPr="00B93D9E">
              <w:rPr>
                <w:rFonts w:ascii="Aptos" w:hAnsi="Aptos"/>
                <w:color w:val="auto"/>
                <w:sz w:val="20"/>
                <w:szCs w:val="20"/>
              </w:rPr>
              <w:t xml:space="preserve">connect to an </w:t>
            </w:r>
            <w:r w:rsidR="00A503C7">
              <w:rPr>
                <w:rFonts w:ascii="Aptos" w:hAnsi="Aptos"/>
                <w:color w:val="auto"/>
                <w:sz w:val="20"/>
                <w:szCs w:val="20"/>
              </w:rPr>
              <w:t>firm’s</w:t>
            </w:r>
            <w:r w:rsidR="0078416F" w:rsidRPr="00B93D9E">
              <w:rPr>
                <w:rFonts w:ascii="Aptos" w:hAnsi="Aptos"/>
                <w:color w:val="auto"/>
                <w:sz w:val="20"/>
                <w:szCs w:val="20"/>
              </w:rPr>
              <w:t xml:space="preserve"> risk taxonomy. </w:t>
            </w:r>
          </w:p>
        </w:tc>
      </w:tr>
      <w:tr w:rsidR="000351BF" w:rsidRPr="00B93D9E" w14:paraId="1192D943" w14:textId="77777777" w:rsidTr="007A14C4">
        <w:tc>
          <w:tcPr>
            <w:tcW w:w="1525" w:type="dxa"/>
            <w:shd w:val="clear" w:color="auto" w:fill="BFBFBF"/>
          </w:tcPr>
          <w:p w14:paraId="4FC0D89F" w14:textId="64BB970F" w:rsidR="000351BF" w:rsidRPr="00B93D9E" w:rsidRDefault="000351BF" w:rsidP="00B93D9E">
            <w:pPr>
              <w:jc w:val="both"/>
              <w:rPr>
                <w:rFonts w:ascii="Aptos" w:hAnsi="Aptos"/>
                <w:b/>
                <w:bCs/>
                <w:color w:val="000000" w:themeColor="text1"/>
                <w:sz w:val="20"/>
                <w:szCs w:val="20"/>
              </w:rPr>
            </w:pPr>
            <w:r w:rsidRPr="00B93D9E">
              <w:rPr>
                <w:rFonts w:ascii="Aptos" w:hAnsi="Aptos"/>
                <w:b/>
                <w:bCs/>
                <w:color w:val="000000" w:themeColor="text1"/>
                <w:sz w:val="20"/>
                <w:szCs w:val="20"/>
              </w:rPr>
              <w:t>Control Objectives</w:t>
            </w:r>
          </w:p>
        </w:tc>
        <w:tc>
          <w:tcPr>
            <w:tcW w:w="8545" w:type="dxa"/>
          </w:tcPr>
          <w:p w14:paraId="3443369C" w14:textId="387D5546" w:rsidR="000351BF" w:rsidRPr="00B93D9E" w:rsidRDefault="000351BF" w:rsidP="00B93D9E">
            <w:pPr>
              <w:rPr>
                <w:rFonts w:ascii="Aptos" w:hAnsi="Aptos"/>
                <w:color w:val="auto"/>
                <w:sz w:val="20"/>
                <w:szCs w:val="20"/>
              </w:rPr>
            </w:pPr>
            <w:r w:rsidRPr="00B93D9E">
              <w:rPr>
                <w:rFonts w:ascii="Aptos" w:hAnsi="Aptos"/>
                <w:color w:val="auto"/>
                <w:sz w:val="20"/>
                <w:szCs w:val="20"/>
              </w:rPr>
              <w:t xml:space="preserve">These are specific policies, processes, or operational actions within each Sub-Category that should be implemented to mitigate AI-related risks. </w:t>
            </w:r>
            <w:r w:rsidR="00D86A1C" w:rsidRPr="00B93D9E">
              <w:rPr>
                <w:rFonts w:ascii="Aptos" w:hAnsi="Aptos"/>
                <w:color w:val="auto"/>
                <w:sz w:val="20"/>
                <w:szCs w:val="20"/>
              </w:rPr>
              <w:t xml:space="preserve">Each includes a </w:t>
            </w:r>
            <w:r w:rsidR="00A503C7">
              <w:rPr>
                <w:rFonts w:ascii="Aptos" w:hAnsi="Aptos"/>
                <w:color w:val="auto"/>
                <w:sz w:val="20"/>
                <w:szCs w:val="20"/>
              </w:rPr>
              <w:t>R</w:t>
            </w:r>
            <w:r w:rsidR="00D86A1C" w:rsidRPr="00B93D9E">
              <w:rPr>
                <w:rFonts w:ascii="Aptos" w:hAnsi="Aptos"/>
                <w:color w:val="auto"/>
                <w:sz w:val="20"/>
                <w:szCs w:val="20"/>
              </w:rPr>
              <w:t xml:space="preserve">eference ID, </w:t>
            </w:r>
            <w:r w:rsidR="00A503C7">
              <w:rPr>
                <w:rFonts w:ascii="Aptos" w:hAnsi="Aptos"/>
                <w:color w:val="auto"/>
                <w:sz w:val="20"/>
                <w:szCs w:val="20"/>
              </w:rPr>
              <w:t>N</w:t>
            </w:r>
            <w:r w:rsidR="00D86A1C" w:rsidRPr="00B93D9E">
              <w:rPr>
                <w:rFonts w:ascii="Aptos" w:hAnsi="Aptos"/>
                <w:color w:val="auto"/>
                <w:sz w:val="20"/>
                <w:szCs w:val="20"/>
              </w:rPr>
              <w:t xml:space="preserve">ame, and </w:t>
            </w:r>
            <w:r w:rsidR="00A503C7">
              <w:rPr>
                <w:rFonts w:ascii="Aptos" w:hAnsi="Aptos"/>
                <w:color w:val="auto"/>
                <w:sz w:val="20"/>
                <w:szCs w:val="20"/>
              </w:rPr>
              <w:t>D</w:t>
            </w:r>
            <w:r w:rsidR="008B3A25" w:rsidRPr="00B93D9E">
              <w:rPr>
                <w:rFonts w:ascii="Aptos" w:hAnsi="Aptos"/>
                <w:color w:val="auto"/>
                <w:sz w:val="20"/>
                <w:szCs w:val="20"/>
              </w:rPr>
              <w:t xml:space="preserve">escription. </w:t>
            </w:r>
            <w:r w:rsidRPr="00B93D9E">
              <w:rPr>
                <w:rFonts w:ascii="Aptos" w:hAnsi="Aptos"/>
                <w:color w:val="auto"/>
                <w:sz w:val="20"/>
                <w:szCs w:val="20"/>
              </w:rPr>
              <w:t xml:space="preserve">Control </w:t>
            </w:r>
            <w:r w:rsidR="00A503C7">
              <w:rPr>
                <w:rFonts w:ascii="Aptos" w:hAnsi="Aptos"/>
                <w:color w:val="auto"/>
                <w:sz w:val="20"/>
                <w:szCs w:val="20"/>
              </w:rPr>
              <w:t>O</w:t>
            </w:r>
            <w:r w:rsidRPr="00B93D9E">
              <w:rPr>
                <w:rFonts w:ascii="Aptos" w:hAnsi="Aptos"/>
                <w:color w:val="auto"/>
                <w:sz w:val="20"/>
                <w:szCs w:val="20"/>
              </w:rPr>
              <w:t xml:space="preserve">bjectives cover a broad range of topics such as data quality, fairness, security, transparency, and operational resilience. Each </w:t>
            </w:r>
            <w:r w:rsidR="002B3786">
              <w:rPr>
                <w:rFonts w:ascii="Aptos" w:hAnsi="Aptos"/>
                <w:color w:val="auto"/>
                <w:sz w:val="20"/>
                <w:szCs w:val="20"/>
              </w:rPr>
              <w:t>C</w:t>
            </w:r>
            <w:r w:rsidRPr="00B93D9E">
              <w:rPr>
                <w:rFonts w:ascii="Aptos" w:hAnsi="Aptos"/>
                <w:color w:val="auto"/>
                <w:sz w:val="20"/>
                <w:szCs w:val="20"/>
              </w:rPr>
              <w:t xml:space="preserve">ontrol </w:t>
            </w:r>
            <w:r w:rsidR="002B3786">
              <w:rPr>
                <w:rFonts w:ascii="Aptos" w:hAnsi="Aptos"/>
                <w:color w:val="auto"/>
                <w:sz w:val="20"/>
                <w:szCs w:val="20"/>
              </w:rPr>
              <w:t>O</w:t>
            </w:r>
            <w:r w:rsidRPr="00B93D9E">
              <w:rPr>
                <w:rFonts w:ascii="Aptos" w:hAnsi="Aptos"/>
                <w:color w:val="auto"/>
                <w:sz w:val="20"/>
                <w:szCs w:val="20"/>
              </w:rPr>
              <w:t xml:space="preserve">bjective is designed not to be prescriptive but to promote practical </w:t>
            </w:r>
            <w:r w:rsidR="002B3786">
              <w:rPr>
                <w:rFonts w:ascii="Aptos" w:hAnsi="Aptos"/>
                <w:color w:val="auto"/>
                <w:sz w:val="20"/>
                <w:szCs w:val="20"/>
              </w:rPr>
              <w:t>C</w:t>
            </w:r>
            <w:r w:rsidRPr="00B93D9E">
              <w:rPr>
                <w:rFonts w:ascii="Aptos" w:hAnsi="Aptos"/>
                <w:color w:val="auto"/>
                <w:sz w:val="20"/>
                <w:szCs w:val="20"/>
              </w:rPr>
              <w:t xml:space="preserve">ontrol implementation suited to current AI </w:t>
            </w:r>
            <w:r w:rsidR="002B3786">
              <w:rPr>
                <w:rFonts w:ascii="Aptos" w:hAnsi="Aptos"/>
                <w:color w:val="auto"/>
                <w:sz w:val="20"/>
                <w:szCs w:val="20"/>
              </w:rPr>
              <w:t>A</w:t>
            </w:r>
            <w:r w:rsidRPr="00B93D9E">
              <w:rPr>
                <w:rFonts w:ascii="Aptos" w:hAnsi="Aptos"/>
                <w:color w:val="auto"/>
                <w:sz w:val="20"/>
                <w:szCs w:val="20"/>
              </w:rPr>
              <w:t xml:space="preserve">doption </w:t>
            </w:r>
            <w:r w:rsidR="002B3786">
              <w:rPr>
                <w:rFonts w:ascii="Aptos" w:hAnsi="Aptos"/>
                <w:color w:val="auto"/>
                <w:sz w:val="20"/>
                <w:szCs w:val="20"/>
              </w:rPr>
              <w:t>S</w:t>
            </w:r>
            <w:r w:rsidRPr="00B93D9E">
              <w:rPr>
                <w:rFonts w:ascii="Aptos" w:hAnsi="Aptos"/>
                <w:color w:val="auto"/>
                <w:sz w:val="20"/>
                <w:szCs w:val="20"/>
              </w:rPr>
              <w:t>tage and organizational needs.</w:t>
            </w:r>
          </w:p>
        </w:tc>
      </w:tr>
      <w:tr w:rsidR="000351BF" w:rsidRPr="00B93D9E" w14:paraId="2025F030" w14:textId="77777777" w:rsidTr="007A14C4">
        <w:tc>
          <w:tcPr>
            <w:tcW w:w="1525" w:type="dxa"/>
            <w:shd w:val="clear" w:color="auto" w:fill="BFBFBF"/>
          </w:tcPr>
          <w:p w14:paraId="49A5A9F8" w14:textId="55D64127" w:rsidR="000351BF" w:rsidRPr="00B93D9E" w:rsidRDefault="007F055E" w:rsidP="00B93D9E">
            <w:pPr>
              <w:jc w:val="both"/>
              <w:rPr>
                <w:rFonts w:ascii="Aptos" w:hAnsi="Aptos"/>
                <w:b/>
                <w:bCs/>
                <w:color w:val="000000" w:themeColor="text1"/>
                <w:sz w:val="20"/>
                <w:szCs w:val="20"/>
              </w:rPr>
            </w:pPr>
            <w:r w:rsidRPr="00B93D9E">
              <w:rPr>
                <w:rFonts w:ascii="Aptos" w:hAnsi="Aptos"/>
                <w:b/>
                <w:bCs/>
                <w:color w:val="000000" w:themeColor="text1"/>
                <w:sz w:val="20"/>
                <w:szCs w:val="20"/>
              </w:rPr>
              <w:t>Implementation Guidance</w:t>
            </w:r>
          </w:p>
        </w:tc>
        <w:tc>
          <w:tcPr>
            <w:tcW w:w="8545" w:type="dxa"/>
          </w:tcPr>
          <w:p w14:paraId="737665A2" w14:textId="41D455A4" w:rsidR="000351BF" w:rsidRPr="00B93D9E" w:rsidRDefault="008B3A25" w:rsidP="00B93D9E">
            <w:pPr>
              <w:rPr>
                <w:rFonts w:ascii="Aptos" w:hAnsi="Aptos"/>
                <w:color w:val="auto"/>
                <w:sz w:val="20"/>
                <w:szCs w:val="20"/>
              </w:rPr>
            </w:pPr>
            <w:r w:rsidRPr="00B93D9E">
              <w:rPr>
                <w:rFonts w:ascii="Aptos" w:hAnsi="Aptos"/>
                <w:color w:val="auto"/>
                <w:sz w:val="20"/>
                <w:szCs w:val="20"/>
              </w:rPr>
              <w:t>This provides</w:t>
            </w:r>
            <w:r w:rsidR="007B683D" w:rsidRPr="00B93D9E">
              <w:rPr>
                <w:rFonts w:ascii="Aptos" w:hAnsi="Aptos"/>
                <w:color w:val="auto"/>
                <w:sz w:val="20"/>
                <w:szCs w:val="20"/>
              </w:rPr>
              <w:t xml:space="preserve"> actionable</w:t>
            </w:r>
            <w:r w:rsidR="00C86EDE" w:rsidRPr="00B93D9E">
              <w:rPr>
                <w:rFonts w:ascii="Aptos" w:hAnsi="Aptos"/>
                <w:color w:val="auto"/>
                <w:sz w:val="20"/>
                <w:szCs w:val="20"/>
              </w:rPr>
              <w:t xml:space="preserve"> and practical </w:t>
            </w:r>
            <w:r w:rsidR="007B683D" w:rsidRPr="00B93D9E">
              <w:rPr>
                <w:rFonts w:ascii="Aptos" w:hAnsi="Aptos"/>
                <w:color w:val="auto"/>
                <w:sz w:val="20"/>
                <w:szCs w:val="20"/>
              </w:rPr>
              <w:t xml:space="preserve">recommendations on how best to implement </w:t>
            </w:r>
            <w:r w:rsidR="00F31E0B" w:rsidRPr="00B93D9E">
              <w:rPr>
                <w:rFonts w:ascii="Aptos" w:hAnsi="Aptos"/>
                <w:color w:val="auto"/>
                <w:sz w:val="20"/>
                <w:szCs w:val="20"/>
              </w:rPr>
              <w:t xml:space="preserve">each </w:t>
            </w:r>
            <w:r w:rsidR="002B3786">
              <w:rPr>
                <w:rFonts w:ascii="Aptos" w:hAnsi="Aptos"/>
                <w:color w:val="auto"/>
                <w:sz w:val="20"/>
                <w:szCs w:val="20"/>
              </w:rPr>
              <w:t>C</w:t>
            </w:r>
            <w:r w:rsidR="00F31E0B" w:rsidRPr="00B93D9E">
              <w:rPr>
                <w:rFonts w:ascii="Aptos" w:hAnsi="Aptos"/>
                <w:color w:val="auto"/>
                <w:sz w:val="20"/>
                <w:szCs w:val="20"/>
              </w:rPr>
              <w:t xml:space="preserve">ontrol </w:t>
            </w:r>
            <w:r w:rsidR="002B3786">
              <w:rPr>
                <w:rFonts w:ascii="Aptos" w:hAnsi="Aptos"/>
                <w:color w:val="auto"/>
                <w:sz w:val="20"/>
                <w:szCs w:val="20"/>
              </w:rPr>
              <w:t>O</w:t>
            </w:r>
            <w:r w:rsidR="00F31E0B" w:rsidRPr="00B93D9E">
              <w:rPr>
                <w:rFonts w:ascii="Aptos" w:hAnsi="Aptos"/>
                <w:color w:val="auto"/>
                <w:sz w:val="20"/>
                <w:szCs w:val="20"/>
              </w:rPr>
              <w:t xml:space="preserve">bjective. While the </w:t>
            </w:r>
            <w:r w:rsidR="002B3786">
              <w:rPr>
                <w:rFonts w:ascii="Aptos" w:hAnsi="Aptos"/>
                <w:color w:val="auto"/>
                <w:sz w:val="20"/>
                <w:szCs w:val="20"/>
              </w:rPr>
              <w:t>I</w:t>
            </w:r>
            <w:r w:rsidR="00F31E0B" w:rsidRPr="00B93D9E">
              <w:rPr>
                <w:rFonts w:ascii="Aptos" w:hAnsi="Aptos"/>
                <w:color w:val="auto"/>
                <w:sz w:val="20"/>
                <w:szCs w:val="20"/>
              </w:rPr>
              <w:t xml:space="preserve">mplementation </w:t>
            </w:r>
            <w:r w:rsidR="002B3786">
              <w:rPr>
                <w:rFonts w:ascii="Aptos" w:hAnsi="Aptos"/>
                <w:color w:val="auto"/>
                <w:sz w:val="20"/>
                <w:szCs w:val="20"/>
              </w:rPr>
              <w:t>G</w:t>
            </w:r>
            <w:r w:rsidR="00F31E0B" w:rsidRPr="00B93D9E">
              <w:rPr>
                <w:rFonts w:ascii="Aptos" w:hAnsi="Aptos"/>
                <w:color w:val="auto"/>
                <w:sz w:val="20"/>
                <w:szCs w:val="20"/>
              </w:rPr>
              <w:t xml:space="preserve">uidance is not meant to be an </w:t>
            </w:r>
            <w:r w:rsidR="00912819" w:rsidRPr="00B93D9E">
              <w:rPr>
                <w:rFonts w:ascii="Aptos" w:hAnsi="Aptos"/>
                <w:color w:val="auto"/>
                <w:sz w:val="20"/>
                <w:szCs w:val="20"/>
              </w:rPr>
              <w:t xml:space="preserve">exhaustive set of instructions, it should </w:t>
            </w:r>
            <w:r w:rsidR="006D6771" w:rsidRPr="00B93D9E">
              <w:rPr>
                <w:rFonts w:ascii="Aptos" w:hAnsi="Aptos"/>
                <w:color w:val="auto"/>
                <w:sz w:val="20"/>
                <w:szCs w:val="20"/>
              </w:rPr>
              <w:t xml:space="preserve">point an organization in the right direction when determining how </w:t>
            </w:r>
            <w:r w:rsidR="002B3786">
              <w:rPr>
                <w:rFonts w:ascii="Aptos" w:hAnsi="Aptos"/>
                <w:color w:val="auto"/>
                <w:sz w:val="20"/>
                <w:szCs w:val="20"/>
              </w:rPr>
              <w:t>C</w:t>
            </w:r>
            <w:r w:rsidR="006D6771" w:rsidRPr="00B93D9E">
              <w:rPr>
                <w:rFonts w:ascii="Aptos" w:hAnsi="Aptos"/>
                <w:color w:val="auto"/>
                <w:sz w:val="20"/>
                <w:szCs w:val="20"/>
              </w:rPr>
              <w:t xml:space="preserve">ontrol </w:t>
            </w:r>
            <w:r w:rsidR="002B3786">
              <w:rPr>
                <w:rFonts w:ascii="Aptos" w:hAnsi="Aptos"/>
                <w:color w:val="auto"/>
                <w:sz w:val="20"/>
                <w:szCs w:val="20"/>
              </w:rPr>
              <w:t>O</w:t>
            </w:r>
            <w:r w:rsidR="006D6771" w:rsidRPr="00B93D9E">
              <w:rPr>
                <w:rFonts w:ascii="Aptos" w:hAnsi="Aptos"/>
                <w:color w:val="auto"/>
                <w:sz w:val="20"/>
                <w:szCs w:val="20"/>
              </w:rPr>
              <w:t xml:space="preserve">bjectives should be put into practice in their unique environments. </w:t>
            </w:r>
          </w:p>
        </w:tc>
      </w:tr>
    </w:tbl>
    <w:p w14:paraId="2CDC7C22" w14:textId="2AB753A5" w:rsidR="00746E4F" w:rsidRPr="00B93D9E" w:rsidRDefault="004F3022" w:rsidP="00B93D9E">
      <w:pPr>
        <w:jc w:val="both"/>
        <w:rPr>
          <w:rFonts w:ascii="Aptos" w:hAnsi="Aptos"/>
          <w:color w:val="auto"/>
          <w:sz w:val="20"/>
          <w:szCs w:val="20"/>
        </w:rPr>
      </w:pPr>
      <w:r w:rsidRPr="00B93D9E">
        <w:rPr>
          <w:rFonts w:ascii="Aptos" w:hAnsi="Aptos"/>
          <w:color w:val="auto"/>
          <w:sz w:val="20"/>
          <w:szCs w:val="20"/>
        </w:rPr>
        <w:lastRenderedPageBreak/>
        <w:t>As</w:t>
      </w:r>
      <w:r w:rsidR="000E2308" w:rsidRPr="00B93D9E">
        <w:rPr>
          <w:rFonts w:ascii="Aptos" w:hAnsi="Aptos"/>
          <w:color w:val="auto"/>
          <w:sz w:val="20"/>
          <w:szCs w:val="20"/>
        </w:rPr>
        <w:t xml:space="preserve"> </w:t>
      </w:r>
      <w:r w:rsidRPr="00B93D9E">
        <w:rPr>
          <w:rFonts w:ascii="Aptos" w:hAnsi="Aptos"/>
          <w:color w:val="auto"/>
          <w:sz w:val="20"/>
          <w:szCs w:val="20"/>
        </w:rPr>
        <w:t xml:space="preserve">mentioned, </w:t>
      </w:r>
      <w:r w:rsidR="00555F6A" w:rsidRPr="00B93D9E">
        <w:rPr>
          <w:rFonts w:ascii="Aptos" w:hAnsi="Aptos"/>
          <w:color w:val="auto"/>
          <w:sz w:val="20"/>
          <w:szCs w:val="20"/>
        </w:rPr>
        <w:t>C</w:t>
      </w:r>
      <w:r w:rsidRPr="00B93D9E">
        <w:rPr>
          <w:rFonts w:ascii="Aptos" w:hAnsi="Aptos"/>
          <w:color w:val="auto"/>
          <w:sz w:val="20"/>
          <w:szCs w:val="20"/>
        </w:rPr>
        <w:t xml:space="preserve">ontrol </w:t>
      </w:r>
      <w:r w:rsidR="00555F6A" w:rsidRPr="00B93D9E">
        <w:rPr>
          <w:rFonts w:ascii="Aptos" w:hAnsi="Aptos"/>
          <w:color w:val="auto"/>
          <w:sz w:val="20"/>
          <w:szCs w:val="20"/>
        </w:rPr>
        <w:t>O</w:t>
      </w:r>
      <w:r w:rsidRPr="00B93D9E">
        <w:rPr>
          <w:rFonts w:ascii="Aptos" w:hAnsi="Aptos"/>
          <w:color w:val="auto"/>
          <w:sz w:val="20"/>
          <w:szCs w:val="20"/>
        </w:rPr>
        <w:t xml:space="preserve">bjectives are also aligned with the </w:t>
      </w:r>
      <w:r w:rsidR="002B3786">
        <w:rPr>
          <w:rFonts w:ascii="Aptos" w:hAnsi="Aptos"/>
          <w:color w:val="auto"/>
          <w:sz w:val="20"/>
          <w:szCs w:val="20"/>
        </w:rPr>
        <w:t>A</w:t>
      </w:r>
      <w:r w:rsidRPr="00B93D9E">
        <w:rPr>
          <w:rFonts w:ascii="Aptos" w:hAnsi="Aptos"/>
          <w:color w:val="auto"/>
          <w:sz w:val="20"/>
          <w:szCs w:val="20"/>
        </w:rPr>
        <w:t xml:space="preserve">doption </w:t>
      </w:r>
      <w:r w:rsidR="002B3786">
        <w:rPr>
          <w:rFonts w:ascii="Aptos" w:hAnsi="Aptos"/>
          <w:color w:val="auto"/>
          <w:sz w:val="20"/>
          <w:szCs w:val="20"/>
        </w:rPr>
        <w:t>S</w:t>
      </w:r>
      <w:r w:rsidRPr="00B93D9E">
        <w:rPr>
          <w:rFonts w:ascii="Aptos" w:hAnsi="Aptos"/>
          <w:color w:val="auto"/>
          <w:sz w:val="20"/>
          <w:szCs w:val="20"/>
        </w:rPr>
        <w:t xml:space="preserve">tage(s) to which they apply. </w:t>
      </w:r>
      <w:r w:rsidR="00A0236A" w:rsidRPr="00B93D9E">
        <w:rPr>
          <w:rFonts w:ascii="Aptos" w:hAnsi="Aptos"/>
          <w:color w:val="auto"/>
          <w:sz w:val="20"/>
          <w:szCs w:val="20"/>
        </w:rPr>
        <w:t xml:space="preserve">For example, certain </w:t>
      </w:r>
      <w:r w:rsidR="00555F6A" w:rsidRPr="00B93D9E">
        <w:rPr>
          <w:rFonts w:ascii="Aptos" w:hAnsi="Aptos"/>
          <w:color w:val="auto"/>
          <w:sz w:val="20"/>
          <w:szCs w:val="20"/>
        </w:rPr>
        <w:t>C</w:t>
      </w:r>
      <w:r w:rsidR="00A0236A" w:rsidRPr="00B93D9E">
        <w:rPr>
          <w:rFonts w:ascii="Aptos" w:hAnsi="Aptos"/>
          <w:color w:val="auto"/>
          <w:sz w:val="20"/>
          <w:szCs w:val="20"/>
        </w:rPr>
        <w:t xml:space="preserve">ontrol </w:t>
      </w:r>
      <w:r w:rsidR="00555F6A" w:rsidRPr="00B93D9E">
        <w:rPr>
          <w:rFonts w:ascii="Aptos" w:hAnsi="Aptos"/>
          <w:color w:val="auto"/>
          <w:sz w:val="20"/>
          <w:szCs w:val="20"/>
        </w:rPr>
        <w:t>O</w:t>
      </w:r>
      <w:r w:rsidR="00A0236A" w:rsidRPr="00B93D9E">
        <w:rPr>
          <w:rFonts w:ascii="Aptos" w:hAnsi="Aptos"/>
          <w:color w:val="auto"/>
          <w:sz w:val="20"/>
          <w:szCs w:val="20"/>
        </w:rPr>
        <w:t xml:space="preserve">bjectives might only apply to organizations at </w:t>
      </w:r>
      <w:r w:rsidR="00846420" w:rsidRPr="00B93D9E">
        <w:rPr>
          <w:rFonts w:ascii="Aptos" w:hAnsi="Aptos"/>
          <w:color w:val="auto"/>
          <w:sz w:val="20"/>
          <w:szCs w:val="20"/>
        </w:rPr>
        <w:t xml:space="preserve">the Evolving or Embedded stage. This helps </w:t>
      </w:r>
      <w:r w:rsidR="003822A3" w:rsidRPr="00B93D9E">
        <w:rPr>
          <w:rFonts w:ascii="Aptos" w:hAnsi="Aptos"/>
          <w:color w:val="auto"/>
          <w:sz w:val="20"/>
          <w:szCs w:val="20"/>
        </w:rPr>
        <w:t xml:space="preserve">organization at earlier stages in particular, as it allows them to focus on a smaller number of </w:t>
      </w:r>
      <w:r w:rsidR="009A1E27" w:rsidRPr="00B93D9E">
        <w:rPr>
          <w:rFonts w:ascii="Aptos" w:hAnsi="Aptos"/>
          <w:color w:val="auto"/>
          <w:sz w:val="20"/>
          <w:szCs w:val="20"/>
        </w:rPr>
        <w:t xml:space="preserve">key </w:t>
      </w:r>
      <w:r w:rsidR="00555F6A" w:rsidRPr="00B93D9E">
        <w:rPr>
          <w:rFonts w:ascii="Aptos" w:hAnsi="Aptos"/>
          <w:color w:val="auto"/>
          <w:sz w:val="20"/>
          <w:szCs w:val="20"/>
        </w:rPr>
        <w:t>C</w:t>
      </w:r>
      <w:r w:rsidR="009A1E27" w:rsidRPr="00B93D9E">
        <w:rPr>
          <w:rFonts w:ascii="Aptos" w:hAnsi="Aptos"/>
          <w:color w:val="auto"/>
          <w:sz w:val="20"/>
          <w:szCs w:val="20"/>
        </w:rPr>
        <w:t xml:space="preserve">ontrol </w:t>
      </w:r>
      <w:r w:rsidR="00555F6A" w:rsidRPr="00B93D9E">
        <w:rPr>
          <w:rFonts w:ascii="Aptos" w:hAnsi="Aptos"/>
          <w:color w:val="auto"/>
          <w:sz w:val="20"/>
          <w:szCs w:val="20"/>
        </w:rPr>
        <w:t>O</w:t>
      </w:r>
      <w:r w:rsidR="009A1E27" w:rsidRPr="00B93D9E">
        <w:rPr>
          <w:rFonts w:ascii="Aptos" w:hAnsi="Aptos"/>
          <w:color w:val="auto"/>
          <w:sz w:val="20"/>
          <w:szCs w:val="20"/>
        </w:rPr>
        <w:t xml:space="preserve">bjectives as opposed to using </w:t>
      </w:r>
      <w:r w:rsidR="002B3786">
        <w:rPr>
          <w:rFonts w:ascii="Aptos" w:hAnsi="Aptos"/>
          <w:color w:val="auto"/>
          <w:sz w:val="20"/>
          <w:szCs w:val="20"/>
        </w:rPr>
        <w:t xml:space="preserve">limited </w:t>
      </w:r>
      <w:r w:rsidR="009A1E27" w:rsidRPr="00B93D9E">
        <w:rPr>
          <w:rFonts w:ascii="Aptos" w:hAnsi="Aptos"/>
          <w:color w:val="auto"/>
          <w:sz w:val="20"/>
          <w:szCs w:val="20"/>
        </w:rPr>
        <w:t xml:space="preserve">resources for </w:t>
      </w:r>
      <w:r w:rsidR="00555F6A" w:rsidRPr="00B93D9E">
        <w:rPr>
          <w:rFonts w:ascii="Aptos" w:hAnsi="Aptos"/>
          <w:color w:val="auto"/>
          <w:sz w:val="20"/>
          <w:szCs w:val="20"/>
        </w:rPr>
        <w:t>C</w:t>
      </w:r>
      <w:r w:rsidR="009A1E27" w:rsidRPr="00B93D9E">
        <w:rPr>
          <w:rFonts w:ascii="Aptos" w:hAnsi="Aptos"/>
          <w:color w:val="auto"/>
          <w:sz w:val="20"/>
          <w:szCs w:val="20"/>
        </w:rPr>
        <w:t xml:space="preserve">ontrol </w:t>
      </w:r>
      <w:r w:rsidR="00555F6A" w:rsidRPr="00B93D9E">
        <w:rPr>
          <w:rFonts w:ascii="Aptos" w:hAnsi="Aptos"/>
          <w:color w:val="auto"/>
          <w:sz w:val="20"/>
          <w:szCs w:val="20"/>
        </w:rPr>
        <w:t>O</w:t>
      </w:r>
      <w:r w:rsidR="009A1E27" w:rsidRPr="00B93D9E">
        <w:rPr>
          <w:rFonts w:ascii="Aptos" w:hAnsi="Aptos"/>
          <w:color w:val="auto"/>
          <w:sz w:val="20"/>
          <w:szCs w:val="20"/>
        </w:rPr>
        <w:t xml:space="preserve">bjectives that may not </w:t>
      </w:r>
      <w:r w:rsidR="00FA2560" w:rsidRPr="00B93D9E">
        <w:rPr>
          <w:rFonts w:ascii="Aptos" w:hAnsi="Aptos"/>
          <w:color w:val="auto"/>
          <w:sz w:val="20"/>
          <w:szCs w:val="20"/>
        </w:rPr>
        <w:t>be relevant</w:t>
      </w:r>
      <w:r w:rsidR="009A1E27" w:rsidRPr="00B93D9E">
        <w:rPr>
          <w:rFonts w:ascii="Aptos" w:hAnsi="Aptos"/>
          <w:color w:val="auto"/>
          <w:sz w:val="20"/>
          <w:szCs w:val="20"/>
        </w:rPr>
        <w:t xml:space="preserve"> yet. </w:t>
      </w:r>
    </w:p>
    <w:p w14:paraId="485658E9" w14:textId="77777777" w:rsidR="00E12485" w:rsidRPr="00B93D9E" w:rsidRDefault="00E12485" w:rsidP="00B93D9E">
      <w:pPr>
        <w:jc w:val="both"/>
        <w:rPr>
          <w:rFonts w:ascii="Aptos" w:hAnsi="Aptos"/>
          <w:color w:val="auto"/>
          <w:sz w:val="20"/>
          <w:szCs w:val="20"/>
        </w:rPr>
      </w:pPr>
    </w:p>
    <w:p w14:paraId="446EBD11" w14:textId="1BE3F3AD" w:rsidR="00E12485" w:rsidRPr="00B93D9E" w:rsidRDefault="00C377F7" w:rsidP="00B93D9E">
      <w:pPr>
        <w:jc w:val="both"/>
        <w:rPr>
          <w:rFonts w:ascii="Aptos" w:hAnsi="Aptos"/>
          <w:b/>
          <w:bCs/>
          <w:color w:val="auto"/>
          <w:sz w:val="20"/>
          <w:szCs w:val="20"/>
        </w:rPr>
      </w:pPr>
      <w:r w:rsidRPr="00B93D9E">
        <w:rPr>
          <w:rFonts w:ascii="Aptos" w:hAnsi="Aptos"/>
          <w:b/>
          <w:bCs/>
          <w:color w:val="auto"/>
          <w:sz w:val="20"/>
          <w:szCs w:val="20"/>
        </w:rPr>
        <w:t>Navigating the RCM</w:t>
      </w:r>
    </w:p>
    <w:p w14:paraId="4C1140E2" w14:textId="77777777" w:rsidR="003159E4" w:rsidRPr="00B93D9E" w:rsidRDefault="003159E4" w:rsidP="00B93D9E">
      <w:pPr>
        <w:jc w:val="both"/>
        <w:rPr>
          <w:rFonts w:ascii="Aptos" w:hAnsi="Aptos"/>
          <w:color w:val="auto"/>
          <w:sz w:val="20"/>
          <w:szCs w:val="20"/>
        </w:rPr>
      </w:pPr>
    </w:p>
    <w:p w14:paraId="31B527A7" w14:textId="464B1D70" w:rsidR="00C377F7" w:rsidRPr="00B93D9E" w:rsidRDefault="00E15899" w:rsidP="00B93D9E">
      <w:pPr>
        <w:jc w:val="both"/>
        <w:rPr>
          <w:rFonts w:ascii="Aptos" w:hAnsi="Aptos"/>
          <w:color w:val="auto"/>
          <w:sz w:val="20"/>
          <w:szCs w:val="20"/>
        </w:rPr>
      </w:pPr>
      <w:r w:rsidRPr="00B93D9E">
        <w:rPr>
          <w:rFonts w:ascii="Aptos" w:hAnsi="Aptos"/>
          <w:color w:val="auto"/>
          <w:sz w:val="20"/>
          <w:szCs w:val="20"/>
        </w:rPr>
        <w:t>The RCM is designed to be flexible and adaptable</w:t>
      </w:r>
      <w:r w:rsidR="0010418B" w:rsidRPr="00B93D9E">
        <w:rPr>
          <w:rFonts w:ascii="Aptos" w:hAnsi="Aptos"/>
          <w:color w:val="auto"/>
          <w:sz w:val="20"/>
          <w:szCs w:val="20"/>
        </w:rPr>
        <w:t xml:space="preserve">, and as such, there are a number of ways to look at the information </w:t>
      </w:r>
      <w:r w:rsidR="00554B3A" w:rsidRPr="00B93D9E">
        <w:rPr>
          <w:rFonts w:ascii="Aptos" w:hAnsi="Aptos"/>
          <w:color w:val="auto"/>
          <w:sz w:val="20"/>
          <w:szCs w:val="20"/>
        </w:rPr>
        <w:t xml:space="preserve">contained within it. </w:t>
      </w:r>
      <w:r w:rsidR="0043258B" w:rsidRPr="00B93D9E">
        <w:rPr>
          <w:rFonts w:ascii="Aptos" w:hAnsi="Aptos"/>
          <w:color w:val="auto"/>
          <w:sz w:val="20"/>
          <w:szCs w:val="20"/>
        </w:rPr>
        <w:t xml:space="preserve">The general structure is based on </w:t>
      </w:r>
      <w:r w:rsidR="009F750A" w:rsidRPr="00B93D9E">
        <w:rPr>
          <w:rFonts w:ascii="Aptos" w:hAnsi="Aptos"/>
          <w:color w:val="auto"/>
          <w:sz w:val="20"/>
          <w:szCs w:val="20"/>
        </w:rPr>
        <w:t xml:space="preserve">NIST’s </w:t>
      </w:r>
      <w:r w:rsidR="0043258B" w:rsidRPr="00B93D9E">
        <w:rPr>
          <w:rFonts w:ascii="Aptos" w:hAnsi="Aptos"/>
          <w:color w:val="auto"/>
          <w:sz w:val="20"/>
          <w:szCs w:val="20"/>
        </w:rPr>
        <w:t>Function</w:t>
      </w:r>
      <w:r w:rsidR="009F750A" w:rsidRPr="00B93D9E">
        <w:rPr>
          <w:rFonts w:ascii="Aptos" w:hAnsi="Aptos"/>
          <w:color w:val="auto"/>
          <w:sz w:val="20"/>
          <w:szCs w:val="20"/>
        </w:rPr>
        <w:t xml:space="preserve">s, </w:t>
      </w:r>
      <w:r w:rsidR="0043258B" w:rsidRPr="00B93D9E">
        <w:rPr>
          <w:rFonts w:ascii="Aptos" w:hAnsi="Aptos"/>
          <w:color w:val="auto"/>
          <w:sz w:val="20"/>
          <w:szCs w:val="20"/>
        </w:rPr>
        <w:t>Categor</w:t>
      </w:r>
      <w:r w:rsidR="009F750A" w:rsidRPr="00B93D9E">
        <w:rPr>
          <w:rFonts w:ascii="Aptos" w:hAnsi="Aptos"/>
          <w:color w:val="auto"/>
          <w:sz w:val="20"/>
          <w:szCs w:val="20"/>
        </w:rPr>
        <w:t xml:space="preserve">ies, and </w:t>
      </w:r>
      <w:r w:rsidR="00D63DDA" w:rsidRPr="00B93D9E">
        <w:rPr>
          <w:rFonts w:ascii="Aptos" w:hAnsi="Aptos"/>
          <w:color w:val="auto"/>
          <w:sz w:val="20"/>
          <w:szCs w:val="20"/>
        </w:rPr>
        <w:t>Sub-Categor</w:t>
      </w:r>
      <w:r w:rsidR="009F750A" w:rsidRPr="00B93D9E">
        <w:rPr>
          <w:rFonts w:ascii="Aptos" w:hAnsi="Aptos"/>
          <w:color w:val="auto"/>
          <w:sz w:val="20"/>
          <w:szCs w:val="20"/>
        </w:rPr>
        <w:t>ies</w:t>
      </w:r>
      <w:r w:rsidR="008C55BA" w:rsidRPr="00B93D9E">
        <w:rPr>
          <w:rFonts w:ascii="Aptos" w:hAnsi="Aptos"/>
          <w:color w:val="auto"/>
          <w:sz w:val="20"/>
          <w:szCs w:val="20"/>
        </w:rPr>
        <w:t xml:space="preserve">, with CRI-defined </w:t>
      </w:r>
      <w:r w:rsidR="00D63DDA" w:rsidRPr="00B93D9E">
        <w:rPr>
          <w:rFonts w:ascii="Aptos" w:hAnsi="Aptos"/>
          <w:color w:val="auto"/>
          <w:sz w:val="20"/>
          <w:szCs w:val="20"/>
        </w:rPr>
        <w:t>Control Objective</w:t>
      </w:r>
      <w:r w:rsidR="00C9185C" w:rsidRPr="00B93D9E">
        <w:rPr>
          <w:rFonts w:ascii="Aptos" w:hAnsi="Aptos"/>
          <w:color w:val="auto"/>
          <w:sz w:val="20"/>
          <w:szCs w:val="20"/>
        </w:rPr>
        <w:t>s defined at the Sub-Category level</w:t>
      </w:r>
      <w:r w:rsidR="00D63DDA" w:rsidRPr="00B93D9E">
        <w:rPr>
          <w:rFonts w:ascii="Aptos" w:hAnsi="Aptos"/>
          <w:color w:val="auto"/>
          <w:sz w:val="20"/>
          <w:szCs w:val="20"/>
        </w:rPr>
        <w:t xml:space="preserve">. </w:t>
      </w:r>
      <w:r w:rsidR="0067079E" w:rsidRPr="00B93D9E">
        <w:rPr>
          <w:rFonts w:ascii="Aptos" w:hAnsi="Aptos"/>
          <w:color w:val="auto"/>
          <w:sz w:val="20"/>
          <w:szCs w:val="20"/>
        </w:rPr>
        <w:t>There will typically be 3-5 control objectives per Sub-Category</w:t>
      </w:r>
      <w:r w:rsidR="00992A16" w:rsidRPr="00B93D9E">
        <w:rPr>
          <w:rFonts w:ascii="Aptos" w:hAnsi="Aptos"/>
          <w:color w:val="auto"/>
          <w:sz w:val="20"/>
          <w:szCs w:val="20"/>
        </w:rPr>
        <w:t xml:space="preserve">; however, in some cases there will be more or less. </w:t>
      </w:r>
      <w:r w:rsidR="00D63DDA" w:rsidRPr="00B93D9E">
        <w:rPr>
          <w:rFonts w:ascii="Aptos" w:hAnsi="Aptos"/>
          <w:color w:val="auto"/>
          <w:sz w:val="20"/>
          <w:szCs w:val="20"/>
        </w:rPr>
        <w:t>Each of these components has a</w:t>
      </w:r>
      <w:r w:rsidR="00D14919" w:rsidRPr="00B93D9E">
        <w:rPr>
          <w:rFonts w:ascii="Aptos" w:hAnsi="Aptos"/>
          <w:color w:val="auto"/>
          <w:sz w:val="20"/>
          <w:szCs w:val="20"/>
        </w:rPr>
        <w:t xml:space="preserve">n ID, a </w:t>
      </w:r>
      <w:r w:rsidR="00754126">
        <w:rPr>
          <w:rFonts w:ascii="Aptos" w:hAnsi="Aptos"/>
          <w:color w:val="auto"/>
          <w:sz w:val="20"/>
          <w:szCs w:val="20"/>
        </w:rPr>
        <w:t>N</w:t>
      </w:r>
      <w:r w:rsidR="00D14919" w:rsidRPr="00B93D9E">
        <w:rPr>
          <w:rFonts w:ascii="Aptos" w:hAnsi="Aptos"/>
          <w:color w:val="auto"/>
          <w:sz w:val="20"/>
          <w:szCs w:val="20"/>
        </w:rPr>
        <w:t xml:space="preserve">ame, and a </w:t>
      </w:r>
      <w:r w:rsidR="00754126">
        <w:rPr>
          <w:rFonts w:ascii="Aptos" w:hAnsi="Aptos"/>
          <w:color w:val="auto"/>
          <w:sz w:val="20"/>
          <w:szCs w:val="20"/>
        </w:rPr>
        <w:t>D</w:t>
      </w:r>
      <w:r w:rsidR="00D14919" w:rsidRPr="00B93D9E">
        <w:rPr>
          <w:rFonts w:ascii="Aptos" w:hAnsi="Aptos"/>
          <w:color w:val="auto"/>
          <w:sz w:val="20"/>
          <w:szCs w:val="20"/>
        </w:rPr>
        <w:t>escription. For example:</w:t>
      </w:r>
    </w:p>
    <w:p w14:paraId="46613F3E" w14:textId="77777777" w:rsidR="00294232" w:rsidRPr="00B93D9E" w:rsidRDefault="00294232" w:rsidP="00B93D9E">
      <w:pPr>
        <w:jc w:val="both"/>
        <w:rPr>
          <w:rFonts w:ascii="Aptos" w:hAnsi="Aptos"/>
          <w:color w:val="auto"/>
          <w:sz w:val="20"/>
          <w:szCs w:val="20"/>
        </w:rPr>
      </w:pPr>
    </w:p>
    <w:p w14:paraId="0976788C" w14:textId="77777777" w:rsidR="003C7A8A" w:rsidRPr="00B93D9E" w:rsidRDefault="00C90F71" w:rsidP="00B93D9E">
      <w:pPr>
        <w:jc w:val="both"/>
        <w:rPr>
          <w:rFonts w:ascii="Aptos" w:hAnsi="Aptos"/>
          <w:color w:val="auto"/>
          <w:sz w:val="20"/>
          <w:szCs w:val="20"/>
        </w:rPr>
      </w:pPr>
      <w:r w:rsidRPr="00B93D9E">
        <w:rPr>
          <w:rFonts w:ascii="Aptos" w:hAnsi="Aptos"/>
          <w:color w:val="auto"/>
          <w:sz w:val="20"/>
          <w:szCs w:val="20"/>
          <w:u w:val="single"/>
        </w:rPr>
        <w:t>Function</w:t>
      </w:r>
      <w:r w:rsidR="00F2134F" w:rsidRPr="00B93D9E">
        <w:rPr>
          <w:rFonts w:ascii="Aptos" w:hAnsi="Aptos"/>
          <w:color w:val="auto"/>
          <w:sz w:val="20"/>
          <w:szCs w:val="20"/>
          <w:u w:val="single"/>
        </w:rPr>
        <w:t xml:space="preserve"> ID</w:t>
      </w:r>
      <w:r w:rsidR="003C7A8A" w:rsidRPr="00B93D9E">
        <w:rPr>
          <w:rFonts w:ascii="Aptos" w:hAnsi="Aptos"/>
          <w:color w:val="auto"/>
          <w:sz w:val="20"/>
          <w:szCs w:val="20"/>
          <w:u w:val="single"/>
        </w:rPr>
        <w:t>:</w:t>
      </w:r>
      <w:r w:rsidR="003C7A8A" w:rsidRPr="00B93D9E">
        <w:rPr>
          <w:rFonts w:ascii="Aptos" w:hAnsi="Aptos"/>
          <w:color w:val="auto"/>
          <w:sz w:val="20"/>
          <w:szCs w:val="20"/>
        </w:rPr>
        <w:t xml:space="preserve"> GV</w:t>
      </w:r>
    </w:p>
    <w:p w14:paraId="17703010" w14:textId="3C8AD096" w:rsidR="003C7A8A" w:rsidRPr="00B93D9E" w:rsidRDefault="003C7A8A" w:rsidP="00B93D9E">
      <w:pPr>
        <w:jc w:val="both"/>
        <w:rPr>
          <w:rFonts w:ascii="Aptos" w:hAnsi="Aptos"/>
          <w:color w:val="auto"/>
          <w:sz w:val="20"/>
          <w:szCs w:val="20"/>
        </w:rPr>
      </w:pPr>
      <w:r w:rsidRPr="00B93D9E">
        <w:rPr>
          <w:rFonts w:ascii="Aptos" w:hAnsi="Aptos"/>
          <w:color w:val="auto"/>
          <w:sz w:val="20"/>
          <w:szCs w:val="20"/>
          <w:u w:val="single"/>
        </w:rPr>
        <w:t>Function Name</w:t>
      </w:r>
      <w:r w:rsidRPr="00B93D9E">
        <w:rPr>
          <w:rFonts w:ascii="Aptos" w:hAnsi="Aptos"/>
          <w:color w:val="auto"/>
          <w:sz w:val="20"/>
          <w:szCs w:val="20"/>
        </w:rPr>
        <w:t xml:space="preserve">: </w:t>
      </w:r>
      <w:r w:rsidR="00B2397E" w:rsidRPr="00B93D9E">
        <w:rPr>
          <w:rFonts w:ascii="Aptos" w:hAnsi="Aptos"/>
          <w:color w:val="auto"/>
          <w:sz w:val="20"/>
          <w:szCs w:val="20"/>
        </w:rPr>
        <w:t>Govern</w:t>
      </w:r>
      <w:r w:rsidR="002A5D9B" w:rsidRPr="00B93D9E">
        <w:rPr>
          <w:rFonts w:ascii="Aptos" w:hAnsi="Aptos"/>
          <w:color w:val="auto"/>
          <w:sz w:val="20"/>
          <w:szCs w:val="20"/>
        </w:rPr>
        <w:t xml:space="preserve"> </w:t>
      </w:r>
    </w:p>
    <w:p w14:paraId="22DCE5E9" w14:textId="050C413D" w:rsidR="00D14919" w:rsidRPr="00B93D9E" w:rsidRDefault="003C7A8A" w:rsidP="00B93D9E">
      <w:pPr>
        <w:jc w:val="both"/>
        <w:rPr>
          <w:rFonts w:ascii="Aptos" w:hAnsi="Aptos"/>
          <w:color w:val="auto"/>
          <w:sz w:val="20"/>
          <w:szCs w:val="20"/>
        </w:rPr>
      </w:pPr>
      <w:r w:rsidRPr="00B93D9E">
        <w:rPr>
          <w:rFonts w:ascii="Aptos" w:hAnsi="Aptos"/>
          <w:color w:val="auto"/>
          <w:sz w:val="20"/>
          <w:szCs w:val="20"/>
          <w:u w:val="single"/>
        </w:rPr>
        <w:t xml:space="preserve">Function </w:t>
      </w:r>
      <w:r w:rsidR="00B2397E" w:rsidRPr="00B93D9E">
        <w:rPr>
          <w:rFonts w:ascii="Aptos" w:hAnsi="Aptos"/>
          <w:color w:val="auto"/>
          <w:sz w:val="20"/>
          <w:szCs w:val="20"/>
          <w:u w:val="single"/>
        </w:rPr>
        <w:t>Desc</w:t>
      </w:r>
      <w:r w:rsidR="00312FFD" w:rsidRPr="00B93D9E">
        <w:rPr>
          <w:rFonts w:ascii="Aptos" w:hAnsi="Aptos"/>
          <w:color w:val="auto"/>
          <w:sz w:val="20"/>
          <w:szCs w:val="20"/>
          <w:u w:val="single"/>
        </w:rPr>
        <w:t>ription</w:t>
      </w:r>
      <w:r w:rsidR="007465B0" w:rsidRPr="00B93D9E">
        <w:rPr>
          <w:rFonts w:ascii="Aptos" w:hAnsi="Aptos"/>
          <w:color w:val="auto"/>
          <w:sz w:val="20"/>
          <w:szCs w:val="20"/>
        </w:rPr>
        <w:t>:</w:t>
      </w:r>
      <w:r w:rsidR="002A5D9B" w:rsidRPr="00B93D9E">
        <w:rPr>
          <w:rFonts w:ascii="Aptos" w:hAnsi="Aptos"/>
          <w:color w:val="auto"/>
          <w:sz w:val="20"/>
          <w:szCs w:val="20"/>
        </w:rPr>
        <w:t xml:space="preserve"> A culture of risk management is cultivated and present</w:t>
      </w:r>
      <w:r w:rsidR="009D3D5D">
        <w:rPr>
          <w:rFonts w:ascii="Aptos" w:hAnsi="Aptos"/>
          <w:color w:val="auto"/>
          <w:sz w:val="20"/>
          <w:szCs w:val="20"/>
        </w:rPr>
        <w:t>.</w:t>
      </w:r>
    </w:p>
    <w:p w14:paraId="76F806C2" w14:textId="77777777" w:rsidR="004A266D" w:rsidRPr="00B93D9E" w:rsidRDefault="00C90F71" w:rsidP="00B93D9E">
      <w:pPr>
        <w:jc w:val="both"/>
        <w:rPr>
          <w:rFonts w:ascii="Aptos" w:hAnsi="Aptos"/>
          <w:color w:val="auto"/>
          <w:sz w:val="20"/>
          <w:szCs w:val="20"/>
        </w:rPr>
      </w:pPr>
      <w:r w:rsidRPr="00B93D9E">
        <w:rPr>
          <w:rFonts w:ascii="Aptos" w:hAnsi="Aptos"/>
          <w:color w:val="auto"/>
          <w:sz w:val="20"/>
          <w:szCs w:val="20"/>
        </w:rPr>
        <w:tab/>
      </w:r>
    </w:p>
    <w:p w14:paraId="50093120" w14:textId="3D23EB1A" w:rsidR="00B2397E" w:rsidRPr="00B93D9E" w:rsidRDefault="004A266D" w:rsidP="00B93D9E">
      <w:pPr>
        <w:tabs>
          <w:tab w:val="left" w:pos="270"/>
          <w:tab w:val="left" w:pos="360"/>
        </w:tabs>
        <w:ind w:left="270"/>
        <w:jc w:val="both"/>
        <w:rPr>
          <w:rFonts w:ascii="Aptos" w:hAnsi="Aptos"/>
          <w:color w:val="auto"/>
          <w:sz w:val="20"/>
          <w:szCs w:val="20"/>
        </w:rPr>
      </w:pPr>
      <w:r w:rsidRPr="00B93D9E">
        <w:rPr>
          <w:rFonts w:ascii="Aptos" w:hAnsi="Aptos"/>
          <w:color w:val="auto"/>
          <w:sz w:val="20"/>
          <w:szCs w:val="20"/>
          <w:u w:val="single"/>
        </w:rPr>
        <w:t>Category</w:t>
      </w:r>
      <w:r w:rsidR="00A324A9" w:rsidRPr="00B93D9E">
        <w:rPr>
          <w:rFonts w:ascii="Aptos" w:hAnsi="Aptos"/>
          <w:color w:val="auto"/>
          <w:sz w:val="20"/>
          <w:szCs w:val="20"/>
          <w:u w:val="single"/>
        </w:rPr>
        <w:t xml:space="preserve"> ID</w:t>
      </w:r>
      <w:r w:rsidR="00A324A9" w:rsidRPr="00B93D9E">
        <w:rPr>
          <w:rFonts w:ascii="Aptos" w:hAnsi="Aptos"/>
          <w:color w:val="auto"/>
          <w:sz w:val="20"/>
          <w:szCs w:val="20"/>
        </w:rPr>
        <w:t>: GV-1</w:t>
      </w:r>
    </w:p>
    <w:p w14:paraId="08CB18D8" w14:textId="6C275CE7" w:rsidR="00A324A9" w:rsidRPr="00B93D9E" w:rsidRDefault="00A324A9" w:rsidP="00B93D9E">
      <w:pPr>
        <w:tabs>
          <w:tab w:val="left" w:pos="270"/>
          <w:tab w:val="left" w:pos="360"/>
        </w:tabs>
        <w:ind w:left="270"/>
        <w:jc w:val="both"/>
        <w:rPr>
          <w:rFonts w:ascii="Aptos" w:hAnsi="Aptos"/>
          <w:color w:val="auto"/>
          <w:sz w:val="20"/>
          <w:szCs w:val="20"/>
        </w:rPr>
      </w:pPr>
      <w:r w:rsidRPr="00B93D9E">
        <w:rPr>
          <w:rFonts w:ascii="Aptos" w:hAnsi="Aptos"/>
          <w:color w:val="auto"/>
          <w:sz w:val="20"/>
          <w:szCs w:val="20"/>
          <w:u w:val="single"/>
        </w:rPr>
        <w:t>Category Name</w:t>
      </w:r>
      <w:r w:rsidRPr="00B93D9E">
        <w:rPr>
          <w:rFonts w:ascii="Aptos" w:hAnsi="Aptos"/>
          <w:color w:val="auto"/>
          <w:sz w:val="20"/>
          <w:szCs w:val="20"/>
        </w:rPr>
        <w:t>: Establishing Key Policies &amp; Processes</w:t>
      </w:r>
    </w:p>
    <w:p w14:paraId="3CB4A566" w14:textId="7BB63FB1" w:rsidR="00C90F71" w:rsidRPr="00B93D9E" w:rsidRDefault="00A324A9" w:rsidP="00B93D9E">
      <w:pPr>
        <w:tabs>
          <w:tab w:val="left" w:pos="270"/>
          <w:tab w:val="left" w:pos="360"/>
          <w:tab w:val="left" w:pos="630"/>
        </w:tabs>
        <w:ind w:left="270"/>
        <w:jc w:val="both"/>
        <w:rPr>
          <w:rFonts w:ascii="Aptos" w:hAnsi="Aptos"/>
          <w:color w:val="auto"/>
          <w:sz w:val="20"/>
          <w:szCs w:val="20"/>
        </w:rPr>
      </w:pPr>
      <w:r w:rsidRPr="00B93D9E">
        <w:rPr>
          <w:rFonts w:ascii="Aptos" w:hAnsi="Aptos"/>
          <w:color w:val="auto"/>
          <w:sz w:val="20"/>
          <w:szCs w:val="20"/>
          <w:u w:val="single"/>
        </w:rPr>
        <w:t xml:space="preserve">Category </w:t>
      </w:r>
      <w:r w:rsidR="00B2397E" w:rsidRPr="00B93D9E">
        <w:rPr>
          <w:rFonts w:ascii="Aptos" w:hAnsi="Aptos"/>
          <w:color w:val="auto"/>
          <w:sz w:val="20"/>
          <w:szCs w:val="20"/>
          <w:u w:val="single"/>
        </w:rPr>
        <w:t>Desc</w:t>
      </w:r>
      <w:r w:rsidR="00312FFD" w:rsidRPr="00B93D9E">
        <w:rPr>
          <w:rFonts w:ascii="Aptos" w:hAnsi="Aptos"/>
          <w:color w:val="auto"/>
          <w:sz w:val="20"/>
          <w:szCs w:val="20"/>
          <w:u w:val="single"/>
        </w:rPr>
        <w:t>ription</w:t>
      </w:r>
      <w:r w:rsidRPr="00B93D9E">
        <w:rPr>
          <w:rFonts w:ascii="Aptos" w:hAnsi="Aptos"/>
          <w:color w:val="auto"/>
          <w:sz w:val="20"/>
          <w:szCs w:val="20"/>
        </w:rPr>
        <w:t xml:space="preserve">: </w:t>
      </w:r>
      <w:r w:rsidR="000802A3" w:rsidRPr="00B93D9E">
        <w:rPr>
          <w:rFonts w:ascii="Aptos" w:hAnsi="Aptos"/>
          <w:color w:val="auto"/>
          <w:sz w:val="20"/>
          <w:szCs w:val="20"/>
        </w:rPr>
        <w:t>Policies, processes, procedures, and practices across the organization related to the mapping, measuring, and managing of AI risks are in place, transparent, and implemented effectively.</w:t>
      </w:r>
      <w:r w:rsidR="000B02BC" w:rsidRPr="00B93D9E">
        <w:rPr>
          <w:rFonts w:ascii="Aptos" w:hAnsi="Aptos"/>
          <w:color w:val="auto"/>
          <w:sz w:val="20"/>
          <w:szCs w:val="20"/>
        </w:rPr>
        <w:t xml:space="preserve"> </w:t>
      </w:r>
    </w:p>
    <w:p w14:paraId="006C54C5" w14:textId="77777777" w:rsidR="000802A3" w:rsidRPr="00B93D9E" w:rsidRDefault="000802A3" w:rsidP="00B93D9E">
      <w:pPr>
        <w:ind w:left="720"/>
        <w:jc w:val="both"/>
        <w:rPr>
          <w:rFonts w:ascii="Aptos" w:hAnsi="Aptos"/>
          <w:color w:val="auto"/>
          <w:sz w:val="20"/>
          <w:szCs w:val="20"/>
        </w:rPr>
      </w:pPr>
    </w:p>
    <w:p w14:paraId="3674BD1F" w14:textId="2DFF5F79" w:rsidR="000802A3" w:rsidRPr="00B93D9E" w:rsidRDefault="000802A3" w:rsidP="00B93D9E">
      <w:pPr>
        <w:tabs>
          <w:tab w:val="left" w:pos="990"/>
        </w:tabs>
        <w:ind w:left="540"/>
        <w:jc w:val="both"/>
        <w:rPr>
          <w:rFonts w:ascii="Aptos" w:hAnsi="Aptos"/>
          <w:color w:val="auto"/>
          <w:sz w:val="20"/>
          <w:szCs w:val="20"/>
        </w:rPr>
      </w:pPr>
      <w:r w:rsidRPr="00B93D9E">
        <w:rPr>
          <w:rFonts w:ascii="Aptos" w:hAnsi="Aptos"/>
          <w:color w:val="auto"/>
          <w:sz w:val="20"/>
          <w:szCs w:val="20"/>
          <w:u w:val="single"/>
        </w:rPr>
        <w:t>Sub-Category</w:t>
      </w:r>
      <w:r w:rsidR="00BB19D6" w:rsidRPr="00B93D9E">
        <w:rPr>
          <w:rFonts w:ascii="Aptos" w:hAnsi="Aptos"/>
          <w:color w:val="auto"/>
          <w:sz w:val="20"/>
          <w:szCs w:val="20"/>
          <w:u w:val="single"/>
        </w:rPr>
        <w:t xml:space="preserve"> ID</w:t>
      </w:r>
      <w:r w:rsidRPr="00B93D9E">
        <w:rPr>
          <w:rFonts w:ascii="Aptos" w:hAnsi="Aptos"/>
          <w:color w:val="auto"/>
          <w:sz w:val="20"/>
          <w:szCs w:val="20"/>
        </w:rPr>
        <w:t>: GV-1.1</w:t>
      </w:r>
    </w:p>
    <w:p w14:paraId="4745B837" w14:textId="38FE80D2" w:rsidR="000802A3" w:rsidRPr="00B93D9E" w:rsidRDefault="000802A3" w:rsidP="00B93D9E">
      <w:pPr>
        <w:tabs>
          <w:tab w:val="left" w:pos="990"/>
        </w:tabs>
        <w:ind w:left="540"/>
        <w:jc w:val="both"/>
        <w:rPr>
          <w:rFonts w:ascii="Aptos" w:hAnsi="Aptos"/>
          <w:color w:val="auto"/>
          <w:sz w:val="20"/>
          <w:szCs w:val="20"/>
        </w:rPr>
      </w:pPr>
      <w:r w:rsidRPr="00B93D9E">
        <w:rPr>
          <w:rFonts w:ascii="Aptos" w:hAnsi="Aptos"/>
          <w:color w:val="auto"/>
          <w:sz w:val="20"/>
          <w:szCs w:val="20"/>
          <w:u w:val="single"/>
        </w:rPr>
        <w:t>Sub-Category</w:t>
      </w:r>
      <w:r w:rsidR="00BB19D6" w:rsidRPr="00B93D9E">
        <w:rPr>
          <w:rFonts w:ascii="Aptos" w:hAnsi="Aptos"/>
          <w:color w:val="auto"/>
          <w:sz w:val="20"/>
          <w:szCs w:val="20"/>
          <w:u w:val="single"/>
        </w:rPr>
        <w:t xml:space="preserve"> Name</w:t>
      </w:r>
      <w:r w:rsidRPr="00B93D9E">
        <w:rPr>
          <w:rFonts w:ascii="Aptos" w:hAnsi="Aptos"/>
          <w:color w:val="auto"/>
          <w:sz w:val="20"/>
          <w:szCs w:val="20"/>
        </w:rPr>
        <w:t>:</w:t>
      </w:r>
      <w:r w:rsidR="00BB19D6" w:rsidRPr="00B93D9E">
        <w:rPr>
          <w:rFonts w:ascii="Aptos" w:hAnsi="Aptos"/>
          <w:color w:val="auto"/>
          <w:sz w:val="20"/>
          <w:szCs w:val="20"/>
        </w:rPr>
        <w:t xml:space="preserve"> Legal and Regulatory Compliance</w:t>
      </w:r>
    </w:p>
    <w:p w14:paraId="355FA5D3" w14:textId="5186198C" w:rsidR="00BB19D6" w:rsidRPr="00B93D9E" w:rsidRDefault="00633CCC" w:rsidP="00B93D9E">
      <w:pPr>
        <w:tabs>
          <w:tab w:val="left" w:pos="990"/>
        </w:tabs>
        <w:ind w:left="540"/>
        <w:jc w:val="both"/>
        <w:rPr>
          <w:rFonts w:ascii="Aptos" w:hAnsi="Aptos"/>
          <w:color w:val="auto"/>
          <w:sz w:val="20"/>
          <w:szCs w:val="20"/>
        </w:rPr>
      </w:pPr>
      <w:r w:rsidRPr="00B93D9E">
        <w:rPr>
          <w:rFonts w:ascii="Aptos" w:hAnsi="Aptos"/>
          <w:color w:val="auto"/>
          <w:sz w:val="20"/>
          <w:szCs w:val="20"/>
          <w:u w:val="single"/>
        </w:rPr>
        <w:t>S</w:t>
      </w:r>
      <w:r w:rsidR="00BB19D6" w:rsidRPr="00B93D9E">
        <w:rPr>
          <w:rFonts w:ascii="Aptos" w:hAnsi="Aptos"/>
          <w:color w:val="auto"/>
          <w:sz w:val="20"/>
          <w:szCs w:val="20"/>
          <w:u w:val="single"/>
        </w:rPr>
        <w:t>ub-Category Description</w:t>
      </w:r>
      <w:r w:rsidR="00BB19D6" w:rsidRPr="00B93D9E">
        <w:rPr>
          <w:rFonts w:ascii="Aptos" w:hAnsi="Aptos"/>
          <w:color w:val="auto"/>
          <w:sz w:val="20"/>
          <w:szCs w:val="20"/>
        </w:rPr>
        <w:t>: Legal and regulatory requirements involving AI are understood, managed, and documented.</w:t>
      </w:r>
    </w:p>
    <w:p w14:paraId="09E7A2D2" w14:textId="77777777" w:rsidR="007465B0" w:rsidRPr="00B93D9E" w:rsidRDefault="007465B0" w:rsidP="00B93D9E">
      <w:pPr>
        <w:ind w:left="1440"/>
        <w:jc w:val="both"/>
        <w:rPr>
          <w:rFonts w:ascii="Aptos" w:hAnsi="Aptos"/>
          <w:color w:val="auto"/>
          <w:sz w:val="20"/>
          <w:szCs w:val="20"/>
        </w:rPr>
      </w:pPr>
    </w:p>
    <w:p w14:paraId="0A485ACD" w14:textId="208EF5C4" w:rsidR="007465B0" w:rsidRPr="00B93D9E" w:rsidRDefault="00DE2F8E" w:rsidP="00B93D9E">
      <w:pPr>
        <w:tabs>
          <w:tab w:val="left" w:pos="1620"/>
        </w:tabs>
        <w:ind w:left="810"/>
        <w:jc w:val="both"/>
        <w:rPr>
          <w:rFonts w:ascii="Aptos" w:hAnsi="Aptos"/>
          <w:color w:val="auto"/>
          <w:sz w:val="20"/>
          <w:szCs w:val="20"/>
        </w:rPr>
      </w:pPr>
      <w:r w:rsidRPr="00B93D9E">
        <w:rPr>
          <w:rFonts w:ascii="Aptos" w:hAnsi="Aptos"/>
          <w:color w:val="auto"/>
          <w:sz w:val="20"/>
          <w:szCs w:val="20"/>
          <w:u w:val="single"/>
        </w:rPr>
        <w:t>Control Objective ID</w:t>
      </w:r>
      <w:r w:rsidRPr="00B93D9E">
        <w:rPr>
          <w:rFonts w:ascii="Aptos" w:hAnsi="Aptos"/>
          <w:color w:val="auto"/>
          <w:sz w:val="20"/>
          <w:szCs w:val="20"/>
        </w:rPr>
        <w:t>: GV-1.1.1</w:t>
      </w:r>
    </w:p>
    <w:p w14:paraId="3D6E203C" w14:textId="25927FBD" w:rsidR="00DE2F8E" w:rsidRPr="00B93D9E" w:rsidRDefault="00633CCC" w:rsidP="00B93D9E">
      <w:pPr>
        <w:tabs>
          <w:tab w:val="left" w:pos="1620"/>
        </w:tabs>
        <w:ind w:left="810"/>
        <w:jc w:val="both"/>
        <w:rPr>
          <w:rFonts w:ascii="Aptos" w:hAnsi="Aptos"/>
          <w:color w:val="auto"/>
          <w:sz w:val="20"/>
          <w:szCs w:val="20"/>
        </w:rPr>
      </w:pPr>
      <w:r w:rsidRPr="00B93D9E">
        <w:rPr>
          <w:rFonts w:ascii="Aptos" w:hAnsi="Aptos"/>
          <w:color w:val="auto"/>
          <w:sz w:val="20"/>
          <w:szCs w:val="20"/>
          <w:u w:val="single"/>
        </w:rPr>
        <w:t>C</w:t>
      </w:r>
      <w:r w:rsidR="00DE2F8E" w:rsidRPr="00B93D9E">
        <w:rPr>
          <w:rFonts w:ascii="Aptos" w:hAnsi="Aptos"/>
          <w:color w:val="auto"/>
          <w:sz w:val="20"/>
          <w:szCs w:val="20"/>
          <w:u w:val="single"/>
        </w:rPr>
        <w:t>ontrol Objective Name</w:t>
      </w:r>
      <w:r w:rsidR="00DE2F8E" w:rsidRPr="00B93D9E">
        <w:rPr>
          <w:rFonts w:ascii="Aptos" w:hAnsi="Aptos"/>
          <w:color w:val="auto"/>
          <w:sz w:val="20"/>
          <w:szCs w:val="20"/>
        </w:rPr>
        <w:t xml:space="preserve">: </w:t>
      </w:r>
      <w:r w:rsidR="00333BF0" w:rsidRPr="00B93D9E">
        <w:rPr>
          <w:rFonts w:ascii="Aptos" w:hAnsi="Aptos"/>
          <w:color w:val="auto"/>
          <w:sz w:val="20"/>
          <w:szCs w:val="20"/>
        </w:rPr>
        <w:t>AI Legal, Regulatory, and Policy Integration</w:t>
      </w:r>
    </w:p>
    <w:p w14:paraId="16BDF436" w14:textId="02C30B5A" w:rsidR="00DE2F8E" w:rsidRPr="00B93D9E" w:rsidRDefault="00B2397E" w:rsidP="00B93D9E">
      <w:pPr>
        <w:tabs>
          <w:tab w:val="left" w:pos="1620"/>
        </w:tabs>
        <w:ind w:left="810"/>
        <w:jc w:val="both"/>
        <w:rPr>
          <w:rFonts w:ascii="Aptos" w:hAnsi="Aptos"/>
          <w:color w:val="auto"/>
          <w:sz w:val="20"/>
          <w:szCs w:val="20"/>
        </w:rPr>
      </w:pPr>
      <w:r w:rsidRPr="00B93D9E">
        <w:rPr>
          <w:rFonts w:ascii="Aptos" w:hAnsi="Aptos"/>
          <w:color w:val="auto"/>
          <w:sz w:val="20"/>
          <w:szCs w:val="20"/>
          <w:u w:val="single"/>
        </w:rPr>
        <w:t>C</w:t>
      </w:r>
      <w:r w:rsidR="0017640C" w:rsidRPr="00B93D9E">
        <w:rPr>
          <w:rFonts w:ascii="Aptos" w:hAnsi="Aptos"/>
          <w:color w:val="auto"/>
          <w:sz w:val="20"/>
          <w:szCs w:val="20"/>
          <w:u w:val="single"/>
        </w:rPr>
        <w:t>ontrol Objective Description</w:t>
      </w:r>
      <w:r w:rsidR="0017640C" w:rsidRPr="00B93D9E">
        <w:rPr>
          <w:rFonts w:ascii="Aptos" w:hAnsi="Aptos"/>
          <w:color w:val="auto"/>
          <w:sz w:val="20"/>
          <w:szCs w:val="20"/>
        </w:rPr>
        <w:t xml:space="preserve">: </w:t>
      </w:r>
      <w:r w:rsidR="005D4B35" w:rsidRPr="00B93D9E">
        <w:rPr>
          <w:rFonts w:ascii="Aptos" w:hAnsi="Aptos"/>
          <w:color w:val="auto"/>
          <w:sz w:val="20"/>
          <w:szCs w:val="20"/>
        </w:rPr>
        <w:t>The organization identifies, monitors, and integrates applicable laws, regulations, contractual obligations, and sector requirements into policies, procedures, and operations governing AI. This includes updating governance artifacts, aligning operational practices, and verifying ongoing compliance as requirements evolve.</w:t>
      </w:r>
    </w:p>
    <w:p w14:paraId="6C3A295A" w14:textId="77777777" w:rsidR="00992A16" w:rsidRPr="00B93D9E" w:rsidRDefault="00992A16" w:rsidP="00B93D9E">
      <w:pPr>
        <w:jc w:val="both"/>
        <w:rPr>
          <w:rFonts w:ascii="Aptos" w:hAnsi="Aptos"/>
          <w:color w:val="auto"/>
          <w:sz w:val="20"/>
          <w:szCs w:val="20"/>
        </w:rPr>
      </w:pPr>
    </w:p>
    <w:p w14:paraId="1EEDF7EF" w14:textId="43F921D8" w:rsidR="003159E4" w:rsidRPr="00B93D9E" w:rsidRDefault="0064227D" w:rsidP="00B93D9E">
      <w:pPr>
        <w:jc w:val="both"/>
        <w:rPr>
          <w:rFonts w:ascii="Aptos" w:hAnsi="Aptos"/>
          <w:color w:val="auto"/>
          <w:sz w:val="20"/>
          <w:szCs w:val="20"/>
        </w:rPr>
      </w:pPr>
      <w:r w:rsidRPr="00B93D9E">
        <w:rPr>
          <w:rFonts w:ascii="Aptos" w:hAnsi="Aptos"/>
          <w:color w:val="auto"/>
          <w:sz w:val="20"/>
          <w:szCs w:val="20"/>
        </w:rPr>
        <w:t xml:space="preserve">A more detailed overview of the RCM’s structure as well as navigational tips can be found </w:t>
      </w:r>
      <w:r w:rsidR="00992A16" w:rsidRPr="00B93D9E">
        <w:rPr>
          <w:rFonts w:ascii="Aptos" w:hAnsi="Aptos"/>
          <w:color w:val="auto"/>
          <w:sz w:val="20"/>
          <w:szCs w:val="20"/>
        </w:rPr>
        <w:t>in</w:t>
      </w:r>
      <w:r w:rsidRPr="00B93D9E">
        <w:rPr>
          <w:rFonts w:ascii="Aptos" w:hAnsi="Aptos"/>
          <w:color w:val="auto"/>
          <w:sz w:val="20"/>
          <w:szCs w:val="20"/>
        </w:rPr>
        <w:t xml:space="preserve"> </w:t>
      </w:r>
      <w:r w:rsidR="00FA7C6C" w:rsidRPr="00B93D9E">
        <w:rPr>
          <w:rFonts w:ascii="Aptos" w:hAnsi="Aptos"/>
          <w:b/>
          <w:bCs/>
          <w:color w:val="auto"/>
          <w:sz w:val="20"/>
          <w:szCs w:val="20"/>
        </w:rPr>
        <w:t>Section</w:t>
      </w:r>
      <w:r w:rsidRPr="00B93D9E">
        <w:rPr>
          <w:rFonts w:ascii="Aptos" w:hAnsi="Aptos"/>
          <w:b/>
          <w:bCs/>
          <w:color w:val="auto"/>
          <w:sz w:val="20"/>
          <w:szCs w:val="20"/>
        </w:rPr>
        <w:t xml:space="preserve"> 2</w:t>
      </w:r>
      <w:r w:rsidRPr="00B93D9E">
        <w:rPr>
          <w:rFonts w:ascii="Aptos" w:hAnsi="Aptos"/>
          <w:color w:val="auto"/>
          <w:sz w:val="20"/>
          <w:szCs w:val="20"/>
        </w:rPr>
        <w:t xml:space="preserve">. </w:t>
      </w:r>
    </w:p>
    <w:p w14:paraId="26D4EA2A" w14:textId="77777777" w:rsidR="005E5CDC" w:rsidRDefault="005E5CDC" w:rsidP="00304B3B">
      <w:pPr>
        <w:spacing w:line="269" w:lineRule="auto"/>
        <w:jc w:val="both"/>
        <w:rPr>
          <w:rFonts w:ascii="Aptos" w:hAnsi="Aptos"/>
          <w:color w:val="auto"/>
        </w:rPr>
      </w:pPr>
    </w:p>
    <w:p w14:paraId="7C5F4F8F" w14:textId="77777777" w:rsidR="00534C44" w:rsidRDefault="00534C44">
      <w:pPr>
        <w:rPr>
          <w:rFonts w:ascii="Aptos" w:hAnsi="Aptos"/>
          <w:b/>
          <w:color w:val="B31E3E" w:themeColor="accent1"/>
          <w:u w:val="single"/>
        </w:rPr>
      </w:pPr>
      <w:r>
        <w:rPr>
          <w:rFonts w:ascii="Aptos" w:hAnsi="Aptos"/>
          <w:color w:val="B31E3E" w:themeColor="accent1"/>
          <w:u w:val="single"/>
        </w:rPr>
        <w:br w:type="page"/>
      </w:r>
    </w:p>
    <w:p w14:paraId="457A683C" w14:textId="6C33DB29" w:rsidR="005E5CDC" w:rsidRPr="005F7D35" w:rsidRDefault="005B750C" w:rsidP="00304B3B">
      <w:pPr>
        <w:pStyle w:val="Heading15"/>
        <w:spacing w:before="0" w:after="0" w:line="269" w:lineRule="auto"/>
        <w:jc w:val="both"/>
        <w:rPr>
          <w:rFonts w:ascii="Aptos" w:hAnsi="Aptos"/>
          <w:color w:val="B31E3E" w:themeColor="accent1"/>
          <w:sz w:val="24"/>
          <w:szCs w:val="28"/>
          <w:u w:val="single"/>
        </w:rPr>
      </w:pPr>
      <w:bookmarkStart w:id="38" w:name="_Toc221009654"/>
      <w:r w:rsidRPr="005F7D35">
        <w:rPr>
          <w:rFonts w:ascii="Aptos" w:hAnsi="Aptos"/>
          <w:color w:val="B31E3E" w:themeColor="accent1"/>
          <w:sz w:val="24"/>
          <w:szCs w:val="28"/>
          <w:u w:val="single"/>
        </w:rPr>
        <w:lastRenderedPageBreak/>
        <w:t>Guidebook</w:t>
      </w:r>
      <w:bookmarkEnd w:id="38"/>
    </w:p>
    <w:p w14:paraId="376F9CC1" w14:textId="77777777" w:rsidR="005B750C" w:rsidRPr="005F7D35" w:rsidRDefault="005B750C" w:rsidP="00304B3B">
      <w:pPr>
        <w:spacing w:line="269" w:lineRule="auto"/>
        <w:jc w:val="both"/>
        <w:rPr>
          <w:rFonts w:ascii="Aptos" w:hAnsi="Aptos"/>
          <w:color w:val="auto"/>
          <w:sz w:val="20"/>
          <w:szCs w:val="20"/>
        </w:rPr>
      </w:pPr>
    </w:p>
    <w:p w14:paraId="18EA9D5F" w14:textId="240AE111" w:rsidR="00E93452" w:rsidRPr="005F7D35" w:rsidRDefault="00E93452" w:rsidP="005F7D35">
      <w:pPr>
        <w:jc w:val="both"/>
        <w:rPr>
          <w:rFonts w:ascii="Aptos" w:hAnsi="Aptos"/>
          <w:color w:val="auto"/>
          <w:sz w:val="20"/>
          <w:szCs w:val="20"/>
        </w:rPr>
      </w:pPr>
      <w:r w:rsidRPr="005F7D35">
        <w:rPr>
          <w:rFonts w:ascii="Aptos" w:hAnsi="Aptos"/>
          <w:color w:val="auto"/>
          <w:sz w:val="20"/>
          <w:szCs w:val="20"/>
        </w:rPr>
        <w:t xml:space="preserve">The </w:t>
      </w:r>
      <w:r w:rsidR="00AC4F61" w:rsidRPr="005F7D35">
        <w:rPr>
          <w:rFonts w:ascii="Aptos" w:hAnsi="Aptos"/>
          <w:color w:val="auto"/>
          <w:sz w:val="20"/>
          <w:szCs w:val="20"/>
        </w:rPr>
        <w:t>G</w:t>
      </w:r>
      <w:r w:rsidRPr="005F7D35">
        <w:rPr>
          <w:rFonts w:ascii="Aptos" w:hAnsi="Aptos"/>
          <w:color w:val="auto"/>
          <w:sz w:val="20"/>
          <w:szCs w:val="20"/>
        </w:rPr>
        <w:t xml:space="preserve">uidebook provides </w:t>
      </w:r>
      <w:r w:rsidR="00DF21AC" w:rsidRPr="005F7D35">
        <w:rPr>
          <w:rFonts w:ascii="Aptos" w:hAnsi="Aptos"/>
          <w:color w:val="auto"/>
          <w:sz w:val="20"/>
          <w:szCs w:val="20"/>
        </w:rPr>
        <w:t>practical</w:t>
      </w:r>
      <w:r w:rsidRPr="005F7D35">
        <w:rPr>
          <w:rFonts w:ascii="Aptos" w:hAnsi="Aptos"/>
          <w:color w:val="auto"/>
          <w:sz w:val="20"/>
          <w:szCs w:val="20"/>
        </w:rPr>
        <w:t xml:space="preserve"> step-by-step guidance to support FS AI RMF</w:t>
      </w:r>
      <w:r w:rsidR="00B2397E" w:rsidRPr="005F7D35">
        <w:rPr>
          <w:rFonts w:ascii="Aptos" w:hAnsi="Aptos"/>
          <w:color w:val="auto"/>
          <w:sz w:val="20"/>
          <w:szCs w:val="20"/>
        </w:rPr>
        <w:t xml:space="preserve"> implementation</w:t>
      </w:r>
      <w:r w:rsidRPr="005F7D35">
        <w:rPr>
          <w:rFonts w:ascii="Aptos" w:hAnsi="Aptos"/>
          <w:color w:val="auto"/>
          <w:sz w:val="20"/>
          <w:szCs w:val="20"/>
        </w:rPr>
        <w:t>. I</w:t>
      </w:r>
      <w:r w:rsidR="00AC4F61" w:rsidRPr="005F7D35">
        <w:rPr>
          <w:rFonts w:ascii="Aptos" w:hAnsi="Aptos"/>
          <w:color w:val="auto"/>
          <w:sz w:val="20"/>
          <w:szCs w:val="20"/>
        </w:rPr>
        <w:t xml:space="preserve">n addition to the background information provided above, </w:t>
      </w:r>
      <w:r w:rsidR="0066349A" w:rsidRPr="005F7D35">
        <w:rPr>
          <w:rFonts w:ascii="Aptos" w:hAnsi="Aptos"/>
          <w:color w:val="auto"/>
          <w:sz w:val="20"/>
          <w:szCs w:val="20"/>
        </w:rPr>
        <w:t xml:space="preserve">this </w:t>
      </w:r>
      <w:r w:rsidR="00AC4F61" w:rsidRPr="005F7D35">
        <w:rPr>
          <w:rFonts w:ascii="Aptos" w:hAnsi="Aptos"/>
          <w:color w:val="auto"/>
          <w:sz w:val="20"/>
          <w:szCs w:val="20"/>
        </w:rPr>
        <w:t>Guidebook</w:t>
      </w:r>
      <w:r w:rsidRPr="005F7D35">
        <w:rPr>
          <w:rFonts w:ascii="Aptos" w:hAnsi="Aptos"/>
          <w:color w:val="auto"/>
          <w:sz w:val="20"/>
          <w:szCs w:val="20"/>
        </w:rPr>
        <w:t xml:space="preserve"> include</w:t>
      </w:r>
      <w:r w:rsidR="0066349A" w:rsidRPr="005F7D35">
        <w:rPr>
          <w:rFonts w:ascii="Aptos" w:hAnsi="Aptos"/>
          <w:color w:val="auto"/>
          <w:sz w:val="20"/>
          <w:szCs w:val="20"/>
        </w:rPr>
        <w:t>s</w:t>
      </w:r>
      <w:r w:rsidRPr="005F7D35">
        <w:rPr>
          <w:rFonts w:ascii="Aptos" w:hAnsi="Aptos"/>
          <w:color w:val="auto"/>
          <w:sz w:val="20"/>
          <w:szCs w:val="20"/>
        </w:rPr>
        <w:t>:</w:t>
      </w:r>
    </w:p>
    <w:p w14:paraId="775DD964" w14:textId="77777777" w:rsidR="00BE4458" w:rsidRPr="005F7D35" w:rsidRDefault="00BE4458" w:rsidP="005F7D35">
      <w:pPr>
        <w:jc w:val="both"/>
        <w:rPr>
          <w:rFonts w:ascii="Aptos" w:hAnsi="Aptos"/>
          <w:color w:val="auto"/>
          <w:sz w:val="20"/>
          <w:szCs w:val="20"/>
        </w:rPr>
      </w:pPr>
    </w:p>
    <w:p w14:paraId="007AD9B7" w14:textId="6989895D" w:rsidR="00696767" w:rsidRPr="005F7D35" w:rsidRDefault="0093177F" w:rsidP="005F7D35">
      <w:pPr>
        <w:pStyle w:val="ListParagraph"/>
        <w:numPr>
          <w:ilvl w:val="0"/>
          <w:numId w:val="9"/>
        </w:numPr>
        <w:spacing w:after="0" w:line="240" w:lineRule="auto"/>
        <w:contextualSpacing w:val="0"/>
        <w:jc w:val="both"/>
        <w:rPr>
          <w:rFonts w:ascii="Aptos" w:hAnsi="Aptos"/>
          <w:sz w:val="20"/>
          <w:szCs w:val="20"/>
        </w:rPr>
      </w:pPr>
      <w:r w:rsidRPr="005F7D35">
        <w:rPr>
          <w:rFonts w:ascii="Aptos" w:hAnsi="Aptos"/>
          <w:b/>
          <w:bCs/>
          <w:sz w:val="20"/>
          <w:szCs w:val="20"/>
        </w:rPr>
        <w:t>Section 1</w:t>
      </w:r>
      <w:r w:rsidRPr="005F7D35">
        <w:rPr>
          <w:rFonts w:ascii="Aptos" w:hAnsi="Aptos"/>
          <w:sz w:val="20"/>
          <w:szCs w:val="20"/>
        </w:rPr>
        <w:t xml:space="preserve">: </w:t>
      </w:r>
      <w:r w:rsidR="00677456" w:rsidRPr="005F7D35">
        <w:rPr>
          <w:rFonts w:ascii="Aptos" w:hAnsi="Aptos"/>
          <w:sz w:val="20"/>
          <w:szCs w:val="20"/>
        </w:rPr>
        <w:t xml:space="preserve">The </w:t>
      </w:r>
      <w:r w:rsidR="00AC4F61" w:rsidRPr="005F7D35">
        <w:rPr>
          <w:rFonts w:ascii="Aptos" w:hAnsi="Aptos"/>
          <w:sz w:val="20"/>
          <w:szCs w:val="20"/>
        </w:rPr>
        <w:t>Adoption Stage Questionnaire</w:t>
      </w:r>
      <w:r w:rsidR="00677456" w:rsidRPr="005F7D35">
        <w:rPr>
          <w:rFonts w:ascii="Aptos" w:hAnsi="Aptos"/>
          <w:sz w:val="20"/>
          <w:szCs w:val="20"/>
        </w:rPr>
        <w:t xml:space="preserve"> and instructions for completing it</w:t>
      </w:r>
    </w:p>
    <w:p w14:paraId="5FAD52A8" w14:textId="731AE329" w:rsidR="00506DDB" w:rsidRPr="005F7D35" w:rsidRDefault="0093177F" w:rsidP="005F7D35">
      <w:pPr>
        <w:pStyle w:val="ListParagraph"/>
        <w:numPr>
          <w:ilvl w:val="0"/>
          <w:numId w:val="9"/>
        </w:numPr>
        <w:spacing w:after="0" w:line="240" w:lineRule="auto"/>
        <w:contextualSpacing w:val="0"/>
        <w:jc w:val="both"/>
        <w:rPr>
          <w:rFonts w:ascii="Aptos" w:hAnsi="Aptos"/>
          <w:sz w:val="20"/>
          <w:szCs w:val="20"/>
        </w:rPr>
      </w:pPr>
      <w:r w:rsidRPr="005F7D35">
        <w:rPr>
          <w:rFonts w:ascii="Aptos" w:hAnsi="Aptos"/>
          <w:b/>
          <w:bCs/>
          <w:sz w:val="20"/>
          <w:szCs w:val="20"/>
        </w:rPr>
        <w:t>Section 2</w:t>
      </w:r>
      <w:r w:rsidRPr="005F7D35">
        <w:rPr>
          <w:rFonts w:ascii="Aptos" w:hAnsi="Aptos"/>
          <w:sz w:val="20"/>
          <w:szCs w:val="20"/>
        </w:rPr>
        <w:t xml:space="preserve">: </w:t>
      </w:r>
      <w:r w:rsidR="007449A6" w:rsidRPr="005F7D35">
        <w:rPr>
          <w:rFonts w:ascii="Aptos" w:hAnsi="Aptos"/>
          <w:sz w:val="20"/>
          <w:szCs w:val="20"/>
        </w:rPr>
        <w:t>A</w:t>
      </w:r>
      <w:r w:rsidR="00FA7C6C" w:rsidRPr="005F7D35">
        <w:rPr>
          <w:rFonts w:ascii="Aptos" w:hAnsi="Aptos"/>
          <w:sz w:val="20"/>
          <w:szCs w:val="20"/>
        </w:rPr>
        <w:t>n overview of the RCM</w:t>
      </w:r>
      <w:r w:rsidR="00AC576E" w:rsidRPr="005F7D35">
        <w:rPr>
          <w:rFonts w:ascii="Aptos" w:hAnsi="Aptos"/>
          <w:sz w:val="20"/>
          <w:szCs w:val="20"/>
        </w:rPr>
        <w:t xml:space="preserve"> and its contents</w:t>
      </w:r>
    </w:p>
    <w:p w14:paraId="78288BC1" w14:textId="7F5B0216" w:rsidR="00F960C2" w:rsidRPr="005F7D35" w:rsidRDefault="00AD279B" w:rsidP="005F7D35">
      <w:pPr>
        <w:pStyle w:val="ListParagraph"/>
        <w:numPr>
          <w:ilvl w:val="0"/>
          <w:numId w:val="9"/>
        </w:numPr>
        <w:spacing w:after="0" w:line="240" w:lineRule="auto"/>
        <w:contextualSpacing w:val="0"/>
        <w:jc w:val="both"/>
        <w:rPr>
          <w:rFonts w:ascii="Aptos" w:hAnsi="Aptos"/>
          <w:sz w:val="20"/>
          <w:szCs w:val="20"/>
        </w:rPr>
      </w:pPr>
      <w:r w:rsidRPr="005F7D35">
        <w:rPr>
          <w:rFonts w:ascii="Aptos" w:hAnsi="Aptos"/>
          <w:b/>
          <w:bCs/>
          <w:sz w:val="20"/>
          <w:szCs w:val="20"/>
        </w:rPr>
        <w:t xml:space="preserve">Appendix </w:t>
      </w:r>
      <w:r w:rsidR="00D016EE" w:rsidRPr="005F7D35">
        <w:rPr>
          <w:rFonts w:ascii="Aptos" w:hAnsi="Aptos"/>
          <w:b/>
          <w:bCs/>
          <w:sz w:val="20"/>
          <w:szCs w:val="20"/>
        </w:rPr>
        <w:t>A</w:t>
      </w:r>
      <w:r w:rsidRPr="005F7D35">
        <w:rPr>
          <w:rFonts w:ascii="Aptos" w:hAnsi="Aptos"/>
          <w:sz w:val="20"/>
          <w:szCs w:val="20"/>
        </w:rPr>
        <w:t>: NIST AI Trustworthy Principles</w:t>
      </w:r>
    </w:p>
    <w:p w14:paraId="6027A326" w14:textId="47AF80B3" w:rsidR="002F76EE" w:rsidRPr="005F7D35" w:rsidRDefault="00E23519" w:rsidP="005F7D35">
      <w:pPr>
        <w:pStyle w:val="ListParagraph"/>
        <w:numPr>
          <w:ilvl w:val="0"/>
          <w:numId w:val="9"/>
        </w:numPr>
        <w:spacing w:after="0" w:line="240" w:lineRule="auto"/>
        <w:contextualSpacing w:val="0"/>
        <w:jc w:val="both"/>
        <w:rPr>
          <w:rFonts w:ascii="Aptos" w:hAnsi="Aptos"/>
          <w:sz w:val="20"/>
          <w:szCs w:val="20"/>
        </w:rPr>
      </w:pPr>
      <w:r w:rsidRPr="005F7D35">
        <w:rPr>
          <w:rFonts w:ascii="Aptos" w:hAnsi="Aptos"/>
          <w:b/>
          <w:bCs/>
          <w:sz w:val="20"/>
          <w:szCs w:val="20"/>
        </w:rPr>
        <w:t xml:space="preserve">Appendix </w:t>
      </w:r>
      <w:r w:rsidR="00D016EE" w:rsidRPr="005F7D35">
        <w:rPr>
          <w:rFonts w:ascii="Aptos" w:hAnsi="Aptos"/>
          <w:b/>
          <w:bCs/>
          <w:sz w:val="20"/>
          <w:szCs w:val="20"/>
        </w:rPr>
        <w:t>B</w:t>
      </w:r>
      <w:r w:rsidRPr="005F7D35">
        <w:rPr>
          <w:rFonts w:ascii="Aptos" w:hAnsi="Aptos"/>
          <w:sz w:val="20"/>
          <w:szCs w:val="20"/>
        </w:rPr>
        <w:t xml:space="preserve">: </w:t>
      </w:r>
      <w:r w:rsidR="00F175BE" w:rsidRPr="005F7D35">
        <w:rPr>
          <w:rFonts w:ascii="Aptos" w:hAnsi="Aptos"/>
          <w:sz w:val="20"/>
          <w:szCs w:val="20"/>
        </w:rPr>
        <w:t>Acronyms</w:t>
      </w:r>
      <w:r w:rsidR="002F76EE" w:rsidRPr="005F7D35">
        <w:rPr>
          <w:rFonts w:ascii="Aptos" w:hAnsi="Aptos"/>
          <w:sz w:val="20"/>
          <w:szCs w:val="20"/>
        </w:rPr>
        <w:t xml:space="preserve"> and</w:t>
      </w:r>
      <w:r w:rsidR="00F175BE" w:rsidRPr="005F7D35">
        <w:rPr>
          <w:rFonts w:ascii="Aptos" w:hAnsi="Aptos"/>
          <w:sz w:val="20"/>
          <w:szCs w:val="20"/>
        </w:rPr>
        <w:t xml:space="preserve"> </w:t>
      </w:r>
      <w:r w:rsidR="00001F03" w:rsidRPr="005F7D35">
        <w:rPr>
          <w:rFonts w:ascii="Aptos" w:hAnsi="Aptos"/>
          <w:sz w:val="20"/>
          <w:szCs w:val="20"/>
        </w:rPr>
        <w:t>A</w:t>
      </w:r>
      <w:r w:rsidR="00F175BE" w:rsidRPr="005F7D35">
        <w:rPr>
          <w:rFonts w:ascii="Aptos" w:hAnsi="Aptos"/>
          <w:sz w:val="20"/>
          <w:szCs w:val="20"/>
        </w:rPr>
        <w:t>bbreviations</w:t>
      </w:r>
    </w:p>
    <w:p w14:paraId="314F7852" w14:textId="0E3D5F22" w:rsidR="00F175BE" w:rsidRPr="005F7D35" w:rsidRDefault="00E23519" w:rsidP="005F7D35">
      <w:pPr>
        <w:pStyle w:val="ListParagraph"/>
        <w:numPr>
          <w:ilvl w:val="0"/>
          <w:numId w:val="9"/>
        </w:numPr>
        <w:spacing w:after="0" w:line="240" w:lineRule="auto"/>
        <w:contextualSpacing w:val="0"/>
        <w:jc w:val="both"/>
        <w:rPr>
          <w:rFonts w:ascii="Aptos" w:hAnsi="Aptos"/>
          <w:sz w:val="20"/>
          <w:szCs w:val="20"/>
        </w:rPr>
      </w:pPr>
      <w:r w:rsidRPr="005F7D35">
        <w:rPr>
          <w:rFonts w:ascii="Aptos" w:hAnsi="Aptos"/>
          <w:b/>
          <w:bCs/>
          <w:sz w:val="20"/>
          <w:szCs w:val="20"/>
        </w:rPr>
        <w:t xml:space="preserve">Appendix </w:t>
      </w:r>
      <w:r w:rsidR="00D016EE" w:rsidRPr="005F7D35">
        <w:rPr>
          <w:rFonts w:ascii="Aptos" w:hAnsi="Aptos"/>
          <w:b/>
          <w:bCs/>
          <w:sz w:val="20"/>
          <w:szCs w:val="20"/>
        </w:rPr>
        <w:t>C</w:t>
      </w:r>
      <w:r w:rsidRPr="005F7D35">
        <w:rPr>
          <w:rFonts w:ascii="Aptos" w:hAnsi="Aptos"/>
          <w:sz w:val="20"/>
          <w:szCs w:val="20"/>
        </w:rPr>
        <w:t xml:space="preserve">: </w:t>
      </w:r>
      <w:r w:rsidR="002F76EE" w:rsidRPr="005F7D35">
        <w:rPr>
          <w:rFonts w:ascii="Aptos" w:hAnsi="Aptos"/>
          <w:sz w:val="20"/>
          <w:szCs w:val="20"/>
        </w:rPr>
        <w:t>G</w:t>
      </w:r>
      <w:r w:rsidR="00F175BE" w:rsidRPr="005F7D35">
        <w:rPr>
          <w:rFonts w:ascii="Aptos" w:hAnsi="Aptos"/>
          <w:sz w:val="20"/>
          <w:szCs w:val="20"/>
        </w:rPr>
        <w:t xml:space="preserve">lossary of </w:t>
      </w:r>
      <w:r w:rsidR="00001F03" w:rsidRPr="005F7D35">
        <w:rPr>
          <w:rFonts w:ascii="Aptos" w:hAnsi="Aptos"/>
          <w:sz w:val="20"/>
          <w:szCs w:val="20"/>
        </w:rPr>
        <w:t>Key T</w:t>
      </w:r>
      <w:r w:rsidR="00F175BE" w:rsidRPr="005F7D35">
        <w:rPr>
          <w:rFonts w:ascii="Aptos" w:hAnsi="Aptos"/>
          <w:sz w:val="20"/>
          <w:szCs w:val="20"/>
        </w:rPr>
        <w:t>erms</w:t>
      </w:r>
    </w:p>
    <w:p w14:paraId="2CDD1D5F" w14:textId="34ACA8EF" w:rsidR="00E93452" w:rsidRPr="005F7D35" w:rsidRDefault="00E23519" w:rsidP="005F7D35">
      <w:pPr>
        <w:pStyle w:val="ListParagraph"/>
        <w:numPr>
          <w:ilvl w:val="0"/>
          <w:numId w:val="9"/>
        </w:numPr>
        <w:spacing w:after="0" w:line="240" w:lineRule="auto"/>
        <w:contextualSpacing w:val="0"/>
        <w:jc w:val="both"/>
        <w:rPr>
          <w:rFonts w:ascii="Aptos" w:hAnsi="Aptos"/>
          <w:sz w:val="20"/>
          <w:szCs w:val="20"/>
        </w:rPr>
      </w:pPr>
      <w:r w:rsidRPr="005F7D35">
        <w:rPr>
          <w:rFonts w:ascii="Aptos" w:hAnsi="Aptos"/>
          <w:b/>
          <w:bCs/>
          <w:sz w:val="20"/>
          <w:szCs w:val="20"/>
        </w:rPr>
        <w:t xml:space="preserve">Appendix </w:t>
      </w:r>
      <w:r w:rsidR="00D016EE" w:rsidRPr="005F7D35">
        <w:rPr>
          <w:rFonts w:ascii="Aptos" w:hAnsi="Aptos"/>
          <w:b/>
          <w:bCs/>
          <w:sz w:val="20"/>
          <w:szCs w:val="20"/>
        </w:rPr>
        <w:t>D</w:t>
      </w:r>
      <w:r w:rsidRPr="005F7D35">
        <w:rPr>
          <w:rFonts w:ascii="Aptos" w:hAnsi="Aptos"/>
          <w:sz w:val="20"/>
          <w:szCs w:val="20"/>
        </w:rPr>
        <w:t xml:space="preserve">: </w:t>
      </w:r>
      <w:r w:rsidR="00001F03" w:rsidRPr="005F7D35">
        <w:rPr>
          <w:rFonts w:ascii="Aptos" w:hAnsi="Aptos"/>
          <w:sz w:val="20"/>
          <w:szCs w:val="20"/>
        </w:rPr>
        <w:t>Informative References</w:t>
      </w:r>
    </w:p>
    <w:p w14:paraId="5CD0E1A8" w14:textId="5292A014" w:rsidR="00001F03" w:rsidRPr="005F7D35" w:rsidRDefault="00001F03" w:rsidP="005F7D35">
      <w:pPr>
        <w:pStyle w:val="ListParagraph"/>
        <w:numPr>
          <w:ilvl w:val="0"/>
          <w:numId w:val="9"/>
        </w:numPr>
        <w:spacing w:after="0" w:line="240" w:lineRule="auto"/>
        <w:contextualSpacing w:val="0"/>
        <w:jc w:val="both"/>
        <w:rPr>
          <w:rFonts w:ascii="Aptos" w:hAnsi="Aptos"/>
          <w:sz w:val="20"/>
          <w:szCs w:val="20"/>
        </w:rPr>
      </w:pPr>
      <w:r w:rsidRPr="005F7D35">
        <w:rPr>
          <w:rFonts w:ascii="Aptos" w:hAnsi="Aptos"/>
          <w:b/>
          <w:bCs/>
          <w:sz w:val="20"/>
          <w:szCs w:val="20"/>
        </w:rPr>
        <w:t>Appendix E</w:t>
      </w:r>
      <w:r w:rsidRPr="005F7D35">
        <w:rPr>
          <w:rFonts w:ascii="Aptos" w:hAnsi="Aptos"/>
          <w:sz w:val="20"/>
          <w:szCs w:val="20"/>
        </w:rPr>
        <w:t>: Additional Source Materials</w:t>
      </w:r>
    </w:p>
    <w:bookmarkEnd w:id="31"/>
    <w:p w14:paraId="7E04EFFB" w14:textId="03434B25" w:rsidR="00136DB2" w:rsidRPr="000244C4" w:rsidRDefault="00136DB2">
      <w:pPr>
        <w:rPr>
          <w:rFonts w:ascii="Aptos" w:eastAsia="Times New Roman" w:hAnsi="Aptos" w:cs="Times New Roman"/>
          <w:b/>
          <w:bCs/>
          <w:color w:val="34246B" w:themeColor="accent2"/>
          <w:sz w:val="20"/>
          <w:szCs w:val="20"/>
        </w:rPr>
      </w:pPr>
    </w:p>
    <w:p w14:paraId="6156F2AB" w14:textId="6BCEE69B" w:rsidR="000244C4" w:rsidRDefault="000244C4" w:rsidP="000244C4">
      <w:pPr>
        <w:pStyle w:val="Heading15"/>
        <w:spacing w:before="0" w:after="0" w:line="269" w:lineRule="auto"/>
        <w:jc w:val="both"/>
        <w:rPr>
          <w:rFonts w:ascii="Aptos" w:hAnsi="Aptos"/>
          <w:color w:val="B31E3E" w:themeColor="accent1"/>
          <w:sz w:val="24"/>
          <w:szCs w:val="28"/>
          <w:u w:val="single"/>
        </w:rPr>
      </w:pPr>
      <w:bookmarkStart w:id="39" w:name="_Toc221009655"/>
      <w:r>
        <w:rPr>
          <w:rFonts w:ascii="Aptos" w:hAnsi="Aptos"/>
          <w:color w:val="B31E3E" w:themeColor="accent1"/>
          <w:sz w:val="24"/>
          <w:szCs w:val="28"/>
          <w:u w:val="single"/>
        </w:rPr>
        <w:t>Control Objective Reference Guide</w:t>
      </w:r>
      <w:bookmarkEnd w:id="39"/>
    </w:p>
    <w:p w14:paraId="558B0DC1" w14:textId="77777777" w:rsidR="000244C4" w:rsidRDefault="000244C4" w:rsidP="000244C4"/>
    <w:p w14:paraId="6CC770A5" w14:textId="56587C51" w:rsidR="00854139" w:rsidRDefault="00854139" w:rsidP="00854139">
      <w:pPr>
        <w:jc w:val="both"/>
        <w:rPr>
          <w:rFonts w:ascii="Aptos" w:hAnsi="Aptos"/>
          <w:color w:val="auto"/>
          <w:sz w:val="20"/>
          <w:szCs w:val="20"/>
        </w:rPr>
      </w:pPr>
      <w:r w:rsidRPr="00854139">
        <w:rPr>
          <w:rFonts w:ascii="Aptos" w:hAnsi="Aptos"/>
          <w:color w:val="auto"/>
          <w:sz w:val="20"/>
          <w:szCs w:val="20"/>
        </w:rPr>
        <w:t>The Control Objective Reference Guide serves as a</w:t>
      </w:r>
      <w:r>
        <w:rPr>
          <w:rFonts w:ascii="Aptos" w:hAnsi="Aptos"/>
          <w:color w:val="auto"/>
          <w:sz w:val="20"/>
          <w:szCs w:val="20"/>
        </w:rPr>
        <w:t xml:space="preserve"> </w:t>
      </w:r>
      <w:r w:rsidRPr="00854139">
        <w:rPr>
          <w:rFonts w:ascii="Aptos" w:hAnsi="Aptos"/>
          <w:color w:val="auto"/>
          <w:sz w:val="20"/>
          <w:szCs w:val="20"/>
        </w:rPr>
        <w:t>companion to this Guidebook. It encompasses all the information contained in Section 2 of this document, along with five illustrative example Controls for each Control Objective and four examples of Effective Evidence for each Control.</w:t>
      </w:r>
    </w:p>
    <w:p w14:paraId="5FB02403" w14:textId="77777777" w:rsidR="00854139" w:rsidRPr="00854139" w:rsidRDefault="00854139" w:rsidP="00854139">
      <w:pPr>
        <w:jc w:val="both"/>
        <w:rPr>
          <w:rFonts w:ascii="Aptos" w:hAnsi="Aptos"/>
          <w:color w:val="auto"/>
          <w:sz w:val="20"/>
          <w:szCs w:val="20"/>
        </w:rPr>
      </w:pPr>
    </w:p>
    <w:p w14:paraId="3A395E4E" w14:textId="0CBA51DF" w:rsidR="00854139" w:rsidRDefault="00854139" w:rsidP="00854139">
      <w:pPr>
        <w:jc w:val="both"/>
        <w:rPr>
          <w:rFonts w:ascii="Aptos" w:hAnsi="Aptos"/>
          <w:color w:val="auto"/>
          <w:sz w:val="20"/>
          <w:szCs w:val="20"/>
        </w:rPr>
      </w:pPr>
      <w:r w:rsidRPr="00854139">
        <w:rPr>
          <w:rFonts w:ascii="Aptos" w:hAnsi="Aptos"/>
          <w:b/>
          <w:bCs/>
          <w:color w:val="auto"/>
          <w:sz w:val="20"/>
          <w:szCs w:val="20"/>
        </w:rPr>
        <w:t>IMPORTANT:</w:t>
      </w:r>
      <w:r w:rsidRPr="00854139">
        <w:rPr>
          <w:rFonts w:ascii="Aptos" w:hAnsi="Aptos"/>
          <w:color w:val="auto"/>
          <w:sz w:val="20"/>
          <w:szCs w:val="20"/>
        </w:rPr>
        <w:t xml:space="preserve"> Please </w:t>
      </w:r>
      <w:r>
        <w:rPr>
          <w:rFonts w:ascii="Aptos" w:hAnsi="Aptos"/>
          <w:color w:val="auto"/>
          <w:sz w:val="20"/>
          <w:szCs w:val="20"/>
        </w:rPr>
        <w:t>note</w:t>
      </w:r>
      <w:r w:rsidRPr="00854139">
        <w:rPr>
          <w:rFonts w:ascii="Aptos" w:hAnsi="Aptos"/>
          <w:color w:val="auto"/>
          <w:sz w:val="20"/>
          <w:szCs w:val="20"/>
        </w:rPr>
        <w:t xml:space="preserve"> that the examples of Controls and Effective Evidence provided in the Control Objective Reference Guide are intended to serve </w:t>
      </w:r>
      <w:r>
        <w:rPr>
          <w:rFonts w:ascii="Aptos" w:hAnsi="Aptos"/>
          <w:color w:val="auto"/>
          <w:sz w:val="20"/>
          <w:szCs w:val="20"/>
        </w:rPr>
        <w:t>only</w:t>
      </w:r>
      <w:r w:rsidRPr="00854139">
        <w:rPr>
          <w:rFonts w:ascii="Aptos" w:hAnsi="Aptos"/>
          <w:color w:val="auto"/>
          <w:sz w:val="20"/>
          <w:szCs w:val="20"/>
        </w:rPr>
        <w:t xml:space="preserve"> as illustrative guides. They are not exhaustive, exclusive, or all-encompassing lists and should not be interpreted as a definitive guarantee for meeting regulatory or audit expectations. The suitability and applicability of these examples may vary across organizations, and different </w:t>
      </w:r>
      <w:r>
        <w:rPr>
          <w:rFonts w:ascii="Aptos" w:hAnsi="Aptos"/>
          <w:color w:val="auto"/>
          <w:sz w:val="20"/>
          <w:szCs w:val="20"/>
        </w:rPr>
        <w:t>E</w:t>
      </w:r>
      <w:r w:rsidRPr="00854139">
        <w:rPr>
          <w:rFonts w:ascii="Aptos" w:hAnsi="Aptos"/>
          <w:color w:val="auto"/>
          <w:sz w:val="20"/>
          <w:szCs w:val="20"/>
        </w:rPr>
        <w:t>vidence might provide greater value in specific contexts.</w:t>
      </w:r>
    </w:p>
    <w:p w14:paraId="730D3B06" w14:textId="77777777" w:rsidR="00854139" w:rsidRPr="00854139" w:rsidRDefault="00854139" w:rsidP="00854139">
      <w:pPr>
        <w:jc w:val="both"/>
        <w:rPr>
          <w:rFonts w:ascii="Aptos" w:hAnsi="Aptos"/>
          <w:color w:val="auto"/>
          <w:sz w:val="20"/>
          <w:szCs w:val="20"/>
        </w:rPr>
      </w:pPr>
    </w:p>
    <w:p w14:paraId="45E3B39F" w14:textId="0FA99767" w:rsidR="00854139" w:rsidRPr="00854139" w:rsidRDefault="00854139" w:rsidP="00854139">
      <w:pPr>
        <w:jc w:val="both"/>
        <w:rPr>
          <w:rFonts w:ascii="Aptos" w:hAnsi="Aptos"/>
          <w:color w:val="auto"/>
          <w:sz w:val="20"/>
          <w:szCs w:val="20"/>
        </w:rPr>
      </w:pPr>
      <w:r w:rsidRPr="00854139">
        <w:rPr>
          <w:rFonts w:ascii="Aptos" w:hAnsi="Aptos"/>
          <w:color w:val="auto"/>
          <w:sz w:val="20"/>
          <w:szCs w:val="20"/>
        </w:rPr>
        <w:t xml:space="preserve">Users of the FS AI RMF should critically assess the adequacy and relevance of the </w:t>
      </w:r>
      <w:r>
        <w:rPr>
          <w:rFonts w:ascii="Aptos" w:hAnsi="Aptos"/>
          <w:color w:val="auto"/>
          <w:sz w:val="20"/>
          <w:szCs w:val="20"/>
        </w:rPr>
        <w:t>Controls and E</w:t>
      </w:r>
      <w:r w:rsidRPr="00854139">
        <w:rPr>
          <w:rFonts w:ascii="Aptos" w:hAnsi="Aptos"/>
          <w:color w:val="auto"/>
          <w:sz w:val="20"/>
          <w:szCs w:val="20"/>
        </w:rPr>
        <w:t xml:space="preserve">vidence presented to adequately substantiate their responses, weighing it against the resources and investment required to produce such </w:t>
      </w:r>
      <w:r>
        <w:rPr>
          <w:rFonts w:ascii="Aptos" w:hAnsi="Aptos"/>
          <w:color w:val="auto"/>
          <w:sz w:val="20"/>
          <w:szCs w:val="20"/>
        </w:rPr>
        <w:t>E</w:t>
      </w:r>
      <w:r w:rsidRPr="00854139">
        <w:rPr>
          <w:rFonts w:ascii="Aptos" w:hAnsi="Aptos"/>
          <w:color w:val="auto"/>
          <w:sz w:val="20"/>
          <w:szCs w:val="20"/>
        </w:rPr>
        <w:t xml:space="preserve">vidence. It is important to note that there should be no presumption that all, or even most, of the examples of </w:t>
      </w:r>
      <w:r>
        <w:rPr>
          <w:rFonts w:ascii="Aptos" w:hAnsi="Aptos"/>
          <w:color w:val="auto"/>
          <w:sz w:val="20"/>
          <w:szCs w:val="20"/>
        </w:rPr>
        <w:t xml:space="preserve">Controls and </w:t>
      </w:r>
      <w:r w:rsidRPr="00854139">
        <w:rPr>
          <w:rFonts w:ascii="Aptos" w:hAnsi="Aptos"/>
          <w:color w:val="auto"/>
          <w:sz w:val="20"/>
          <w:szCs w:val="20"/>
        </w:rPr>
        <w:t xml:space="preserve">Effective Evidence included are necessary, advisable, or appropriate for supporting the organization’s </w:t>
      </w:r>
      <w:r>
        <w:rPr>
          <w:rFonts w:ascii="Aptos" w:hAnsi="Aptos"/>
          <w:color w:val="auto"/>
          <w:sz w:val="20"/>
          <w:szCs w:val="20"/>
        </w:rPr>
        <w:t>compliance</w:t>
      </w:r>
      <w:r w:rsidRPr="00854139">
        <w:rPr>
          <w:rFonts w:ascii="Aptos" w:hAnsi="Aptos"/>
          <w:color w:val="auto"/>
          <w:sz w:val="20"/>
          <w:szCs w:val="20"/>
        </w:rPr>
        <w:t xml:space="preserve"> assertions. Organizations are encouraged to tailor their approach to their specific context and regulatory environment.</w:t>
      </w:r>
    </w:p>
    <w:p w14:paraId="68641C0F" w14:textId="70715240" w:rsidR="000244C4" w:rsidRPr="005F7D35" w:rsidRDefault="002E7011" w:rsidP="000244C4">
      <w:pPr>
        <w:jc w:val="both"/>
        <w:rPr>
          <w:rFonts w:ascii="Aptos" w:hAnsi="Aptos"/>
          <w:color w:val="auto"/>
          <w:sz w:val="20"/>
          <w:szCs w:val="20"/>
        </w:rPr>
      </w:pPr>
      <w:r>
        <w:rPr>
          <w:rFonts w:ascii="Aptos" w:hAnsi="Aptos"/>
          <w:color w:val="auto"/>
          <w:sz w:val="20"/>
          <w:szCs w:val="20"/>
        </w:rPr>
        <w:t xml:space="preserve"> </w:t>
      </w:r>
    </w:p>
    <w:p w14:paraId="34679109" w14:textId="77777777" w:rsidR="000244C4" w:rsidRPr="000244C4" w:rsidRDefault="000244C4" w:rsidP="000244C4"/>
    <w:p w14:paraId="10D806FB" w14:textId="77777777" w:rsidR="00001F03" w:rsidRPr="000244C4" w:rsidRDefault="00001F03">
      <w:pPr>
        <w:rPr>
          <w:rFonts w:ascii="Aptos" w:eastAsia="Times New Roman" w:hAnsi="Aptos" w:cs="Times New Roman"/>
          <w:b/>
          <w:bCs/>
          <w:color w:val="34246B" w:themeColor="accent2"/>
          <w:sz w:val="32"/>
        </w:rPr>
      </w:pPr>
      <w:r w:rsidRPr="000244C4">
        <w:rPr>
          <w:rFonts w:ascii="Aptos" w:hAnsi="Aptos"/>
          <w:b/>
          <w:bCs/>
          <w:color w:val="34246B" w:themeColor="accent2"/>
        </w:rPr>
        <w:br w:type="page"/>
      </w:r>
    </w:p>
    <w:p w14:paraId="2B89DC73" w14:textId="001DC33F" w:rsidR="0026603C" w:rsidRPr="005F7D35" w:rsidRDefault="00D016EE" w:rsidP="005F7D35">
      <w:pPr>
        <w:pStyle w:val="Heading1"/>
        <w:spacing w:after="0"/>
        <w:jc w:val="both"/>
        <w:rPr>
          <w:rFonts w:ascii="Aptos" w:hAnsi="Aptos"/>
          <w:b/>
          <w:bCs/>
          <w:color w:val="34246B" w:themeColor="accent2"/>
          <w:sz w:val="28"/>
          <w:szCs w:val="28"/>
          <w:lang w:val="fr-CA"/>
        </w:rPr>
      </w:pPr>
      <w:bookmarkStart w:id="40" w:name="_Toc221009656"/>
      <w:r w:rsidRPr="005F7D35">
        <w:rPr>
          <w:rFonts w:ascii="Aptos" w:hAnsi="Aptos"/>
          <w:b/>
          <w:bCs/>
          <w:color w:val="34246B" w:themeColor="accent2"/>
          <w:sz w:val="28"/>
          <w:szCs w:val="28"/>
          <w:lang w:val="fr-CA"/>
        </w:rPr>
        <w:lastRenderedPageBreak/>
        <w:t>SECTION</w:t>
      </w:r>
      <w:r w:rsidR="00D62F52" w:rsidRPr="005F7D35">
        <w:rPr>
          <w:rFonts w:ascii="Aptos" w:hAnsi="Aptos"/>
          <w:b/>
          <w:bCs/>
          <w:color w:val="34246B" w:themeColor="accent2"/>
          <w:sz w:val="28"/>
          <w:szCs w:val="28"/>
          <w:lang w:val="fr-CA"/>
        </w:rPr>
        <w:t xml:space="preserve"> 1: THE </w:t>
      </w:r>
      <w:r w:rsidR="00DF21AC" w:rsidRPr="005F7D35">
        <w:rPr>
          <w:rFonts w:ascii="Aptos" w:hAnsi="Aptos"/>
          <w:b/>
          <w:bCs/>
          <w:color w:val="34246B" w:themeColor="accent2"/>
          <w:sz w:val="28"/>
          <w:szCs w:val="28"/>
          <w:lang w:val="fr-CA"/>
        </w:rPr>
        <w:t>AI ADOPTION STAGE</w:t>
      </w:r>
      <w:r w:rsidR="00D62F52" w:rsidRPr="005F7D35">
        <w:rPr>
          <w:rFonts w:ascii="Aptos" w:hAnsi="Aptos"/>
          <w:b/>
          <w:bCs/>
          <w:color w:val="34246B" w:themeColor="accent2"/>
          <w:sz w:val="28"/>
          <w:szCs w:val="28"/>
          <w:lang w:val="fr-CA"/>
        </w:rPr>
        <w:t xml:space="preserve"> QUESTIONNAIRE</w:t>
      </w:r>
      <w:bookmarkEnd w:id="40"/>
    </w:p>
    <w:p w14:paraId="2B8F6B48" w14:textId="77777777" w:rsidR="004461E6" w:rsidRPr="005F7D35" w:rsidRDefault="004461E6" w:rsidP="005F7D35">
      <w:pPr>
        <w:jc w:val="both"/>
        <w:rPr>
          <w:rFonts w:ascii="Aptos" w:hAnsi="Aptos"/>
          <w:sz w:val="20"/>
          <w:szCs w:val="20"/>
          <w:lang w:val="fr-CA"/>
        </w:rPr>
      </w:pPr>
    </w:p>
    <w:p w14:paraId="157C9CA4" w14:textId="4CE8ACFD" w:rsidR="006E1E1C" w:rsidRPr="005F7D35" w:rsidRDefault="006E1E1C" w:rsidP="005F7D35">
      <w:pPr>
        <w:pStyle w:val="Heading15"/>
        <w:spacing w:before="0" w:after="0"/>
        <w:jc w:val="both"/>
        <w:rPr>
          <w:rFonts w:ascii="Aptos" w:hAnsi="Aptos"/>
          <w:color w:val="B31E3E" w:themeColor="accent1"/>
          <w:sz w:val="24"/>
          <w:szCs w:val="28"/>
          <w:u w:val="single"/>
        </w:rPr>
      </w:pPr>
      <w:bookmarkStart w:id="41" w:name="_GETTING_STARTED"/>
      <w:bookmarkStart w:id="42" w:name="_Determine_Your_Organization’s"/>
      <w:bookmarkStart w:id="43" w:name="_Toc221009657"/>
      <w:bookmarkEnd w:id="32"/>
      <w:bookmarkEnd w:id="33"/>
      <w:bookmarkEnd w:id="34"/>
      <w:bookmarkEnd w:id="41"/>
      <w:bookmarkEnd w:id="42"/>
      <w:r w:rsidRPr="005F7D35">
        <w:rPr>
          <w:rFonts w:ascii="Aptos" w:hAnsi="Aptos"/>
          <w:color w:val="B31E3E" w:themeColor="accent1"/>
          <w:sz w:val="24"/>
          <w:szCs w:val="28"/>
          <w:u w:val="single"/>
        </w:rPr>
        <w:t>Overview</w:t>
      </w:r>
      <w:bookmarkEnd w:id="43"/>
    </w:p>
    <w:p w14:paraId="5AD840EA" w14:textId="77777777" w:rsidR="00E93452" w:rsidRPr="00E93452" w:rsidRDefault="00E93452" w:rsidP="005F7D35">
      <w:pPr>
        <w:jc w:val="both"/>
      </w:pPr>
    </w:p>
    <w:p w14:paraId="52E14632" w14:textId="5E297847" w:rsidR="00290FEB" w:rsidRDefault="00290FEB" w:rsidP="005F7D35">
      <w:pPr>
        <w:jc w:val="both"/>
        <w:rPr>
          <w:rFonts w:ascii="Aptos" w:hAnsi="Aptos"/>
          <w:color w:val="auto"/>
          <w:sz w:val="20"/>
          <w:szCs w:val="20"/>
        </w:rPr>
      </w:pPr>
      <w:r w:rsidRPr="005F7D35">
        <w:rPr>
          <w:rFonts w:ascii="Aptos" w:hAnsi="Aptos"/>
          <w:color w:val="auto"/>
          <w:sz w:val="20"/>
          <w:szCs w:val="20"/>
        </w:rPr>
        <w:t xml:space="preserve">The Questionnaire guides organizations through a self-assessment that helps determine their current AI </w:t>
      </w:r>
      <w:r w:rsidR="00841C62">
        <w:rPr>
          <w:rFonts w:ascii="Aptos" w:hAnsi="Aptos"/>
          <w:color w:val="auto"/>
          <w:sz w:val="20"/>
          <w:szCs w:val="20"/>
        </w:rPr>
        <w:t>A</w:t>
      </w:r>
      <w:r w:rsidRPr="005F7D35">
        <w:rPr>
          <w:rFonts w:ascii="Aptos" w:hAnsi="Aptos"/>
          <w:color w:val="auto"/>
          <w:sz w:val="20"/>
          <w:szCs w:val="20"/>
        </w:rPr>
        <w:t xml:space="preserve">doption </w:t>
      </w:r>
      <w:r w:rsidR="00841C62">
        <w:rPr>
          <w:rFonts w:ascii="Aptos" w:hAnsi="Aptos"/>
          <w:color w:val="auto"/>
          <w:sz w:val="20"/>
          <w:szCs w:val="20"/>
        </w:rPr>
        <w:t>S</w:t>
      </w:r>
      <w:r w:rsidRPr="005F7D35">
        <w:rPr>
          <w:rFonts w:ascii="Aptos" w:hAnsi="Aptos"/>
          <w:color w:val="auto"/>
          <w:sz w:val="20"/>
          <w:szCs w:val="20"/>
        </w:rPr>
        <w:t xml:space="preserve">tage, classifying it into one of the </w:t>
      </w:r>
      <w:r w:rsidR="0057335A" w:rsidRPr="005F7D35">
        <w:rPr>
          <w:rFonts w:ascii="Aptos" w:hAnsi="Aptos"/>
          <w:color w:val="auto"/>
          <w:sz w:val="20"/>
          <w:szCs w:val="20"/>
        </w:rPr>
        <w:t>four stages</w:t>
      </w:r>
      <w:r w:rsidRPr="005F7D35">
        <w:rPr>
          <w:rFonts w:ascii="Aptos" w:hAnsi="Aptos"/>
          <w:color w:val="auto"/>
          <w:sz w:val="20"/>
          <w:szCs w:val="20"/>
        </w:rPr>
        <w:t xml:space="preserve"> defined below: </w:t>
      </w:r>
    </w:p>
    <w:p w14:paraId="6FE531AD" w14:textId="77777777" w:rsidR="005F7D35" w:rsidRPr="005F7D35" w:rsidRDefault="005F7D35" w:rsidP="005F7D35">
      <w:pPr>
        <w:jc w:val="both"/>
        <w:rPr>
          <w:rFonts w:ascii="Aptos" w:hAnsi="Aptos"/>
          <w:color w:val="auto"/>
          <w:sz w:val="20"/>
          <w:szCs w:val="20"/>
        </w:rPr>
      </w:pPr>
    </w:p>
    <w:p w14:paraId="274EDA76" w14:textId="77777777" w:rsidR="00290FEB" w:rsidRPr="005F7D35" w:rsidRDefault="00290FEB" w:rsidP="005F7D35">
      <w:pPr>
        <w:pStyle w:val="ListParagraph"/>
        <w:numPr>
          <w:ilvl w:val="0"/>
          <w:numId w:val="12"/>
        </w:numPr>
        <w:spacing w:after="0" w:line="240" w:lineRule="auto"/>
        <w:contextualSpacing w:val="0"/>
        <w:jc w:val="both"/>
        <w:rPr>
          <w:rFonts w:ascii="Aptos" w:hAnsi="Aptos"/>
          <w:sz w:val="20"/>
          <w:szCs w:val="20"/>
        </w:rPr>
      </w:pPr>
      <w:r w:rsidRPr="005F7D35">
        <w:rPr>
          <w:rFonts w:ascii="Aptos" w:hAnsi="Aptos"/>
          <w:b/>
          <w:bCs/>
          <w:sz w:val="20"/>
          <w:szCs w:val="20"/>
        </w:rPr>
        <w:t>Initial</w:t>
      </w:r>
      <w:r w:rsidRPr="005F7D35">
        <w:rPr>
          <w:rFonts w:ascii="Aptos" w:hAnsi="Aptos"/>
          <w:sz w:val="20"/>
          <w:szCs w:val="20"/>
        </w:rPr>
        <w:t xml:space="preserve"> features limited and protective methods;</w:t>
      </w:r>
    </w:p>
    <w:p w14:paraId="171FA2BB" w14:textId="77777777" w:rsidR="00290FEB" w:rsidRPr="005F7D35" w:rsidRDefault="00290FEB" w:rsidP="005F7D35">
      <w:pPr>
        <w:pStyle w:val="ListParagraph"/>
        <w:numPr>
          <w:ilvl w:val="0"/>
          <w:numId w:val="12"/>
        </w:numPr>
        <w:spacing w:after="0" w:line="240" w:lineRule="auto"/>
        <w:contextualSpacing w:val="0"/>
        <w:jc w:val="both"/>
        <w:rPr>
          <w:rFonts w:ascii="Aptos" w:hAnsi="Aptos"/>
          <w:b/>
          <w:bCs/>
          <w:sz w:val="20"/>
          <w:szCs w:val="20"/>
        </w:rPr>
      </w:pPr>
      <w:r w:rsidRPr="005F7D35">
        <w:rPr>
          <w:rFonts w:ascii="Aptos" w:hAnsi="Aptos"/>
          <w:b/>
          <w:bCs/>
          <w:sz w:val="20"/>
          <w:szCs w:val="20"/>
        </w:rPr>
        <w:t xml:space="preserve">Minimal </w:t>
      </w:r>
      <w:r w:rsidRPr="005F7D35">
        <w:rPr>
          <w:rFonts w:ascii="Aptos" w:hAnsi="Aptos"/>
          <w:sz w:val="20"/>
          <w:szCs w:val="20"/>
        </w:rPr>
        <w:t>entails low-risk implementations;</w:t>
      </w:r>
      <w:r w:rsidRPr="005F7D35">
        <w:rPr>
          <w:rFonts w:ascii="Aptos" w:hAnsi="Aptos"/>
          <w:b/>
          <w:bCs/>
          <w:sz w:val="20"/>
          <w:szCs w:val="20"/>
        </w:rPr>
        <w:t xml:space="preserve"> </w:t>
      </w:r>
    </w:p>
    <w:p w14:paraId="33B2ACD0" w14:textId="77777777" w:rsidR="00290FEB" w:rsidRPr="005F7D35" w:rsidRDefault="00290FEB" w:rsidP="005F7D35">
      <w:pPr>
        <w:pStyle w:val="ListParagraph"/>
        <w:numPr>
          <w:ilvl w:val="0"/>
          <w:numId w:val="12"/>
        </w:numPr>
        <w:spacing w:after="0" w:line="240" w:lineRule="auto"/>
        <w:contextualSpacing w:val="0"/>
        <w:jc w:val="both"/>
        <w:rPr>
          <w:rFonts w:ascii="Aptos" w:hAnsi="Aptos"/>
          <w:sz w:val="20"/>
          <w:szCs w:val="20"/>
        </w:rPr>
      </w:pPr>
      <w:r w:rsidRPr="005F7D35">
        <w:rPr>
          <w:rFonts w:ascii="Aptos" w:hAnsi="Aptos"/>
          <w:b/>
          <w:bCs/>
          <w:sz w:val="20"/>
          <w:szCs w:val="20"/>
        </w:rPr>
        <w:t>Evolving</w:t>
      </w:r>
      <w:r w:rsidRPr="005F7D35">
        <w:rPr>
          <w:rFonts w:ascii="Aptos" w:hAnsi="Aptos"/>
          <w:sz w:val="20"/>
          <w:szCs w:val="20"/>
        </w:rPr>
        <w:t xml:space="preserve"> involves high-risk production applications; and </w:t>
      </w:r>
    </w:p>
    <w:p w14:paraId="689C68F9" w14:textId="77777777" w:rsidR="00290FEB" w:rsidRPr="005F7D35" w:rsidRDefault="00290FEB" w:rsidP="005F7D35">
      <w:pPr>
        <w:pStyle w:val="ListParagraph"/>
        <w:numPr>
          <w:ilvl w:val="0"/>
          <w:numId w:val="12"/>
        </w:numPr>
        <w:spacing w:after="0" w:line="240" w:lineRule="auto"/>
        <w:contextualSpacing w:val="0"/>
        <w:jc w:val="both"/>
        <w:rPr>
          <w:rFonts w:ascii="Aptos" w:hAnsi="Aptos"/>
          <w:sz w:val="20"/>
          <w:szCs w:val="20"/>
        </w:rPr>
      </w:pPr>
      <w:r w:rsidRPr="005F7D35">
        <w:rPr>
          <w:rFonts w:ascii="Aptos" w:hAnsi="Aptos"/>
          <w:b/>
          <w:bCs/>
          <w:sz w:val="20"/>
          <w:szCs w:val="20"/>
        </w:rPr>
        <w:t>Embedded</w:t>
      </w:r>
      <w:r w:rsidRPr="005F7D35">
        <w:rPr>
          <w:rFonts w:ascii="Aptos" w:hAnsi="Aptos"/>
          <w:sz w:val="20"/>
          <w:szCs w:val="20"/>
        </w:rPr>
        <w:t xml:space="preserve"> describes AI that is widely integrated across the organization.</w:t>
      </w:r>
    </w:p>
    <w:p w14:paraId="36193FBB" w14:textId="77777777" w:rsidR="001F276F" w:rsidRPr="005F7D35" w:rsidRDefault="001F276F" w:rsidP="005F7D35">
      <w:pPr>
        <w:jc w:val="both"/>
        <w:rPr>
          <w:rFonts w:ascii="Aptos" w:hAnsi="Aptos"/>
          <w:color w:val="auto"/>
          <w:sz w:val="20"/>
          <w:szCs w:val="20"/>
        </w:rPr>
      </w:pPr>
    </w:p>
    <w:p w14:paraId="4D56981D" w14:textId="307C92D2" w:rsidR="0057335A" w:rsidRDefault="0057335A" w:rsidP="005F7D35">
      <w:pPr>
        <w:jc w:val="both"/>
        <w:rPr>
          <w:rFonts w:ascii="Aptos" w:hAnsi="Aptos"/>
          <w:color w:val="auto"/>
          <w:sz w:val="20"/>
          <w:szCs w:val="20"/>
        </w:rPr>
      </w:pPr>
      <w:r w:rsidRPr="005F7D35">
        <w:rPr>
          <w:rFonts w:ascii="Aptos" w:hAnsi="Aptos"/>
          <w:color w:val="auto"/>
          <w:sz w:val="20"/>
          <w:szCs w:val="20"/>
        </w:rPr>
        <w:t xml:space="preserve">Each of these four </w:t>
      </w:r>
      <w:r w:rsidR="001F276F" w:rsidRPr="005F7D35">
        <w:rPr>
          <w:rFonts w:ascii="Aptos" w:hAnsi="Aptos"/>
          <w:color w:val="auto"/>
          <w:sz w:val="20"/>
          <w:szCs w:val="20"/>
        </w:rPr>
        <w:t xml:space="preserve">stages consider: </w:t>
      </w:r>
    </w:p>
    <w:p w14:paraId="5CCF49EC" w14:textId="77777777" w:rsidR="005F7D35" w:rsidRPr="005F7D35" w:rsidRDefault="005F7D35" w:rsidP="005F7D35">
      <w:pPr>
        <w:jc w:val="both"/>
        <w:rPr>
          <w:rFonts w:ascii="Aptos" w:hAnsi="Aptos"/>
          <w:color w:val="auto"/>
          <w:sz w:val="20"/>
          <w:szCs w:val="20"/>
        </w:rPr>
      </w:pPr>
    </w:p>
    <w:p w14:paraId="5F010794" w14:textId="759A6B42" w:rsidR="001F276F" w:rsidRPr="005F7D35" w:rsidRDefault="001F276F" w:rsidP="005F7D35">
      <w:pPr>
        <w:pStyle w:val="ListParagraph"/>
        <w:numPr>
          <w:ilvl w:val="0"/>
          <w:numId w:val="13"/>
        </w:numPr>
        <w:spacing w:after="0" w:line="240" w:lineRule="auto"/>
        <w:contextualSpacing w:val="0"/>
        <w:jc w:val="both"/>
        <w:rPr>
          <w:rFonts w:ascii="Aptos" w:hAnsi="Aptos"/>
          <w:sz w:val="20"/>
          <w:szCs w:val="20"/>
        </w:rPr>
      </w:pPr>
      <w:r w:rsidRPr="005F7D35">
        <w:rPr>
          <w:rFonts w:ascii="Aptos" w:hAnsi="Aptos"/>
          <w:sz w:val="20"/>
          <w:szCs w:val="20"/>
        </w:rPr>
        <w:t>Business Impact of AI</w:t>
      </w:r>
      <w:r w:rsidR="0025195F">
        <w:rPr>
          <w:rFonts w:ascii="Aptos" w:hAnsi="Aptos"/>
          <w:sz w:val="20"/>
          <w:szCs w:val="20"/>
        </w:rPr>
        <w:t>;</w:t>
      </w:r>
    </w:p>
    <w:p w14:paraId="59B77260" w14:textId="2C625030" w:rsidR="001F276F" w:rsidRPr="005F7D35" w:rsidRDefault="001F276F" w:rsidP="005F7D35">
      <w:pPr>
        <w:pStyle w:val="ListParagraph"/>
        <w:numPr>
          <w:ilvl w:val="0"/>
          <w:numId w:val="13"/>
        </w:numPr>
        <w:spacing w:after="0" w:line="240" w:lineRule="auto"/>
        <w:contextualSpacing w:val="0"/>
        <w:jc w:val="both"/>
        <w:rPr>
          <w:rFonts w:ascii="Aptos" w:hAnsi="Aptos"/>
          <w:sz w:val="20"/>
          <w:szCs w:val="20"/>
        </w:rPr>
      </w:pPr>
      <w:r w:rsidRPr="005F7D35">
        <w:rPr>
          <w:rFonts w:ascii="Aptos" w:hAnsi="Aptos"/>
          <w:sz w:val="20"/>
          <w:szCs w:val="20"/>
        </w:rPr>
        <w:t>Technology Implementation</w:t>
      </w:r>
      <w:r w:rsidR="0025195F">
        <w:rPr>
          <w:rFonts w:ascii="Aptos" w:hAnsi="Aptos"/>
          <w:sz w:val="20"/>
          <w:szCs w:val="20"/>
        </w:rPr>
        <w:t>; and</w:t>
      </w:r>
    </w:p>
    <w:p w14:paraId="5D8C80D6" w14:textId="52AAF9F8" w:rsidR="001F276F" w:rsidRPr="005F7D35" w:rsidRDefault="001F276F" w:rsidP="005F7D35">
      <w:pPr>
        <w:pStyle w:val="ListParagraph"/>
        <w:numPr>
          <w:ilvl w:val="0"/>
          <w:numId w:val="13"/>
        </w:numPr>
        <w:spacing w:after="0" w:line="240" w:lineRule="auto"/>
        <w:contextualSpacing w:val="0"/>
        <w:jc w:val="both"/>
        <w:rPr>
          <w:rFonts w:ascii="Aptos" w:hAnsi="Aptos"/>
          <w:sz w:val="20"/>
          <w:szCs w:val="20"/>
        </w:rPr>
      </w:pPr>
      <w:r w:rsidRPr="005F7D35">
        <w:rPr>
          <w:rFonts w:ascii="Aptos" w:hAnsi="Aptos"/>
          <w:sz w:val="20"/>
          <w:szCs w:val="20"/>
        </w:rPr>
        <w:t>Scalability</w:t>
      </w:r>
      <w:r w:rsidR="0025195F">
        <w:rPr>
          <w:rFonts w:ascii="Aptos" w:hAnsi="Aptos"/>
          <w:sz w:val="20"/>
          <w:szCs w:val="20"/>
        </w:rPr>
        <w:t>.</w:t>
      </w:r>
    </w:p>
    <w:p w14:paraId="28227B39" w14:textId="77777777" w:rsidR="001F276F" w:rsidRDefault="001F276F" w:rsidP="005F7D35">
      <w:pPr>
        <w:jc w:val="both"/>
        <w:rPr>
          <w:rFonts w:ascii="Aptos" w:hAnsi="Aptos"/>
          <w:b/>
          <w:bCs/>
          <w:color w:val="auto"/>
        </w:rPr>
      </w:pPr>
    </w:p>
    <w:p w14:paraId="0A858ACC" w14:textId="01AEC0AE" w:rsidR="00917364" w:rsidRPr="005F7D35" w:rsidRDefault="00917364" w:rsidP="005F7D35">
      <w:pPr>
        <w:jc w:val="both"/>
        <w:rPr>
          <w:rFonts w:ascii="Aptos" w:hAnsi="Aptos"/>
          <w:b/>
          <w:bCs/>
          <w:color w:val="auto"/>
          <w:sz w:val="20"/>
          <w:szCs w:val="20"/>
        </w:rPr>
      </w:pPr>
      <w:r w:rsidRPr="005F7D35">
        <w:rPr>
          <w:rFonts w:ascii="Aptos" w:hAnsi="Aptos"/>
          <w:b/>
          <w:bCs/>
          <w:color w:val="auto"/>
          <w:sz w:val="20"/>
          <w:szCs w:val="20"/>
        </w:rPr>
        <w:t>Stage 1</w:t>
      </w:r>
      <w:r w:rsidR="00EA08B5" w:rsidRPr="005F7D35">
        <w:rPr>
          <w:rFonts w:ascii="Aptos" w:hAnsi="Aptos"/>
          <w:b/>
          <w:bCs/>
          <w:color w:val="auto"/>
          <w:sz w:val="20"/>
          <w:szCs w:val="20"/>
        </w:rPr>
        <w:t>: Initial</w:t>
      </w:r>
    </w:p>
    <w:p w14:paraId="720C124B" w14:textId="77777777" w:rsidR="005F7D35" w:rsidRPr="005F7D35" w:rsidRDefault="005F7D35" w:rsidP="005F7D35">
      <w:pPr>
        <w:jc w:val="both"/>
        <w:rPr>
          <w:rFonts w:ascii="Aptos" w:hAnsi="Aptos"/>
          <w:b/>
          <w:bCs/>
          <w:color w:val="auto"/>
          <w:sz w:val="20"/>
          <w:szCs w:val="20"/>
        </w:rPr>
      </w:pPr>
    </w:p>
    <w:tbl>
      <w:tblPr>
        <w:tblStyle w:val="TableGrid"/>
        <w:tblW w:w="0" w:type="auto"/>
        <w:tblBorders>
          <w:top w:val="single" w:sz="4" w:space="0" w:color="53585F" w:themeColor="text2"/>
          <w:left w:val="single" w:sz="4" w:space="0" w:color="53585F" w:themeColor="text2"/>
          <w:bottom w:val="single" w:sz="4" w:space="0" w:color="53585F" w:themeColor="text2"/>
          <w:right w:val="single" w:sz="4" w:space="0" w:color="53585F" w:themeColor="text2"/>
          <w:insideH w:val="single" w:sz="4" w:space="0" w:color="53585F" w:themeColor="text2"/>
          <w:insideV w:val="single" w:sz="4" w:space="0" w:color="53585F" w:themeColor="text2"/>
        </w:tblBorders>
        <w:tblLook w:val="04A0" w:firstRow="1" w:lastRow="0" w:firstColumn="1" w:lastColumn="0" w:noHBand="0" w:noVBand="1"/>
      </w:tblPr>
      <w:tblGrid>
        <w:gridCol w:w="1885"/>
        <w:gridCol w:w="8185"/>
      </w:tblGrid>
      <w:tr w:rsidR="001D2308" w:rsidRPr="005F7D35" w14:paraId="43A39AAA" w14:textId="77777777" w:rsidTr="007A14C4">
        <w:tc>
          <w:tcPr>
            <w:tcW w:w="1885" w:type="dxa"/>
            <w:shd w:val="clear" w:color="auto" w:fill="BFBFBF"/>
          </w:tcPr>
          <w:p w14:paraId="51DF1BD5" w14:textId="64F30632" w:rsidR="001D2308" w:rsidRPr="005F7D35" w:rsidRDefault="001D2308" w:rsidP="005F7D35">
            <w:pPr>
              <w:rPr>
                <w:rFonts w:ascii="Aptos" w:hAnsi="Aptos"/>
                <w:b/>
                <w:bCs/>
                <w:color w:val="000000" w:themeColor="text1"/>
                <w:sz w:val="20"/>
                <w:szCs w:val="20"/>
              </w:rPr>
            </w:pPr>
            <w:r w:rsidRPr="005F7D35">
              <w:rPr>
                <w:rFonts w:ascii="Aptos" w:hAnsi="Aptos"/>
                <w:b/>
                <w:bCs/>
                <w:color w:val="000000" w:themeColor="text1"/>
                <w:sz w:val="20"/>
                <w:szCs w:val="20"/>
              </w:rPr>
              <w:t>Business Impact</w:t>
            </w:r>
          </w:p>
        </w:tc>
        <w:tc>
          <w:tcPr>
            <w:tcW w:w="8185" w:type="dxa"/>
          </w:tcPr>
          <w:p w14:paraId="773B93D7" w14:textId="4CAB7F81" w:rsidR="001D2308" w:rsidRPr="005F7D35" w:rsidRDefault="001D2308" w:rsidP="005F7D35">
            <w:pPr>
              <w:rPr>
                <w:rFonts w:ascii="Aptos" w:hAnsi="Aptos"/>
                <w:color w:val="auto"/>
                <w:sz w:val="20"/>
                <w:szCs w:val="20"/>
              </w:rPr>
            </w:pPr>
            <w:r w:rsidRPr="005F7D35">
              <w:rPr>
                <w:rFonts w:ascii="Aptos" w:hAnsi="Aptos"/>
                <w:color w:val="auto"/>
                <w:sz w:val="20"/>
                <w:szCs w:val="20"/>
              </w:rPr>
              <w:t xml:space="preserve">AI </w:t>
            </w:r>
            <w:r w:rsidR="00033103" w:rsidRPr="005F7D35">
              <w:rPr>
                <w:rFonts w:ascii="Aptos" w:hAnsi="Aptos"/>
                <w:color w:val="auto"/>
                <w:sz w:val="20"/>
                <w:szCs w:val="20"/>
              </w:rPr>
              <w:t xml:space="preserve">is </w:t>
            </w:r>
            <w:r w:rsidRPr="005F7D35">
              <w:rPr>
                <w:rFonts w:ascii="Aptos" w:hAnsi="Aptos"/>
                <w:color w:val="auto"/>
                <w:sz w:val="20"/>
                <w:szCs w:val="20"/>
              </w:rPr>
              <w:t>not embedded in critical functions or business decisions.</w:t>
            </w:r>
          </w:p>
        </w:tc>
      </w:tr>
      <w:tr w:rsidR="001D2308" w:rsidRPr="005F7D35" w14:paraId="20BD0D77" w14:textId="77777777" w:rsidTr="007A14C4">
        <w:tc>
          <w:tcPr>
            <w:tcW w:w="1885" w:type="dxa"/>
            <w:shd w:val="clear" w:color="auto" w:fill="BFBFBF"/>
          </w:tcPr>
          <w:p w14:paraId="76713376" w14:textId="08752E80" w:rsidR="001D2308" w:rsidRPr="005F7D35" w:rsidRDefault="001D2308" w:rsidP="005F7D35">
            <w:pPr>
              <w:rPr>
                <w:rFonts w:ascii="Aptos" w:hAnsi="Aptos"/>
                <w:b/>
                <w:bCs/>
                <w:color w:val="000000" w:themeColor="text1"/>
                <w:sz w:val="20"/>
                <w:szCs w:val="20"/>
              </w:rPr>
            </w:pPr>
            <w:r w:rsidRPr="005F7D35">
              <w:rPr>
                <w:rFonts w:ascii="Aptos" w:hAnsi="Aptos"/>
                <w:b/>
                <w:bCs/>
                <w:color w:val="000000" w:themeColor="text1"/>
                <w:sz w:val="20"/>
                <w:szCs w:val="20"/>
              </w:rPr>
              <w:t>Technology</w:t>
            </w:r>
          </w:p>
        </w:tc>
        <w:tc>
          <w:tcPr>
            <w:tcW w:w="8185" w:type="dxa"/>
          </w:tcPr>
          <w:p w14:paraId="6FD02F8C" w14:textId="06028BB5" w:rsidR="001D2308" w:rsidRPr="005F7D35" w:rsidRDefault="001D2308" w:rsidP="005F7D35">
            <w:pPr>
              <w:rPr>
                <w:rFonts w:ascii="Aptos" w:hAnsi="Aptos"/>
                <w:color w:val="auto"/>
                <w:sz w:val="20"/>
                <w:szCs w:val="20"/>
              </w:rPr>
            </w:pPr>
            <w:r w:rsidRPr="005F7D35">
              <w:rPr>
                <w:rFonts w:ascii="Aptos" w:hAnsi="Aptos"/>
                <w:color w:val="auto"/>
                <w:sz w:val="20"/>
                <w:szCs w:val="20"/>
              </w:rPr>
              <w:t xml:space="preserve">Utilizes predictive AI and employs model risk management, relying on legacy AI systems with no adoption of modern AI technologies, external facing solutions, or internal model development. </w:t>
            </w:r>
          </w:p>
        </w:tc>
      </w:tr>
      <w:tr w:rsidR="001D2308" w:rsidRPr="005F7D35" w14:paraId="57EEEA2E" w14:textId="77777777" w:rsidTr="007A14C4">
        <w:tc>
          <w:tcPr>
            <w:tcW w:w="1885" w:type="dxa"/>
            <w:shd w:val="clear" w:color="auto" w:fill="BFBFBF"/>
          </w:tcPr>
          <w:p w14:paraId="0FBA4E99" w14:textId="618F7CA0" w:rsidR="001D2308" w:rsidRPr="005F7D35" w:rsidRDefault="00435E4E" w:rsidP="005F7D35">
            <w:pPr>
              <w:rPr>
                <w:rFonts w:ascii="Aptos" w:hAnsi="Aptos"/>
                <w:b/>
                <w:bCs/>
                <w:color w:val="000000" w:themeColor="text1"/>
                <w:sz w:val="20"/>
                <w:szCs w:val="20"/>
              </w:rPr>
            </w:pPr>
            <w:r w:rsidRPr="005F7D35">
              <w:rPr>
                <w:rFonts w:ascii="Aptos" w:hAnsi="Aptos"/>
                <w:b/>
                <w:bCs/>
                <w:color w:val="000000" w:themeColor="text1"/>
                <w:sz w:val="20"/>
                <w:szCs w:val="20"/>
              </w:rPr>
              <w:t>Scalability</w:t>
            </w:r>
          </w:p>
        </w:tc>
        <w:tc>
          <w:tcPr>
            <w:tcW w:w="8185" w:type="dxa"/>
          </w:tcPr>
          <w:p w14:paraId="7965F82E" w14:textId="1D1B1A32" w:rsidR="001D2308" w:rsidRPr="005F7D35" w:rsidRDefault="00435E4E" w:rsidP="005F7D35">
            <w:pPr>
              <w:rPr>
                <w:rFonts w:ascii="Aptos" w:hAnsi="Aptos"/>
                <w:color w:val="auto"/>
                <w:sz w:val="20"/>
                <w:szCs w:val="20"/>
              </w:rPr>
            </w:pPr>
            <w:r w:rsidRPr="005F7D35">
              <w:rPr>
                <w:rFonts w:ascii="Aptos" w:hAnsi="Aptos"/>
                <w:color w:val="auto"/>
                <w:sz w:val="20"/>
                <w:szCs w:val="20"/>
              </w:rPr>
              <w:t>Existing AI systems lack scalability and are confined to specific, limited applications that do not interact with or support broader organizational processes.</w:t>
            </w:r>
          </w:p>
        </w:tc>
      </w:tr>
    </w:tbl>
    <w:p w14:paraId="325087F4" w14:textId="77777777" w:rsidR="0027553E" w:rsidRPr="005F7D35" w:rsidRDefault="0027553E" w:rsidP="005F7D35">
      <w:pPr>
        <w:jc w:val="both"/>
        <w:rPr>
          <w:rFonts w:ascii="Aptos" w:hAnsi="Aptos"/>
          <w:sz w:val="20"/>
          <w:szCs w:val="20"/>
        </w:rPr>
      </w:pPr>
    </w:p>
    <w:p w14:paraId="5D6B1155" w14:textId="10E20688" w:rsidR="00033103" w:rsidRPr="005F7D35" w:rsidRDefault="00033103" w:rsidP="005F7D35">
      <w:pPr>
        <w:jc w:val="both"/>
        <w:rPr>
          <w:rFonts w:ascii="Aptos" w:hAnsi="Aptos"/>
          <w:b/>
          <w:bCs/>
          <w:color w:val="auto"/>
          <w:sz w:val="20"/>
          <w:szCs w:val="20"/>
        </w:rPr>
      </w:pPr>
      <w:r w:rsidRPr="005F7D35">
        <w:rPr>
          <w:rFonts w:ascii="Aptos" w:hAnsi="Aptos"/>
          <w:b/>
          <w:bCs/>
          <w:color w:val="auto"/>
          <w:sz w:val="20"/>
          <w:szCs w:val="20"/>
        </w:rPr>
        <w:t>Stage 2: Minimal</w:t>
      </w:r>
    </w:p>
    <w:p w14:paraId="1F85F479" w14:textId="77777777" w:rsidR="005F7D35" w:rsidRPr="005F7D35" w:rsidRDefault="005F7D35" w:rsidP="005F7D35">
      <w:pPr>
        <w:jc w:val="both"/>
        <w:rPr>
          <w:rFonts w:ascii="Aptos" w:hAnsi="Aptos"/>
          <w:b/>
          <w:bCs/>
          <w:color w:val="auto"/>
          <w:sz w:val="20"/>
          <w:szCs w:val="20"/>
        </w:rPr>
      </w:pPr>
    </w:p>
    <w:tbl>
      <w:tblPr>
        <w:tblStyle w:val="TableGrid"/>
        <w:tblW w:w="0" w:type="auto"/>
        <w:tblBorders>
          <w:top w:val="single" w:sz="4" w:space="0" w:color="53585F" w:themeColor="text2"/>
          <w:left w:val="single" w:sz="4" w:space="0" w:color="53585F" w:themeColor="text2"/>
          <w:bottom w:val="single" w:sz="4" w:space="0" w:color="53585F" w:themeColor="text2"/>
          <w:right w:val="single" w:sz="4" w:space="0" w:color="53585F" w:themeColor="text2"/>
          <w:insideH w:val="single" w:sz="4" w:space="0" w:color="53585F" w:themeColor="text2"/>
          <w:insideV w:val="single" w:sz="4" w:space="0" w:color="53585F" w:themeColor="text2"/>
        </w:tblBorders>
        <w:tblLook w:val="04A0" w:firstRow="1" w:lastRow="0" w:firstColumn="1" w:lastColumn="0" w:noHBand="0" w:noVBand="1"/>
      </w:tblPr>
      <w:tblGrid>
        <w:gridCol w:w="1885"/>
        <w:gridCol w:w="8185"/>
      </w:tblGrid>
      <w:tr w:rsidR="00033103" w:rsidRPr="005F7D35" w14:paraId="006E9AEB" w14:textId="77777777" w:rsidTr="007A14C4">
        <w:tc>
          <w:tcPr>
            <w:tcW w:w="1885" w:type="dxa"/>
            <w:shd w:val="clear" w:color="auto" w:fill="BFBFBF"/>
          </w:tcPr>
          <w:p w14:paraId="540D333D" w14:textId="77777777" w:rsidR="00033103" w:rsidRPr="005F7D35" w:rsidRDefault="00033103" w:rsidP="005F7D35">
            <w:pPr>
              <w:rPr>
                <w:rFonts w:ascii="Aptos" w:hAnsi="Aptos"/>
                <w:b/>
                <w:bCs/>
                <w:color w:val="000000" w:themeColor="text1"/>
                <w:sz w:val="20"/>
                <w:szCs w:val="20"/>
              </w:rPr>
            </w:pPr>
            <w:r w:rsidRPr="005F7D35">
              <w:rPr>
                <w:rFonts w:ascii="Aptos" w:hAnsi="Aptos"/>
                <w:b/>
                <w:bCs/>
                <w:color w:val="000000" w:themeColor="text1"/>
                <w:sz w:val="20"/>
                <w:szCs w:val="20"/>
              </w:rPr>
              <w:t>Business Impact</w:t>
            </w:r>
          </w:p>
        </w:tc>
        <w:tc>
          <w:tcPr>
            <w:tcW w:w="8185" w:type="dxa"/>
          </w:tcPr>
          <w:p w14:paraId="1973897F" w14:textId="543DA70E" w:rsidR="00033103" w:rsidRPr="005F7D35" w:rsidRDefault="008C6D92" w:rsidP="005F7D35">
            <w:pPr>
              <w:rPr>
                <w:rFonts w:ascii="Aptos" w:hAnsi="Aptos"/>
                <w:color w:val="auto"/>
                <w:sz w:val="20"/>
                <w:szCs w:val="20"/>
              </w:rPr>
            </w:pPr>
            <w:r w:rsidRPr="005F7D35">
              <w:rPr>
                <w:rFonts w:ascii="Aptos" w:hAnsi="Aptos"/>
                <w:color w:val="auto"/>
                <w:sz w:val="20"/>
                <w:szCs w:val="20"/>
              </w:rPr>
              <w:t>Limited use of AI (production or non-production), used for non-critical tasks.</w:t>
            </w:r>
          </w:p>
        </w:tc>
      </w:tr>
      <w:tr w:rsidR="00033103" w:rsidRPr="005F7D35" w14:paraId="0FD96958" w14:textId="77777777" w:rsidTr="007A14C4">
        <w:tc>
          <w:tcPr>
            <w:tcW w:w="1885" w:type="dxa"/>
            <w:shd w:val="clear" w:color="auto" w:fill="BFBFBF"/>
          </w:tcPr>
          <w:p w14:paraId="2E39CB51" w14:textId="77777777" w:rsidR="00033103" w:rsidRPr="005F7D35" w:rsidRDefault="00033103" w:rsidP="005F7D35">
            <w:pPr>
              <w:rPr>
                <w:rFonts w:ascii="Aptos" w:hAnsi="Aptos"/>
                <w:b/>
                <w:bCs/>
                <w:color w:val="000000" w:themeColor="text1"/>
                <w:sz w:val="20"/>
                <w:szCs w:val="20"/>
              </w:rPr>
            </w:pPr>
            <w:r w:rsidRPr="005F7D35">
              <w:rPr>
                <w:rFonts w:ascii="Aptos" w:hAnsi="Aptos"/>
                <w:b/>
                <w:bCs/>
                <w:color w:val="000000" w:themeColor="text1"/>
                <w:sz w:val="20"/>
                <w:szCs w:val="20"/>
              </w:rPr>
              <w:t>Technology</w:t>
            </w:r>
          </w:p>
        </w:tc>
        <w:tc>
          <w:tcPr>
            <w:tcW w:w="8185" w:type="dxa"/>
          </w:tcPr>
          <w:p w14:paraId="7A39A0C4" w14:textId="27CA1A57" w:rsidR="00033103" w:rsidRPr="005F7D35" w:rsidRDefault="008C6D92" w:rsidP="005F7D35">
            <w:pPr>
              <w:rPr>
                <w:rFonts w:ascii="Aptos" w:hAnsi="Aptos"/>
                <w:color w:val="auto"/>
                <w:sz w:val="20"/>
                <w:szCs w:val="20"/>
              </w:rPr>
            </w:pPr>
            <w:r w:rsidRPr="005F7D35">
              <w:rPr>
                <w:rFonts w:ascii="Aptos" w:hAnsi="Aptos"/>
                <w:color w:val="auto"/>
                <w:sz w:val="20"/>
                <w:szCs w:val="20"/>
              </w:rPr>
              <w:t>AI is narrowly in use and is non-external facing. AI does not handle sensitive data and there is no internal model development.</w:t>
            </w:r>
          </w:p>
        </w:tc>
      </w:tr>
      <w:tr w:rsidR="00033103" w:rsidRPr="005F7D35" w14:paraId="0DCD53C2" w14:textId="77777777" w:rsidTr="007A14C4">
        <w:tc>
          <w:tcPr>
            <w:tcW w:w="1885" w:type="dxa"/>
            <w:shd w:val="clear" w:color="auto" w:fill="BFBFBF"/>
          </w:tcPr>
          <w:p w14:paraId="22AB00A7" w14:textId="77777777" w:rsidR="00033103" w:rsidRPr="005F7D35" w:rsidRDefault="00033103" w:rsidP="005F7D35">
            <w:pPr>
              <w:rPr>
                <w:rFonts w:ascii="Aptos" w:hAnsi="Aptos"/>
                <w:b/>
                <w:bCs/>
                <w:color w:val="000000" w:themeColor="text1"/>
                <w:sz w:val="20"/>
                <w:szCs w:val="20"/>
              </w:rPr>
            </w:pPr>
            <w:r w:rsidRPr="005F7D35">
              <w:rPr>
                <w:rFonts w:ascii="Aptos" w:hAnsi="Aptos"/>
                <w:b/>
                <w:bCs/>
                <w:color w:val="000000" w:themeColor="text1"/>
                <w:sz w:val="20"/>
                <w:szCs w:val="20"/>
              </w:rPr>
              <w:t>Scalability</w:t>
            </w:r>
          </w:p>
        </w:tc>
        <w:tc>
          <w:tcPr>
            <w:tcW w:w="8185" w:type="dxa"/>
          </w:tcPr>
          <w:p w14:paraId="1544DC8A" w14:textId="667BB4F5" w:rsidR="00033103" w:rsidRPr="005F7D35" w:rsidRDefault="008C6D92" w:rsidP="005F7D35">
            <w:pPr>
              <w:rPr>
                <w:rFonts w:ascii="Aptos" w:hAnsi="Aptos"/>
                <w:color w:val="auto"/>
                <w:sz w:val="20"/>
                <w:szCs w:val="20"/>
              </w:rPr>
            </w:pPr>
            <w:r w:rsidRPr="005F7D35">
              <w:rPr>
                <w:rFonts w:ascii="Aptos" w:hAnsi="Aptos"/>
                <w:color w:val="auto"/>
                <w:sz w:val="20"/>
                <w:szCs w:val="20"/>
              </w:rPr>
              <w:t>AI applications are limited to isolated instances without integration into wider business processes. Organization lacks the infrastructure necessary to scale AI solutions across multiple areas or functions.</w:t>
            </w:r>
          </w:p>
        </w:tc>
      </w:tr>
    </w:tbl>
    <w:p w14:paraId="3D28B315" w14:textId="77777777" w:rsidR="00033103" w:rsidRPr="005F7D35" w:rsidRDefault="00033103" w:rsidP="005F7D35">
      <w:pPr>
        <w:jc w:val="both"/>
        <w:rPr>
          <w:rFonts w:ascii="Aptos" w:hAnsi="Aptos"/>
          <w:sz w:val="20"/>
          <w:szCs w:val="20"/>
        </w:rPr>
      </w:pPr>
    </w:p>
    <w:p w14:paraId="00221CBA" w14:textId="7A082DB0" w:rsidR="00053539" w:rsidRDefault="00053539" w:rsidP="005F7D35">
      <w:pPr>
        <w:jc w:val="both"/>
        <w:rPr>
          <w:rFonts w:ascii="Aptos" w:hAnsi="Aptos"/>
          <w:b/>
          <w:bCs/>
          <w:color w:val="auto"/>
          <w:sz w:val="20"/>
          <w:szCs w:val="20"/>
        </w:rPr>
      </w:pPr>
      <w:r w:rsidRPr="005F7D35">
        <w:rPr>
          <w:rFonts w:ascii="Aptos" w:hAnsi="Aptos"/>
          <w:b/>
          <w:bCs/>
          <w:color w:val="auto"/>
          <w:sz w:val="20"/>
          <w:szCs w:val="20"/>
        </w:rPr>
        <w:t>Stage 3: Evolving</w:t>
      </w:r>
    </w:p>
    <w:p w14:paraId="177FAC44" w14:textId="77777777" w:rsidR="005F7D35" w:rsidRPr="005F7D35" w:rsidRDefault="005F7D35" w:rsidP="005F7D35">
      <w:pPr>
        <w:jc w:val="both"/>
        <w:rPr>
          <w:rFonts w:ascii="Aptos" w:hAnsi="Aptos"/>
          <w:b/>
          <w:bCs/>
          <w:color w:val="auto"/>
          <w:sz w:val="20"/>
          <w:szCs w:val="20"/>
        </w:rPr>
      </w:pPr>
    </w:p>
    <w:tbl>
      <w:tblPr>
        <w:tblStyle w:val="TableGrid"/>
        <w:tblW w:w="0" w:type="auto"/>
        <w:tblBorders>
          <w:top w:val="single" w:sz="4" w:space="0" w:color="53585F" w:themeColor="text2"/>
          <w:left w:val="single" w:sz="4" w:space="0" w:color="53585F" w:themeColor="text2"/>
          <w:bottom w:val="single" w:sz="4" w:space="0" w:color="53585F" w:themeColor="text2"/>
          <w:right w:val="single" w:sz="4" w:space="0" w:color="53585F" w:themeColor="text2"/>
          <w:insideH w:val="single" w:sz="4" w:space="0" w:color="53585F" w:themeColor="text2"/>
          <w:insideV w:val="single" w:sz="4" w:space="0" w:color="53585F" w:themeColor="text2"/>
        </w:tblBorders>
        <w:tblLook w:val="04A0" w:firstRow="1" w:lastRow="0" w:firstColumn="1" w:lastColumn="0" w:noHBand="0" w:noVBand="1"/>
      </w:tblPr>
      <w:tblGrid>
        <w:gridCol w:w="1885"/>
        <w:gridCol w:w="8185"/>
      </w:tblGrid>
      <w:tr w:rsidR="00053539" w:rsidRPr="005F7D35" w14:paraId="05EF5B35" w14:textId="77777777" w:rsidTr="007A14C4">
        <w:tc>
          <w:tcPr>
            <w:tcW w:w="1885" w:type="dxa"/>
            <w:shd w:val="clear" w:color="auto" w:fill="BFBFBF"/>
          </w:tcPr>
          <w:p w14:paraId="2DAFEE69" w14:textId="77777777" w:rsidR="00053539" w:rsidRPr="005F7D35" w:rsidRDefault="00053539" w:rsidP="005F7D35">
            <w:pPr>
              <w:jc w:val="both"/>
              <w:rPr>
                <w:rFonts w:ascii="Aptos" w:hAnsi="Aptos"/>
                <w:b/>
                <w:bCs/>
                <w:color w:val="000000" w:themeColor="text1"/>
                <w:sz w:val="20"/>
                <w:szCs w:val="20"/>
              </w:rPr>
            </w:pPr>
            <w:r w:rsidRPr="005F7D35">
              <w:rPr>
                <w:rFonts w:ascii="Aptos" w:hAnsi="Aptos"/>
                <w:b/>
                <w:bCs/>
                <w:color w:val="000000" w:themeColor="text1"/>
                <w:sz w:val="20"/>
                <w:szCs w:val="20"/>
              </w:rPr>
              <w:t>Business Impact</w:t>
            </w:r>
          </w:p>
        </w:tc>
        <w:tc>
          <w:tcPr>
            <w:tcW w:w="8185" w:type="dxa"/>
          </w:tcPr>
          <w:p w14:paraId="515A07F0" w14:textId="0ED661F2" w:rsidR="00053539" w:rsidRPr="005F7D35" w:rsidRDefault="00053539" w:rsidP="005F7D35">
            <w:pPr>
              <w:rPr>
                <w:rFonts w:ascii="Aptos" w:hAnsi="Aptos"/>
                <w:color w:val="auto"/>
                <w:sz w:val="20"/>
                <w:szCs w:val="20"/>
              </w:rPr>
            </w:pPr>
            <w:r w:rsidRPr="005F7D35">
              <w:rPr>
                <w:rFonts w:ascii="Aptos" w:hAnsi="Aptos"/>
                <w:color w:val="auto"/>
                <w:sz w:val="20"/>
                <w:szCs w:val="20"/>
              </w:rPr>
              <w:t>AI drives outcomes through external-facing solutions and use of sensitive data. Not utilized for critical business decision-making.</w:t>
            </w:r>
          </w:p>
        </w:tc>
      </w:tr>
      <w:tr w:rsidR="00053539" w:rsidRPr="005F7D35" w14:paraId="7D3D0D81" w14:textId="77777777" w:rsidTr="007A14C4">
        <w:tc>
          <w:tcPr>
            <w:tcW w:w="1885" w:type="dxa"/>
            <w:shd w:val="clear" w:color="auto" w:fill="BFBFBF"/>
          </w:tcPr>
          <w:p w14:paraId="4A8AABA3" w14:textId="77777777" w:rsidR="00053539" w:rsidRPr="005F7D35" w:rsidRDefault="00053539" w:rsidP="005F7D35">
            <w:pPr>
              <w:jc w:val="both"/>
              <w:rPr>
                <w:rFonts w:ascii="Aptos" w:hAnsi="Aptos"/>
                <w:b/>
                <w:bCs/>
                <w:color w:val="000000" w:themeColor="text1"/>
                <w:sz w:val="20"/>
                <w:szCs w:val="20"/>
              </w:rPr>
            </w:pPr>
            <w:r w:rsidRPr="005F7D35">
              <w:rPr>
                <w:rFonts w:ascii="Aptos" w:hAnsi="Aptos"/>
                <w:b/>
                <w:bCs/>
                <w:color w:val="000000" w:themeColor="text1"/>
                <w:sz w:val="20"/>
                <w:szCs w:val="20"/>
              </w:rPr>
              <w:t>Technology</w:t>
            </w:r>
          </w:p>
        </w:tc>
        <w:tc>
          <w:tcPr>
            <w:tcW w:w="8185" w:type="dxa"/>
          </w:tcPr>
          <w:p w14:paraId="44E76C93" w14:textId="42ECE289" w:rsidR="00053539" w:rsidRPr="005F7D35" w:rsidRDefault="00D108FE" w:rsidP="005F7D35">
            <w:pPr>
              <w:rPr>
                <w:rFonts w:ascii="Aptos" w:hAnsi="Aptos"/>
                <w:color w:val="auto"/>
                <w:sz w:val="20"/>
                <w:szCs w:val="20"/>
              </w:rPr>
            </w:pPr>
            <w:r w:rsidRPr="005F7D35">
              <w:rPr>
                <w:rFonts w:ascii="Aptos" w:hAnsi="Aptos"/>
                <w:color w:val="auto"/>
                <w:sz w:val="20"/>
                <w:szCs w:val="20"/>
              </w:rPr>
              <w:t>AI adoption includes expanded use of solutions and sensitive data processing but lacks internal model development.</w:t>
            </w:r>
          </w:p>
        </w:tc>
      </w:tr>
      <w:tr w:rsidR="00053539" w:rsidRPr="005F7D35" w14:paraId="54B7733B" w14:textId="77777777" w:rsidTr="007A14C4">
        <w:tc>
          <w:tcPr>
            <w:tcW w:w="1885" w:type="dxa"/>
            <w:shd w:val="clear" w:color="auto" w:fill="BFBFBF"/>
          </w:tcPr>
          <w:p w14:paraId="2A3C005B" w14:textId="77777777" w:rsidR="00053539" w:rsidRPr="005F7D35" w:rsidRDefault="00053539" w:rsidP="005F7D35">
            <w:pPr>
              <w:jc w:val="both"/>
              <w:rPr>
                <w:rFonts w:ascii="Aptos" w:hAnsi="Aptos"/>
                <w:b/>
                <w:bCs/>
                <w:color w:val="000000" w:themeColor="text1"/>
                <w:sz w:val="20"/>
                <w:szCs w:val="20"/>
              </w:rPr>
            </w:pPr>
            <w:r w:rsidRPr="005F7D35">
              <w:rPr>
                <w:rFonts w:ascii="Aptos" w:hAnsi="Aptos"/>
                <w:b/>
                <w:bCs/>
                <w:color w:val="000000" w:themeColor="text1"/>
                <w:sz w:val="20"/>
                <w:szCs w:val="20"/>
              </w:rPr>
              <w:t>Scalability</w:t>
            </w:r>
          </w:p>
        </w:tc>
        <w:tc>
          <w:tcPr>
            <w:tcW w:w="8185" w:type="dxa"/>
          </w:tcPr>
          <w:p w14:paraId="5AE66B83" w14:textId="0894C011" w:rsidR="00053539" w:rsidRPr="005F7D35" w:rsidRDefault="00D108FE" w:rsidP="005F7D35">
            <w:pPr>
              <w:rPr>
                <w:rFonts w:ascii="Aptos" w:hAnsi="Aptos"/>
                <w:color w:val="auto"/>
                <w:sz w:val="20"/>
                <w:szCs w:val="20"/>
              </w:rPr>
            </w:pPr>
            <w:r w:rsidRPr="005F7D35">
              <w:rPr>
                <w:rFonts w:ascii="Aptos" w:hAnsi="Aptos"/>
                <w:color w:val="auto"/>
                <w:sz w:val="20"/>
                <w:szCs w:val="20"/>
              </w:rPr>
              <w:t>AI systems begin to show potential for wider application, with deployment in more extensive, external-facing functions. However, these systems are not yet fully scalable or integrated across the entire enterprise, indicating a transitional phase towards broader usability.</w:t>
            </w:r>
          </w:p>
        </w:tc>
      </w:tr>
    </w:tbl>
    <w:p w14:paraId="07CBD443" w14:textId="77777777" w:rsidR="005B4C77" w:rsidRPr="005F7D35" w:rsidRDefault="005B4C77" w:rsidP="005F7D35">
      <w:pPr>
        <w:jc w:val="both"/>
        <w:rPr>
          <w:rFonts w:ascii="Aptos" w:hAnsi="Aptos"/>
          <w:b/>
          <w:bCs/>
          <w:color w:val="auto"/>
          <w:sz w:val="20"/>
          <w:szCs w:val="20"/>
        </w:rPr>
      </w:pPr>
    </w:p>
    <w:p w14:paraId="45C9D2F2" w14:textId="77777777" w:rsidR="000244C4" w:rsidRDefault="000244C4">
      <w:pPr>
        <w:rPr>
          <w:rFonts w:ascii="Aptos" w:hAnsi="Aptos"/>
          <w:b/>
          <w:bCs/>
          <w:color w:val="auto"/>
          <w:sz w:val="20"/>
          <w:szCs w:val="20"/>
        </w:rPr>
      </w:pPr>
      <w:r>
        <w:rPr>
          <w:rFonts w:ascii="Aptos" w:hAnsi="Aptos"/>
          <w:b/>
          <w:bCs/>
          <w:color w:val="auto"/>
          <w:sz w:val="20"/>
          <w:szCs w:val="20"/>
        </w:rPr>
        <w:br w:type="page"/>
      </w:r>
    </w:p>
    <w:p w14:paraId="669018C4" w14:textId="6E2969B9" w:rsidR="00D108FE" w:rsidRDefault="00D108FE" w:rsidP="005F7D35">
      <w:pPr>
        <w:jc w:val="both"/>
        <w:rPr>
          <w:rFonts w:ascii="Aptos" w:hAnsi="Aptos"/>
          <w:b/>
          <w:bCs/>
          <w:color w:val="auto"/>
          <w:sz w:val="20"/>
          <w:szCs w:val="20"/>
        </w:rPr>
      </w:pPr>
      <w:r w:rsidRPr="005F7D35">
        <w:rPr>
          <w:rFonts w:ascii="Aptos" w:hAnsi="Aptos"/>
          <w:b/>
          <w:bCs/>
          <w:color w:val="auto"/>
          <w:sz w:val="20"/>
          <w:szCs w:val="20"/>
        </w:rPr>
        <w:lastRenderedPageBreak/>
        <w:t>Stage 4: Embedded</w:t>
      </w:r>
    </w:p>
    <w:p w14:paraId="531A38DE" w14:textId="77777777" w:rsidR="005F7D35" w:rsidRPr="005F7D35" w:rsidRDefault="005F7D35" w:rsidP="005F7D35">
      <w:pPr>
        <w:jc w:val="both"/>
        <w:rPr>
          <w:rFonts w:ascii="Aptos" w:hAnsi="Aptos"/>
          <w:b/>
          <w:bCs/>
          <w:color w:val="auto"/>
          <w:sz w:val="20"/>
          <w:szCs w:val="20"/>
        </w:rPr>
      </w:pPr>
    </w:p>
    <w:tbl>
      <w:tblPr>
        <w:tblStyle w:val="TableGrid"/>
        <w:tblW w:w="0" w:type="auto"/>
        <w:tblBorders>
          <w:top w:val="single" w:sz="4" w:space="0" w:color="53585F" w:themeColor="text2"/>
          <w:left w:val="single" w:sz="4" w:space="0" w:color="53585F" w:themeColor="text2"/>
          <w:bottom w:val="single" w:sz="4" w:space="0" w:color="53585F" w:themeColor="text2"/>
          <w:right w:val="single" w:sz="4" w:space="0" w:color="53585F" w:themeColor="text2"/>
          <w:insideH w:val="single" w:sz="4" w:space="0" w:color="53585F" w:themeColor="text2"/>
          <w:insideV w:val="single" w:sz="4" w:space="0" w:color="53585F" w:themeColor="text2"/>
        </w:tblBorders>
        <w:tblLook w:val="04A0" w:firstRow="1" w:lastRow="0" w:firstColumn="1" w:lastColumn="0" w:noHBand="0" w:noVBand="1"/>
      </w:tblPr>
      <w:tblGrid>
        <w:gridCol w:w="1885"/>
        <w:gridCol w:w="8185"/>
      </w:tblGrid>
      <w:tr w:rsidR="00D108FE" w:rsidRPr="005F7D35" w14:paraId="45C37A54" w14:textId="77777777" w:rsidTr="007A14C4">
        <w:tc>
          <w:tcPr>
            <w:tcW w:w="1885" w:type="dxa"/>
            <w:shd w:val="clear" w:color="auto" w:fill="BFBFBF"/>
          </w:tcPr>
          <w:p w14:paraId="133990AF" w14:textId="77777777" w:rsidR="00D108FE" w:rsidRPr="005F7D35" w:rsidRDefault="00D108FE" w:rsidP="005F7D35">
            <w:pPr>
              <w:rPr>
                <w:rFonts w:ascii="Aptos" w:hAnsi="Aptos"/>
                <w:b/>
                <w:bCs/>
                <w:color w:val="auto"/>
                <w:sz w:val="20"/>
                <w:szCs w:val="20"/>
              </w:rPr>
            </w:pPr>
            <w:r w:rsidRPr="005F7D35">
              <w:rPr>
                <w:rFonts w:ascii="Aptos" w:hAnsi="Aptos"/>
                <w:b/>
                <w:bCs/>
                <w:color w:val="auto"/>
                <w:sz w:val="20"/>
                <w:szCs w:val="20"/>
              </w:rPr>
              <w:t>Business Impact</w:t>
            </w:r>
          </w:p>
        </w:tc>
        <w:tc>
          <w:tcPr>
            <w:tcW w:w="8185" w:type="dxa"/>
          </w:tcPr>
          <w:p w14:paraId="2270358F" w14:textId="7E808F45" w:rsidR="00D108FE" w:rsidRPr="005F7D35" w:rsidRDefault="002B6BB9" w:rsidP="005F7D35">
            <w:pPr>
              <w:rPr>
                <w:rFonts w:ascii="Aptos" w:hAnsi="Aptos"/>
                <w:color w:val="auto"/>
                <w:sz w:val="20"/>
                <w:szCs w:val="20"/>
              </w:rPr>
            </w:pPr>
            <w:r w:rsidRPr="005F7D35">
              <w:rPr>
                <w:rFonts w:ascii="Aptos" w:hAnsi="Aptos"/>
                <w:color w:val="auto"/>
                <w:sz w:val="20"/>
                <w:szCs w:val="20"/>
              </w:rPr>
              <w:t>AI drives outcomes by incorporating autonomous decision-making and data-driven insights into critical business functions.</w:t>
            </w:r>
          </w:p>
        </w:tc>
      </w:tr>
      <w:tr w:rsidR="00D108FE" w:rsidRPr="005F7D35" w14:paraId="2FD2406A" w14:textId="77777777" w:rsidTr="007A14C4">
        <w:tc>
          <w:tcPr>
            <w:tcW w:w="1885" w:type="dxa"/>
            <w:shd w:val="clear" w:color="auto" w:fill="BFBFBF"/>
          </w:tcPr>
          <w:p w14:paraId="7738B803" w14:textId="77777777" w:rsidR="00D108FE" w:rsidRPr="005F7D35" w:rsidRDefault="00D108FE" w:rsidP="005F7D35">
            <w:pPr>
              <w:rPr>
                <w:rFonts w:ascii="Aptos" w:hAnsi="Aptos"/>
                <w:b/>
                <w:bCs/>
                <w:color w:val="auto"/>
                <w:sz w:val="20"/>
                <w:szCs w:val="20"/>
              </w:rPr>
            </w:pPr>
            <w:r w:rsidRPr="005F7D35">
              <w:rPr>
                <w:rFonts w:ascii="Aptos" w:hAnsi="Aptos"/>
                <w:b/>
                <w:bCs/>
                <w:color w:val="auto"/>
                <w:sz w:val="20"/>
                <w:szCs w:val="20"/>
              </w:rPr>
              <w:t>Technology</w:t>
            </w:r>
          </w:p>
        </w:tc>
        <w:tc>
          <w:tcPr>
            <w:tcW w:w="8185" w:type="dxa"/>
          </w:tcPr>
          <w:p w14:paraId="55F84094" w14:textId="030D3F91" w:rsidR="00D108FE" w:rsidRPr="005F7D35" w:rsidRDefault="002B6BB9" w:rsidP="005F7D35">
            <w:pPr>
              <w:rPr>
                <w:rFonts w:ascii="Aptos" w:hAnsi="Aptos"/>
                <w:color w:val="auto"/>
                <w:sz w:val="20"/>
                <w:szCs w:val="20"/>
              </w:rPr>
            </w:pPr>
            <w:r w:rsidRPr="005F7D35">
              <w:rPr>
                <w:rFonts w:ascii="Aptos" w:hAnsi="Aptos"/>
                <w:color w:val="auto"/>
                <w:sz w:val="20"/>
                <w:szCs w:val="20"/>
              </w:rPr>
              <w:t>Use of autonomous decision-making, high-sensitivity data processing, external facing solutions, internal model development.</w:t>
            </w:r>
          </w:p>
        </w:tc>
      </w:tr>
      <w:tr w:rsidR="00D108FE" w:rsidRPr="005F7D35" w14:paraId="195CA62A" w14:textId="77777777" w:rsidTr="007A14C4">
        <w:tc>
          <w:tcPr>
            <w:tcW w:w="1885" w:type="dxa"/>
            <w:shd w:val="clear" w:color="auto" w:fill="BFBFBF"/>
          </w:tcPr>
          <w:p w14:paraId="2FFDE366" w14:textId="77777777" w:rsidR="00D108FE" w:rsidRPr="005F7D35" w:rsidRDefault="00D108FE" w:rsidP="005F7D35">
            <w:pPr>
              <w:rPr>
                <w:rFonts w:ascii="Aptos" w:hAnsi="Aptos"/>
                <w:b/>
                <w:bCs/>
                <w:color w:val="auto"/>
                <w:sz w:val="20"/>
                <w:szCs w:val="20"/>
              </w:rPr>
            </w:pPr>
            <w:r w:rsidRPr="005F7D35">
              <w:rPr>
                <w:rFonts w:ascii="Aptos" w:hAnsi="Aptos"/>
                <w:b/>
                <w:bCs/>
                <w:color w:val="auto"/>
                <w:sz w:val="20"/>
                <w:szCs w:val="20"/>
              </w:rPr>
              <w:t>Scalability</w:t>
            </w:r>
          </w:p>
        </w:tc>
        <w:tc>
          <w:tcPr>
            <w:tcW w:w="8185" w:type="dxa"/>
          </w:tcPr>
          <w:p w14:paraId="3A097F12" w14:textId="62172156" w:rsidR="00D108FE" w:rsidRPr="005F7D35" w:rsidRDefault="002B6BB9" w:rsidP="005F7D35">
            <w:pPr>
              <w:rPr>
                <w:rFonts w:ascii="Aptos" w:hAnsi="Aptos"/>
                <w:color w:val="auto"/>
                <w:sz w:val="20"/>
                <w:szCs w:val="20"/>
              </w:rPr>
            </w:pPr>
            <w:r w:rsidRPr="005F7D35">
              <w:rPr>
                <w:rFonts w:ascii="Aptos" w:hAnsi="Aptos"/>
                <w:color w:val="auto"/>
                <w:sz w:val="20"/>
                <w:szCs w:val="20"/>
              </w:rPr>
              <w:t>AI systems are fully scalable and integrated throughout the organization. There is a robust framework that supports the deployment and interconnection of AI across diverse organizational functions, promoting comprehensive growth and adaptability.</w:t>
            </w:r>
          </w:p>
        </w:tc>
      </w:tr>
    </w:tbl>
    <w:p w14:paraId="6747A316" w14:textId="77777777" w:rsidR="00053539" w:rsidRPr="005F7D35" w:rsidRDefault="00053539" w:rsidP="005F7D35">
      <w:pPr>
        <w:jc w:val="both"/>
        <w:rPr>
          <w:rFonts w:ascii="Aptos" w:hAnsi="Aptos"/>
          <w:sz w:val="20"/>
          <w:szCs w:val="20"/>
        </w:rPr>
      </w:pPr>
    </w:p>
    <w:p w14:paraId="27504516" w14:textId="76509CFD" w:rsidR="006E1E1C" w:rsidRPr="005F7D35" w:rsidRDefault="00FF5E7D" w:rsidP="005F7D35">
      <w:pPr>
        <w:pStyle w:val="Heading15"/>
        <w:spacing w:before="0" w:after="0"/>
        <w:jc w:val="both"/>
        <w:rPr>
          <w:rFonts w:ascii="Aptos" w:hAnsi="Aptos"/>
          <w:color w:val="B31E3E" w:themeColor="accent1"/>
          <w:sz w:val="24"/>
          <w:u w:val="single"/>
        </w:rPr>
      </w:pPr>
      <w:bookmarkStart w:id="44" w:name="_Toc221009658"/>
      <w:r w:rsidRPr="005F7D35">
        <w:rPr>
          <w:rFonts w:ascii="Aptos" w:hAnsi="Aptos"/>
          <w:color w:val="B31E3E" w:themeColor="accent1"/>
          <w:sz w:val="24"/>
          <w:u w:val="single"/>
        </w:rPr>
        <w:t>Instructions</w:t>
      </w:r>
      <w:bookmarkEnd w:id="44"/>
    </w:p>
    <w:p w14:paraId="33574729" w14:textId="77777777" w:rsidR="00B87487" w:rsidRPr="005F7D35" w:rsidRDefault="00B87487" w:rsidP="005F7D35">
      <w:pPr>
        <w:jc w:val="both"/>
        <w:rPr>
          <w:rFonts w:ascii="Aptos" w:hAnsi="Aptos"/>
          <w:sz w:val="20"/>
          <w:szCs w:val="20"/>
        </w:rPr>
      </w:pPr>
    </w:p>
    <w:p w14:paraId="3EA1C788" w14:textId="6FB05A8A" w:rsidR="00B74CB1" w:rsidRPr="005F7D35" w:rsidRDefault="00205231" w:rsidP="005F7D35">
      <w:pPr>
        <w:jc w:val="both"/>
        <w:rPr>
          <w:rFonts w:ascii="Aptos" w:hAnsi="Aptos"/>
          <w:color w:val="auto"/>
          <w:sz w:val="20"/>
          <w:szCs w:val="20"/>
        </w:rPr>
      </w:pPr>
      <w:r w:rsidRPr="005F7D35">
        <w:rPr>
          <w:rFonts w:ascii="Aptos" w:hAnsi="Aptos"/>
          <w:color w:val="auto"/>
          <w:sz w:val="20"/>
          <w:szCs w:val="20"/>
        </w:rPr>
        <w:t xml:space="preserve">In order to determine </w:t>
      </w:r>
      <w:r w:rsidR="00F330D5">
        <w:rPr>
          <w:rFonts w:ascii="Aptos" w:hAnsi="Aptos"/>
          <w:color w:val="auto"/>
          <w:sz w:val="20"/>
          <w:szCs w:val="20"/>
        </w:rPr>
        <w:t>your</w:t>
      </w:r>
      <w:r w:rsidRPr="005F7D35">
        <w:rPr>
          <w:rFonts w:ascii="Aptos" w:hAnsi="Aptos"/>
          <w:color w:val="auto"/>
          <w:sz w:val="20"/>
          <w:szCs w:val="20"/>
        </w:rPr>
        <w:t xml:space="preserve"> organization's AI Adoption Stage, please complete the steps below.</w:t>
      </w:r>
    </w:p>
    <w:p w14:paraId="572FA8ED" w14:textId="77777777" w:rsidR="00B74CB1" w:rsidRPr="005F7D35" w:rsidRDefault="00B74CB1" w:rsidP="005F7D35">
      <w:pPr>
        <w:jc w:val="both"/>
        <w:rPr>
          <w:rFonts w:ascii="Aptos" w:hAnsi="Aptos"/>
          <w:color w:val="auto"/>
          <w:sz w:val="20"/>
          <w:szCs w:val="20"/>
        </w:rPr>
      </w:pPr>
    </w:p>
    <w:p w14:paraId="251E5AB6" w14:textId="73593C69" w:rsidR="005F7D35" w:rsidRDefault="00205231" w:rsidP="005F7D35">
      <w:pPr>
        <w:jc w:val="both"/>
        <w:rPr>
          <w:rFonts w:ascii="Aptos" w:hAnsi="Aptos"/>
          <w:color w:val="auto"/>
          <w:sz w:val="20"/>
          <w:szCs w:val="20"/>
        </w:rPr>
      </w:pPr>
      <w:r w:rsidRPr="005F7D35">
        <w:rPr>
          <w:rFonts w:ascii="Aptos" w:hAnsi="Aptos"/>
          <w:color w:val="auto"/>
          <w:sz w:val="20"/>
          <w:szCs w:val="20"/>
        </w:rPr>
        <w:t>Each step will prompt you to evaluate six statements and determine if any of these statements reflect your organization. Each set of statements corresponds to different organizational dimensions, presented in a randomized order</w:t>
      </w:r>
      <w:r w:rsidR="00F330D5">
        <w:rPr>
          <w:rFonts w:ascii="Aptos" w:hAnsi="Aptos"/>
          <w:color w:val="auto"/>
          <w:sz w:val="20"/>
          <w:szCs w:val="20"/>
        </w:rPr>
        <w:t>.</w:t>
      </w:r>
      <w:r w:rsidRPr="005F7D35">
        <w:rPr>
          <w:rFonts w:ascii="Aptos" w:hAnsi="Aptos"/>
          <w:color w:val="auto"/>
          <w:sz w:val="20"/>
          <w:szCs w:val="20"/>
        </w:rPr>
        <w:tab/>
      </w:r>
    </w:p>
    <w:p w14:paraId="5E6AA819" w14:textId="1AAACA44" w:rsidR="00205231" w:rsidRPr="005F7D35" w:rsidRDefault="00205231" w:rsidP="005F7D35">
      <w:pPr>
        <w:jc w:val="both"/>
        <w:rPr>
          <w:rFonts w:ascii="Aptos" w:hAnsi="Aptos"/>
          <w:color w:val="auto"/>
          <w:sz w:val="20"/>
          <w:szCs w:val="20"/>
        </w:rPr>
      </w:pPr>
      <w:r w:rsidRPr="005F7D35">
        <w:rPr>
          <w:rFonts w:ascii="Aptos" w:hAnsi="Aptos"/>
          <w:color w:val="auto"/>
          <w:sz w:val="20"/>
          <w:szCs w:val="20"/>
        </w:rPr>
        <w:tab/>
      </w:r>
      <w:r w:rsidRPr="005F7D35">
        <w:rPr>
          <w:rFonts w:ascii="Aptos" w:hAnsi="Aptos"/>
          <w:color w:val="auto"/>
          <w:sz w:val="20"/>
          <w:szCs w:val="20"/>
        </w:rPr>
        <w:tab/>
      </w:r>
      <w:r w:rsidRPr="005F7D35">
        <w:rPr>
          <w:rFonts w:ascii="Aptos" w:hAnsi="Aptos"/>
          <w:color w:val="auto"/>
          <w:sz w:val="20"/>
          <w:szCs w:val="20"/>
        </w:rPr>
        <w:tab/>
      </w:r>
      <w:r w:rsidRPr="005F7D35">
        <w:rPr>
          <w:rFonts w:ascii="Aptos" w:hAnsi="Aptos"/>
          <w:color w:val="auto"/>
          <w:sz w:val="20"/>
          <w:szCs w:val="20"/>
        </w:rPr>
        <w:tab/>
      </w:r>
      <w:r w:rsidRPr="005F7D35">
        <w:rPr>
          <w:rFonts w:ascii="Aptos" w:hAnsi="Aptos"/>
          <w:color w:val="auto"/>
          <w:sz w:val="20"/>
          <w:szCs w:val="20"/>
        </w:rPr>
        <w:tab/>
      </w:r>
      <w:r w:rsidRPr="005F7D35">
        <w:rPr>
          <w:rFonts w:ascii="Aptos" w:hAnsi="Aptos"/>
          <w:color w:val="auto"/>
          <w:sz w:val="20"/>
          <w:szCs w:val="20"/>
        </w:rPr>
        <w:tab/>
      </w:r>
    </w:p>
    <w:p w14:paraId="3CBFAF62" w14:textId="26DDA117" w:rsidR="00205231" w:rsidRPr="005F7D35" w:rsidRDefault="00205231" w:rsidP="005F7D35">
      <w:pPr>
        <w:pStyle w:val="ListParagraph"/>
        <w:numPr>
          <w:ilvl w:val="0"/>
          <w:numId w:val="14"/>
        </w:numPr>
        <w:spacing w:after="0" w:line="240" w:lineRule="auto"/>
        <w:contextualSpacing w:val="0"/>
        <w:jc w:val="both"/>
        <w:rPr>
          <w:rFonts w:ascii="Aptos" w:hAnsi="Aptos"/>
          <w:sz w:val="20"/>
          <w:szCs w:val="20"/>
        </w:rPr>
      </w:pPr>
      <w:r w:rsidRPr="005F7D35">
        <w:rPr>
          <w:rFonts w:ascii="Aptos" w:hAnsi="Aptos"/>
          <w:sz w:val="20"/>
          <w:szCs w:val="20"/>
        </w:rPr>
        <w:t>Business Impact</w:t>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p>
    <w:p w14:paraId="20B81673" w14:textId="1D2E8A24" w:rsidR="00205231" w:rsidRPr="005F7D35" w:rsidRDefault="00205231" w:rsidP="005F7D35">
      <w:pPr>
        <w:pStyle w:val="ListParagraph"/>
        <w:numPr>
          <w:ilvl w:val="0"/>
          <w:numId w:val="14"/>
        </w:numPr>
        <w:spacing w:after="0" w:line="240" w:lineRule="auto"/>
        <w:contextualSpacing w:val="0"/>
        <w:jc w:val="both"/>
        <w:rPr>
          <w:rFonts w:ascii="Aptos" w:hAnsi="Aptos"/>
          <w:sz w:val="20"/>
          <w:szCs w:val="20"/>
        </w:rPr>
      </w:pPr>
      <w:r w:rsidRPr="005F7D35">
        <w:rPr>
          <w:rFonts w:ascii="Aptos" w:hAnsi="Aptos"/>
          <w:sz w:val="20"/>
          <w:szCs w:val="20"/>
        </w:rPr>
        <w:t>Governance</w:t>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p>
    <w:p w14:paraId="5141F711" w14:textId="4BB3F2BF" w:rsidR="00205231" w:rsidRPr="005F7D35" w:rsidRDefault="00205231" w:rsidP="005F7D35">
      <w:pPr>
        <w:pStyle w:val="ListParagraph"/>
        <w:numPr>
          <w:ilvl w:val="0"/>
          <w:numId w:val="14"/>
        </w:numPr>
        <w:spacing w:after="0" w:line="240" w:lineRule="auto"/>
        <w:contextualSpacing w:val="0"/>
        <w:jc w:val="both"/>
        <w:rPr>
          <w:rFonts w:ascii="Aptos" w:hAnsi="Aptos"/>
          <w:sz w:val="20"/>
          <w:szCs w:val="20"/>
        </w:rPr>
      </w:pPr>
      <w:r w:rsidRPr="005F7D35">
        <w:rPr>
          <w:rFonts w:ascii="Aptos" w:hAnsi="Aptos"/>
          <w:sz w:val="20"/>
          <w:szCs w:val="20"/>
        </w:rPr>
        <w:t>Deployment Model</w:t>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p>
    <w:p w14:paraId="6AB03757" w14:textId="440BDC02" w:rsidR="00205231" w:rsidRPr="005F7D35" w:rsidRDefault="00205231" w:rsidP="005F7D35">
      <w:pPr>
        <w:pStyle w:val="ListParagraph"/>
        <w:numPr>
          <w:ilvl w:val="0"/>
          <w:numId w:val="14"/>
        </w:numPr>
        <w:spacing w:after="0" w:line="240" w:lineRule="auto"/>
        <w:contextualSpacing w:val="0"/>
        <w:jc w:val="both"/>
        <w:rPr>
          <w:rFonts w:ascii="Aptos" w:hAnsi="Aptos"/>
          <w:sz w:val="20"/>
          <w:szCs w:val="20"/>
        </w:rPr>
      </w:pPr>
      <w:r w:rsidRPr="005F7D35">
        <w:rPr>
          <w:rFonts w:ascii="Aptos" w:hAnsi="Aptos"/>
          <w:sz w:val="20"/>
          <w:szCs w:val="20"/>
        </w:rPr>
        <w:t>Third-Party AI Use</w:t>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p>
    <w:p w14:paraId="05480197" w14:textId="0A8ECDF6" w:rsidR="00205231" w:rsidRPr="005F7D35" w:rsidRDefault="00205231" w:rsidP="005F7D35">
      <w:pPr>
        <w:pStyle w:val="ListParagraph"/>
        <w:numPr>
          <w:ilvl w:val="0"/>
          <w:numId w:val="14"/>
        </w:numPr>
        <w:spacing w:after="0" w:line="240" w:lineRule="auto"/>
        <w:contextualSpacing w:val="0"/>
        <w:jc w:val="both"/>
        <w:rPr>
          <w:rFonts w:ascii="Aptos" w:hAnsi="Aptos"/>
          <w:sz w:val="20"/>
          <w:szCs w:val="20"/>
        </w:rPr>
      </w:pPr>
      <w:r w:rsidRPr="005F7D35">
        <w:rPr>
          <w:rFonts w:ascii="Aptos" w:hAnsi="Aptos"/>
          <w:sz w:val="20"/>
          <w:szCs w:val="20"/>
        </w:rPr>
        <w:t>Organizational Goals</w:t>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p>
    <w:p w14:paraId="3671B06F" w14:textId="2B71086F" w:rsidR="00205231" w:rsidRPr="005F7D35" w:rsidRDefault="00205231" w:rsidP="005F7D35">
      <w:pPr>
        <w:pStyle w:val="ListParagraph"/>
        <w:numPr>
          <w:ilvl w:val="0"/>
          <w:numId w:val="14"/>
        </w:numPr>
        <w:spacing w:after="0" w:line="240" w:lineRule="auto"/>
        <w:contextualSpacing w:val="0"/>
        <w:jc w:val="both"/>
        <w:rPr>
          <w:rFonts w:ascii="Aptos" w:hAnsi="Aptos"/>
          <w:sz w:val="20"/>
          <w:szCs w:val="20"/>
        </w:rPr>
      </w:pPr>
      <w:r w:rsidRPr="005F7D35">
        <w:rPr>
          <w:rFonts w:ascii="Aptos" w:hAnsi="Aptos"/>
          <w:sz w:val="20"/>
          <w:szCs w:val="20"/>
        </w:rPr>
        <w:t>Data Sensitivity and Criticality</w:t>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p>
    <w:p w14:paraId="2419D164" w14:textId="77777777" w:rsidR="000F016C" w:rsidRPr="005F7D35" w:rsidRDefault="000F016C" w:rsidP="005F7D35">
      <w:pPr>
        <w:jc w:val="both"/>
        <w:rPr>
          <w:rFonts w:ascii="Aptos" w:hAnsi="Aptos"/>
          <w:color w:val="auto"/>
          <w:sz w:val="20"/>
          <w:szCs w:val="20"/>
        </w:rPr>
      </w:pPr>
    </w:p>
    <w:p w14:paraId="17F9C4C7" w14:textId="4D4DB2C2" w:rsidR="00A93DD2" w:rsidRDefault="00205231" w:rsidP="005F7D35">
      <w:pPr>
        <w:jc w:val="both"/>
        <w:rPr>
          <w:rFonts w:ascii="Aptos" w:hAnsi="Aptos"/>
          <w:color w:val="auto"/>
          <w:sz w:val="20"/>
          <w:szCs w:val="20"/>
        </w:rPr>
      </w:pPr>
      <w:r w:rsidRPr="005F7D35">
        <w:rPr>
          <w:rFonts w:ascii="Aptos" w:hAnsi="Aptos"/>
          <w:color w:val="auto"/>
          <w:sz w:val="20"/>
          <w:szCs w:val="20"/>
        </w:rPr>
        <w:t xml:space="preserve">Starting with Step 1, review the six statements to determine if, to the best of your knowledge, you believe one or more of those statements represents your organization's stage of AI </w:t>
      </w:r>
      <w:r w:rsidR="00866FB1">
        <w:rPr>
          <w:rFonts w:ascii="Aptos" w:hAnsi="Aptos"/>
          <w:color w:val="auto"/>
          <w:sz w:val="20"/>
          <w:szCs w:val="20"/>
        </w:rPr>
        <w:t>A</w:t>
      </w:r>
      <w:r w:rsidRPr="005F7D35">
        <w:rPr>
          <w:rFonts w:ascii="Aptos" w:hAnsi="Aptos"/>
          <w:color w:val="auto"/>
          <w:sz w:val="20"/>
          <w:szCs w:val="20"/>
        </w:rPr>
        <w:t>doption.</w:t>
      </w:r>
    </w:p>
    <w:p w14:paraId="1E18F309" w14:textId="77777777" w:rsidR="005F7D35" w:rsidRPr="005F7D35" w:rsidRDefault="005F7D35" w:rsidP="005F7D35">
      <w:pPr>
        <w:jc w:val="both"/>
        <w:rPr>
          <w:rFonts w:ascii="Aptos" w:hAnsi="Aptos"/>
          <w:color w:val="auto"/>
          <w:sz w:val="20"/>
          <w:szCs w:val="20"/>
        </w:rPr>
      </w:pPr>
    </w:p>
    <w:p w14:paraId="366B57D4" w14:textId="4A954DA3" w:rsidR="00205231" w:rsidRPr="005F7D35" w:rsidRDefault="00205231" w:rsidP="005F7D35">
      <w:pPr>
        <w:pStyle w:val="ListParagraph"/>
        <w:numPr>
          <w:ilvl w:val="0"/>
          <w:numId w:val="15"/>
        </w:numPr>
        <w:spacing w:after="0" w:line="240" w:lineRule="auto"/>
        <w:contextualSpacing w:val="0"/>
        <w:jc w:val="both"/>
        <w:rPr>
          <w:rFonts w:ascii="Aptos" w:hAnsi="Aptos"/>
          <w:sz w:val="20"/>
          <w:szCs w:val="20"/>
        </w:rPr>
      </w:pPr>
      <w:r w:rsidRPr="005F7D35">
        <w:rPr>
          <w:rFonts w:ascii="Aptos" w:hAnsi="Aptos"/>
          <w:sz w:val="20"/>
          <w:szCs w:val="20"/>
        </w:rPr>
        <w:t>If at least one of the six statements aligns with your organization, select "Yes</w:t>
      </w:r>
      <w:r w:rsidR="00F611CE">
        <w:rPr>
          <w:rFonts w:ascii="Aptos" w:hAnsi="Aptos"/>
          <w:sz w:val="20"/>
          <w:szCs w:val="20"/>
        </w:rPr>
        <w:t>,” and stop. That is your organization’s current AI Adoption Stage.</w:t>
      </w:r>
    </w:p>
    <w:p w14:paraId="7AD269D1" w14:textId="69FD44B6" w:rsidR="00205231" w:rsidRPr="005F7D35" w:rsidRDefault="00205231" w:rsidP="005F7D35">
      <w:pPr>
        <w:pStyle w:val="ListParagraph"/>
        <w:numPr>
          <w:ilvl w:val="0"/>
          <w:numId w:val="15"/>
        </w:numPr>
        <w:spacing w:after="0" w:line="240" w:lineRule="auto"/>
        <w:contextualSpacing w:val="0"/>
        <w:jc w:val="both"/>
        <w:rPr>
          <w:rFonts w:ascii="Aptos" w:hAnsi="Aptos"/>
          <w:sz w:val="20"/>
          <w:szCs w:val="20"/>
        </w:rPr>
      </w:pPr>
      <w:r w:rsidRPr="005F7D35">
        <w:rPr>
          <w:rFonts w:ascii="Aptos" w:hAnsi="Aptos"/>
          <w:sz w:val="20"/>
          <w:szCs w:val="20"/>
        </w:rPr>
        <w:t xml:space="preserve">If none of the statements aligns with your organization, </w:t>
      </w:r>
      <w:r w:rsidR="001D1D73">
        <w:rPr>
          <w:rFonts w:ascii="Aptos" w:hAnsi="Aptos"/>
          <w:sz w:val="20"/>
          <w:szCs w:val="20"/>
        </w:rPr>
        <w:t xml:space="preserve">select “No” and </w:t>
      </w:r>
      <w:r w:rsidRPr="005F7D35">
        <w:rPr>
          <w:rFonts w:ascii="Aptos" w:hAnsi="Aptos"/>
          <w:sz w:val="20"/>
          <w:szCs w:val="20"/>
        </w:rPr>
        <w:t>continue on to the next step</w:t>
      </w:r>
      <w:r w:rsidR="001D1D73">
        <w:rPr>
          <w:rFonts w:ascii="Aptos" w:hAnsi="Aptos"/>
          <w:sz w:val="20"/>
          <w:szCs w:val="20"/>
        </w:rPr>
        <w:t xml:space="preserve">; </w:t>
      </w:r>
      <w:r w:rsidRPr="005F7D35">
        <w:rPr>
          <w:rFonts w:ascii="Aptos" w:hAnsi="Aptos"/>
          <w:sz w:val="20"/>
          <w:szCs w:val="20"/>
        </w:rPr>
        <w:t xml:space="preserve">and repeat this exercise until you answer "Yes." </w:t>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r w:rsidRPr="005F7D35">
        <w:rPr>
          <w:rFonts w:ascii="Aptos" w:hAnsi="Aptos"/>
          <w:sz w:val="20"/>
          <w:szCs w:val="20"/>
        </w:rPr>
        <w:tab/>
      </w:r>
    </w:p>
    <w:p w14:paraId="78FF5749" w14:textId="5E4A5A35" w:rsidR="00FF5E7D" w:rsidRDefault="00205231" w:rsidP="005F7D35">
      <w:pPr>
        <w:jc w:val="both"/>
        <w:rPr>
          <w:rFonts w:ascii="Aptos" w:hAnsi="Aptos"/>
          <w:color w:val="auto"/>
          <w:sz w:val="20"/>
          <w:szCs w:val="20"/>
        </w:rPr>
      </w:pPr>
      <w:r w:rsidRPr="005F7D35">
        <w:rPr>
          <w:rFonts w:ascii="Aptos" w:hAnsi="Aptos"/>
          <w:b/>
          <w:bCs/>
          <w:color w:val="auto"/>
          <w:sz w:val="20"/>
          <w:szCs w:val="20"/>
          <w:u w:val="single"/>
        </w:rPr>
        <w:t>Results</w:t>
      </w:r>
      <w:r w:rsidRPr="005F7D35">
        <w:rPr>
          <w:rFonts w:ascii="Aptos" w:hAnsi="Aptos"/>
          <w:color w:val="auto"/>
          <w:sz w:val="20"/>
          <w:szCs w:val="20"/>
        </w:rPr>
        <w:t xml:space="preserve">: A "Yes" answer marks the conclusion of the </w:t>
      </w:r>
      <w:r w:rsidR="001D1D73">
        <w:rPr>
          <w:rFonts w:ascii="Aptos" w:hAnsi="Aptos"/>
          <w:color w:val="auto"/>
          <w:sz w:val="20"/>
          <w:szCs w:val="20"/>
        </w:rPr>
        <w:t>Q</w:t>
      </w:r>
      <w:r w:rsidRPr="005F7D35">
        <w:rPr>
          <w:rFonts w:ascii="Aptos" w:hAnsi="Aptos"/>
          <w:color w:val="auto"/>
          <w:sz w:val="20"/>
          <w:szCs w:val="20"/>
        </w:rPr>
        <w:t xml:space="preserve">uestionnaire and provides your organization's AI Adoption Stage. </w:t>
      </w:r>
    </w:p>
    <w:p w14:paraId="45FADD4D" w14:textId="77777777" w:rsidR="00C72ECC" w:rsidRDefault="00C72ECC" w:rsidP="005F7D35">
      <w:pPr>
        <w:jc w:val="both"/>
        <w:rPr>
          <w:rFonts w:ascii="Aptos" w:hAnsi="Aptos"/>
          <w:color w:val="auto"/>
          <w:sz w:val="20"/>
          <w:szCs w:val="20"/>
        </w:rPr>
      </w:pPr>
    </w:p>
    <w:p w14:paraId="1BF45813" w14:textId="0C255447" w:rsidR="00C72ECC" w:rsidRPr="00C65832" w:rsidRDefault="00C65832" w:rsidP="005F7D35">
      <w:pPr>
        <w:jc w:val="both"/>
        <w:rPr>
          <w:rFonts w:ascii="Aptos" w:hAnsi="Aptos"/>
          <w:color w:val="auto"/>
          <w:sz w:val="20"/>
          <w:szCs w:val="20"/>
        </w:rPr>
      </w:pPr>
      <w:r>
        <w:rPr>
          <w:rFonts w:ascii="Aptos" w:hAnsi="Aptos"/>
          <w:color w:val="auto"/>
          <w:sz w:val="20"/>
          <w:szCs w:val="20"/>
        </w:rPr>
        <w:t>N</w:t>
      </w:r>
      <w:r w:rsidR="00C72ECC" w:rsidRPr="00C65832">
        <w:rPr>
          <w:rFonts w:ascii="Aptos" w:hAnsi="Aptos"/>
          <w:color w:val="auto"/>
          <w:sz w:val="20"/>
          <w:szCs w:val="20"/>
        </w:rPr>
        <w:t xml:space="preserve">ote that the </w:t>
      </w:r>
      <w:r>
        <w:rPr>
          <w:rFonts w:ascii="Aptos" w:hAnsi="Aptos"/>
          <w:color w:val="auto"/>
          <w:sz w:val="20"/>
          <w:szCs w:val="20"/>
        </w:rPr>
        <w:t>AI Adoption Stage Questionnaire and these instructions can also be found in the first 4 tabs of the RCM</w:t>
      </w:r>
      <w:r w:rsidR="001D1D73">
        <w:rPr>
          <w:rFonts w:ascii="Aptos" w:hAnsi="Aptos"/>
          <w:color w:val="auto"/>
          <w:sz w:val="20"/>
          <w:szCs w:val="20"/>
        </w:rPr>
        <w:t xml:space="preserve"> workbook</w:t>
      </w:r>
      <w:r>
        <w:rPr>
          <w:rFonts w:ascii="Aptos" w:hAnsi="Aptos"/>
          <w:color w:val="auto"/>
          <w:sz w:val="20"/>
          <w:szCs w:val="20"/>
        </w:rPr>
        <w:t>.</w:t>
      </w:r>
    </w:p>
    <w:p w14:paraId="69A4B2D2" w14:textId="77777777" w:rsidR="00FF5E7D" w:rsidRPr="00C65832" w:rsidRDefault="00FF5E7D" w:rsidP="005F7D35">
      <w:pPr>
        <w:jc w:val="both"/>
        <w:rPr>
          <w:rFonts w:ascii="Aptos" w:hAnsi="Aptos"/>
          <w:color w:val="auto"/>
          <w:sz w:val="20"/>
          <w:szCs w:val="20"/>
        </w:rPr>
      </w:pPr>
    </w:p>
    <w:p w14:paraId="6E6D009F" w14:textId="4D963C13" w:rsidR="00FF5E7D" w:rsidRPr="005F7D35" w:rsidRDefault="00906C28" w:rsidP="00FF5E7D">
      <w:pPr>
        <w:pStyle w:val="Heading15"/>
        <w:spacing w:before="0" w:after="0" w:line="269" w:lineRule="auto"/>
        <w:jc w:val="both"/>
        <w:rPr>
          <w:rFonts w:ascii="Aptos" w:hAnsi="Aptos"/>
          <w:color w:val="B31E3E" w:themeColor="accent1"/>
          <w:sz w:val="24"/>
          <w:u w:val="single"/>
          <w:lang w:val="fr-CA"/>
        </w:rPr>
      </w:pPr>
      <w:bookmarkStart w:id="45" w:name="_Toc221009659"/>
      <w:r w:rsidRPr="005F7D35">
        <w:rPr>
          <w:rFonts w:ascii="Aptos" w:hAnsi="Aptos"/>
          <w:color w:val="B31E3E" w:themeColor="accent1"/>
          <w:sz w:val="24"/>
          <w:u w:val="single"/>
          <w:lang w:val="fr-CA"/>
        </w:rPr>
        <w:t>The AI Adoption Stage Questionnaire</w:t>
      </w:r>
      <w:bookmarkEnd w:id="45"/>
    </w:p>
    <w:p w14:paraId="115198DD" w14:textId="76C4740B" w:rsidR="00F32922" w:rsidRPr="005F7D35" w:rsidRDefault="00205231" w:rsidP="005F7D35">
      <w:pPr>
        <w:jc w:val="both"/>
        <w:rPr>
          <w:rFonts w:ascii="Aptos" w:hAnsi="Aptos"/>
          <w:color w:val="auto"/>
          <w:sz w:val="20"/>
          <w:szCs w:val="20"/>
          <w:lang w:val="fr-CA"/>
        </w:rPr>
      </w:pPr>
      <w:r w:rsidRPr="005F7D35">
        <w:rPr>
          <w:rFonts w:ascii="Aptos" w:hAnsi="Aptos"/>
          <w:color w:val="auto"/>
          <w:sz w:val="20"/>
          <w:szCs w:val="20"/>
          <w:lang w:val="fr-CA"/>
        </w:rPr>
        <w:tab/>
      </w:r>
      <w:r w:rsidRPr="005F7D35">
        <w:rPr>
          <w:rFonts w:ascii="Aptos" w:hAnsi="Aptos"/>
          <w:color w:val="auto"/>
          <w:sz w:val="20"/>
          <w:szCs w:val="20"/>
          <w:lang w:val="fr-CA"/>
        </w:rPr>
        <w:tab/>
      </w:r>
      <w:r w:rsidRPr="005F7D35">
        <w:rPr>
          <w:rFonts w:ascii="Aptos" w:hAnsi="Aptos"/>
          <w:color w:val="auto"/>
          <w:sz w:val="20"/>
          <w:szCs w:val="20"/>
          <w:lang w:val="fr-CA"/>
        </w:rPr>
        <w:tab/>
      </w:r>
      <w:r w:rsidRPr="005F7D35">
        <w:rPr>
          <w:rFonts w:ascii="Aptos" w:hAnsi="Aptos"/>
          <w:color w:val="auto"/>
          <w:sz w:val="20"/>
          <w:szCs w:val="20"/>
          <w:lang w:val="fr-CA"/>
        </w:rPr>
        <w:tab/>
      </w:r>
      <w:r w:rsidRPr="005F7D35">
        <w:rPr>
          <w:rFonts w:ascii="Aptos" w:hAnsi="Aptos"/>
          <w:color w:val="auto"/>
          <w:sz w:val="20"/>
          <w:szCs w:val="20"/>
          <w:lang w:val="fr-CA"/>
        </w:rPr>
        <w:tab/>
      </w:r>
      <w:r w:rsidRPr="005F7D35">
        <w:rPr>
          <w:rFonts w:ascii="Aptos" w:hAnsi="Aptos"/>
          <w:color w:val="auto"/>
          <w:sz w:val="20"/>
          <w:szCs w:val="20"/>
          <w:lang w:val="fr-CA"/>
        </w:rPr>
        <w:tab/>
      </w:r>
      <w:r w:rsidRPr="005F7D35">
        <w:rPr>
          <w:rFonts w:ascii="Aptos" w:hAnsi="Aptos"/>
          <w:color w:val="auto"/>
          <w:sz w:val="20"/>
          <w:szCs w:val="20"/>
          <w:lang w:val="fr-CA"/>
        </w:rPr>
        <w:tab/>
      </w:r>
      <w:r w:rsidRPr="005F7D35">
        <w:rPr>
          <w:rFonts w:ascii="Aptos" w:hAnsi="Aptos"/>
          <w:color w:val="auto"/>
          <w:sz w:val="20"/>
          <w:szCs w:val="20"/>
          <w:lang w:val="fr-CA"/>
        </w:rPr>
        <w:tab/>
      </w:r>
      <w:r w:rsidRPr="005F7D35">
        <w:rPr>
          <w:rFonts w:ascii="Aptos" w:hAnsi="Aptos"/>
          <w:color w:val="auto"/>
          <w:sz w:val="20"/>
          <w:szCs w:val="20"/>
          <w:lang w:val="fr-CA"/>
        </w:rPr>
        <w:tab/>
      </w:r>
      <w:r w:rsidRPr="005F7D35">
        <w:rPr>
          <w:rFonts w:ascii="Aptos" w:hAnsi="Aptos"/>
          <w:color w:val="auto"/>
          <w:sz w:val="20"/>
          <w:szCs w:val="20"/>
          <w:lang w:val="fr-CA"/>
        </w:rPr>
        <w:tab/>
      </w:r>
    </w:p>
    <w:p w14:paraId="66B06F45" w14:textId="64D783A5" w:rsidR="00F32922" w:rsidRDefault="00AF3DFC" w:rsidP="005F7D35">
      <w:pPr>
        <w:jc w:val="both"/>
        <w:rPr>
          <w:rFonts w:ascii="Aptos" w:hAnsi="Aptos"/>
          <w:b/>
          <w:bCs/>
          <w:color w:val="auto"/>
          <w:sz w:val="20"/>
          <w:szCs w:val="20"/>
        </w:rPr>
      </w:pPr>
      <w:r w:rsidRPr="005F7D35">
        <w:rPr>
          <w:rFonts w:ascii="Aptos" w:hAnsi="Aptos"/>
          <w:b/>
          <w:bCs/>
          <w:color w:val="auto"/>
          <w:sz w:val="20"/>
          <w:szCs w:val="20"/>
        </w:rPr>
        <w:t>STEP</w:t>
      </w:r>
      <w:r w:rsidR="00F32922" w:rsidRPr="005F7D35">
        <w:rPr>
          <w:rFonts w:ascii="Aptos" w:hAnsi="Aptos"/>
          <w:b/>
          <w:bCs/>
          <w:color w:val="auto"/>
          <w:sz w:val="20"/>
          <w:szCs w:val="20"/>
        </w:rPr>
        <w:t xml:space="preserve"> 1</w:t>
      </w:r>
    </w:p>
    <w:p w14:paraId="2EAC156E" w14:textId="77777777" w:rsidR="005F7D35" w:rsidRPr="005F7D35" w:rsidRDefault="005F7D35" w:rsidP="005F7D35">
      <w:pPr>
        <w:jc w:val="both"/>
        <w:rPr>
          <w:rFonts w:ascii="Aptos" w:hAnsi="Aptos"/>
          <w:b/>
          <w:bCs/>
          <w:color w:val="auto"/>
          <w:sz w:val="20"/>
          <w:szCs w:val="20"/>
        </w:rPr>
      </w:pPr>
    </w:p>
    <w:tbl>
      <w:tblPr>
        <w:tblStyle w:val="TableGrid"/>
        <w:tblW w:w="10075" w:type="dxa"/>
        <w:tblBorders>
          <w:top w:val="single" w:sz="4" w:space="0" w:color="53585F" w:themeColor="text2"/>
          <w:left w:val="single" w:sz="4" w:space="0" w:color="53585F" w:themeColor="text2"/>
          <w:bottom w:val="single" w:sz="4" w:space="0" w:color="53585F" w:themeColor="text2"/>
          <w:right w:val="single" w:sz="4" w:space="0" w:color="53585F" w:themeColor="text2"/>
          <w:insideH w:val="single" w:sz="4" w:space="0" w:color="53585F" w:themeColor="text2"/>
          <w:insideV w:val="single" w:sz="4" w:space="0" w:color="53585F" w:themeColor="text2"/>
        </w:tblBorders>
        <w:tblLook w:val="04A0" w:firstRow="1" w:lastRow="0" w:firstColumn="1" w:lastColumn="0" w:noHBand="0" w:noVBand="1"/>
      </w:tblPr>
      <w:tblGrid>
        <w:gridCol w:w="10075"/>
      </w:tblGrid>
      <w:tr w:rsidR="004231F1" w:rsidRPr="005F7D35" w14:paraId="0FD5EB2E" w14:textId="77777777" w:rsidTr="004231F1">
        <w:tc>
          <w:tcPr>
            <w:tcW w:w="10075" w:type="dxa"/>
            <w:vAlign w:val="center"/>
          </w:tcPr>
          <w:p w14:paraId="6FC9CF43" w14:textId="4A119169" w:rsidR="004231F1" w:rsidRPr="005F7D35" w:rsidRDefault="004231F1" w:rsidP="005F7D35">
            <w:pPr>
              <w:rPr>
                <w:rFonts w:ascii="Aptos" w:hAnsi="Aptos"/>
                <w:b/>
                <w:bCs/>
                <w:color w:val="auto"/>
                <w:sz w:val="20"/>
                <w:szCs w:val="20"/>
              </w:rPr>
            </w:pPr>
            <w:bookmarkStart w:id="46" w:name="_Assess_Your_Organization’s"/>
            <w:bookmarkStart w:id="47" w:name="_Toc43996382"/>
            <w:bookmarkStart w:id="48" w:name="_Toc194454477"/>
            <w:bookmarkStart w:id="49" w:name="_Toc203286686"/>
            <w:bookmarkEnd w:id="46"/>
            <w:r w:rsidRPr="005F7D35">
              <w:rPr>
                <w:rFonts w:ascii="Aptos" w:hAnsi="Aptos"/>
                <w:color w:val="auto"/>
                <w:sz w:val="20"/>
                <w:szCs w:val="20"/>
              </w:rPr>
              <w:t>1. In my organization, AI systems are deeply integrated into critical business processes, transforming operations, and regularly handling sensitive and/or regulated data.</w:t>
            </w:r>
          </w:p>
        </w:tc>
      </w:tr>
      <w:tr w:rsidR="004231F1" w:rsidRPr="005F7D35" w14:paraId="71B112AD" w14:textId="77777777" w:rsidTr="004231F1">
        <w:tc>
          <w:tcPr>
            <w:tcW w:w="10075" w:type="dxa"/>
            <w:vAlign w:val="center"/>
          </w:tcPr>
          <w:p w14:paraId="1CAC0580" w14:textId="1F045532" w:rsidR="004231F1" w:rsidRPr="005F7D35" w:rsidRDefault="004231F1" w:rsidP="005F7D35">
            <w:pPr>
              <w:rPr>
                <w:rFonts w:ascii="Aptos" w:hAnsi="Aptos"/>
                <w:b/>
                <w:bCs/>
                <w:color w:val="auto"/>
                <w:sz w:val="20"/>
                <w:szCs w:val="20"/>
              </w:rPr>
            </w:pPr>
            <w:r w:rsidRPr="005F7D35">
              <w:rPr>
                <w:rFonts w:ascii="Aptos" w:hAnsi="Aptos"/>
                <w:color w:val="auto"/>
                <w:sz w:val="20"/>
                <w:szCs w:val="20"/>
              </w:rPr>
              <w:t xml:space="preserve">2. My organization has an extensive, enterprise-wide, AI-enabled governance program overseeing the use of AI systems, regularly assessed to align with risk and regulatory compliance requirements. </w:t>
            </w:r>
          </w:p>
        </w:tc>
      </w:tr>
      <w:tr w:rsidR="004231F1" w:rsidRPr="005F7D35" w14:paraId="6905D771" w14:textId="77777777" w:rsidTr="004231F1">
        <w:tc>
          <w:tcPr>
            <w:tcW w:w="10075" w:type="dxa"/>
            <w:vAlign w:val="center"/>
          </w:tcPr>
          <w:p w14:paraId="31266644" w14:textId="04450FCC" w:rsidR="004231F1" w:rsidRPr="005F7D35" w:rsidRDefault="004231F1" w:rsidP="005F7D35">
            <w:pPr>
              <w:rPr>
                <w:rFonts w:ascii="Aptos" w:hAnsi="Aptos"/>
                <w:b/>
                <w:bCs/>
                <w:color w:val="auto"/>
                <w:sz w:val="20"/>
                <w:szCs w:val="20"/>
              </w:rPr>
            </w:pPr>
            <w:r w:rsidRPr="005F7D35">
              <w:rPr>
                <w:rFonts w:ascii="Aptos" w:hAnsi="Aptos"/>
                <w:color w:val="auto"/>
                <w:sz w:val="20"/>
                <w:szCs w:val="20"/>
              </w:rPr>
              <w:t>3. My organization deploys AI systems through a combination of vendor-managed platforms, internally hosted models, and custom-built solutions, fully integrated across the organization.</w:t>
            </w:r>
          </w:p>
        </w:tc>
      </w:tr>
      <w:tr w:rsidR="004231F1" w:rsidRPr="005F7D35" w14:paraId="67E78802" w14:textId="77777777" w:rsidTr="004231F1">
        <w:tc>
          <w:tcPr>
            <w:tcW w:w="10075" w:type="dxa"/>
            <w:vAlign w:val="center"/>
          </w:tcPr>
          <w:p w14:paraId="007E17DD" w14:textId="687BB42A" w:rsidR="004231F1" w:rsidRPr="005F7D35" w:rsidRDefault="004231F1" w:rsidP="005F7D35">
            <w:pPr>
              <w:rPr>
                <w:rFonts w:ascii="Aptos" w:hAnsi="Aptos"/>
                <w:b/>
                <w:bCs/>
                <w:color w:val="auto"/>
                <w:sz w:val="20"/>
                <w:szCs w:val="20"/>
              </w:rPr>
            </w:pPr>
            <w:r w:rsidRPr="005F7D35">
              <w:rPr>
                <w:rFonts w:ascii="Aptos" w:hAnsi="Aptos"/>
                <w:color w:val="auto"/>
                <w:sz w:val="20"/>
                <w:szCs w:val="20"/>
              </w:rPr>
              <w:t>4. My organization extensively relies on third-party AI vendors for a wide range of functions and use cases, including chatbots, risk models, and other critical applications, with deep integration into internal systems and processes.</w:t>
            </w:r>
          </w:p>
        </w:tc>
      </w:tr>
      <w:tr w:rsidR="004231F1" w:rsidRPr="005F7D35" w14:paraId="1D6373FC" w14:textId="77777777" w:rsidTr="004231F1">
        <w:tc>
          <w:tcPr>
            <w:tcW w:w="10075" w:type="dxa"/>
            <w:vAlign w:val="center"/>
          </w:tcPr>
          <w:p w14:paraId="391C1B45" w14:textId="44E1C9D1" w:rsidR="004231F1" w:rsidRPr="005F7D35" w:rsidRDefault="004231F1" w:rsidP="005F7D35">
            <w:pPr>
              <w:rPr>
                <w:rFonts w:ascii="Aptos" w:hAnsi="Aptos"/>
                <w:b/>
                <w:bCs/>
                <w:color w:val="auto"/>
                <w:sz w:val="20"/>
                <w:szCs w:val="20"/>
              </w:rPr>
            </w:pPr>
            <w:r w:rsidRPr="005F7D35">
              <w:rPr>
                <w:rFonts w:ascii="Aptos" w:hAnsi="Aptos"/>
                <w:color w:val="auto"/>
                <w:sz w:val="20"/>
                <w:szCs w:val="20"/>
              </w:rPr>
              <w:lastRenderedPageBreak/>
              <w:t>5. My organization's key goals in adopting AI are strategic differentiation, innovation, scalability, transformative business models, and ethical business practices, in addition to operational efficiency, customer experience, safety, and regulatory compliance.</w:t>
            </w:r>
          </w:p>
        </w:tc>
      </w:tr>
      <w:tr w:rsidR="00086C7D" w:rsidRPr="005F7D35" w14:paraId="20952116" w14:textId="77777777" w:rsidTr="004231F1">
        <w:tc>
          <w:tcPr>
            <w:tcW w:w="10075" w:type="dxa"/>
            <w:vAlign w:val="center"/>
          </w:tcPr>
          <w:p w14:paraId="0BC1B04D" w14:textId="21EDE336" w:rsidR="00086C7D" w:rsidRPr="005F7D35" w:rsidRDefault="00086C7D" w:rsidP="005F7D35">
            <w:pPr>
              <w:rPr>
                <w:rFonts w:ascii="Aptos" w:hAnsi="Aptos"/>
                <w:color w:val="auto"/>
                <w:sz w:val="20"/>
                <w:szCs w:val="20"/>
              </w:rPr>
            </w:pPr>
            <w:r w:rsidRPr="005F7D35">
              <w:rPr>
                <w:rFonts w:ascii="Aptos" w:hAnsi="Aptos"/>
                <w:color w:val="auto"/>
                <w:sz w:val="20"/>
                <w:szCs w:val="20"/>
              </w:rPr>
              <w:t>6. My organization has deeply integrated AI into critical business functions, driving autonomous decision-making and data-driven insights, with enterprise-wide adoption.</w:t>
            </w:r>
          </w:p>
        </w:tc>
      </w:tr>
    </w:tbl>
    <w:p w14:paraId="275B6914" w14:textId="77777777" w:rsidR="00C527A3" w:rsidRPr="005F7D35" w:rsidRDefault="00C527A3" w:rsidP="005F7D35">
      <w:pPr>
        <w:jc w:val="both"/>
        <w:rPr>
          <w:rFonts w:ascii="Aptos" w:hAnsi="Aptos"/>
          <w:color w:val="auto"/>
          <w:sz w:val="20"/>
          <w:szCs w:val="20"/>
        </w:rPr>
      </w:pPr>
    </w:p>
    <w:p w14:paraId="002B9356" w14:textId="7DABAE5A" w:rsidR="00C527A3" w:rsidRPr="005F7D35" w:rsidRDefault="00C527A3" w:rsidP="005F7D35">
      <w:pPr>
        <w:jc w:val="both"/>
        <w:rPr>
          <w:rFonts w:ascii="Aptos" w:hAnsi="Aptos"/>
          <w:color w:val="auto"/>
          <w:sz w:val="20"/>
          <w:szCs w:val="20"/>
        </w:rPr>
      </w:pPr>
      <w:r w:rsidRPr="005F7D35">
        <w:rPr>
          <w:rFonts w:ascii="Aptos" w:hAnsi="Aptos"/>
          <w:color w:val="auto"/>
          <w:sz w:val="20"/>
          <w:szCs w:val="20"/>
        </w:rPr>
        <w:t xml:space="preserve">If you answered “Yes” to any of these statements, </w:t>
      </w:r>
      <w:r w:rsidRPr="005F7D35">
        <w:rPr>
          <w:rFonts w:ascii="Aptos" w:hAnsi="Aptos"/>
          <w:b/>
          <w:bCs/>
          <w:color w:val="B31E3F"/>
          <w:sz w:val="20"/>
          <w:szCs w:val="20"/>
        </w:rPr>
        <w:t>stop</w:t>
      </w:r>
      <w:r w:rsidRPr="005F7D35">
        <w:rPr>
          <w:rFonts w:ascii="Aptos" w:hAnsi="Aptos"/>
          <w:color w:val="auto"/>
          <w:sz w:val="20"/>
          <w:szCs w:val="20"/>
        </w:rPr>
        <w:t>. Your organization’s level of adoption is</w:t>
      </w:r>
      <w:r w:rsidRPr="005F7D35">
        <w:rPr>
          <w:rFonts w:ascii="Aptos" w:hAnsi="Aptos"/>
          <w:b/>
          <w:bCs/>
          <w:color w:val="auto"/>
          <w:sz w:val="20"/>
          <w:szCs w:val="20"/>
        </w:rPr>
        <w:t xml:space="preserve"> </w:t>
      </w:r>
      <w:r w:rsidRPr="005F7D35">
        <w:rPr>
          <w:rFonts w:ascii="Aptos" w:hAnsi="Aptos"/>
          <w:b/>
          <w:bCs/>
          <w:color w:val="auto"/>
          <w:sz w:val="20"/>
          <w:szCs w:val="20"/>
          <w:u w:val="single"/>
        </w:rPr>
        <w:t>Stage 4: Embedded</w:t>
      </w:r>
      <w:r w:rsidRPr="005F7D35">
        <w:rPr>
          <w:rFonts w:ascii="Aptos" w:hAnsi="Aptos"/>
          <w:color w:val="auto"/>
          <w:sz w:val="20"/>
          <w:szCs w:val="20"/>
        </w:rPr>
        <w:t xml:space="preserve">. </w:t>
      </w:r>
      <w:r w:rsidR="00F00030">
        <w:rPr>
          <w:rFonts w:ascii="Aptos" w:hAnsi="Aptos"/>
          <w:color w:val="auto"/>
          <w:sz w:val="20"/>
          <w:szCs w:val="20"/>
        </w:rPr>
        <w:t xml:space="preserve">For information about the Control Objectives corresponding to this adoption stage, please refer to the </w:t>
      </w:r>
      <w:r w:rsidR="00F00030" w:rsidRPr="0002274B">
        <w:rPr>
          <w:rFonts w:ascii="Aptos" w:hAnsi="Aptos"/>
          <w:b/>
          <w:bCs/>
          <w:color w:val="auto"/>
          <w:sz w:val="20"/>
          <w:szCs w:val="20"/>
        </w:rPr>
        <w:t xml:space="preserve">“Risk and Control Matrix – Embedded Stage” </w:t>
      </w:r>
      <w:r w:rsidR="00F00030">
        <w:rPr>
          <w:rFonts w:ascii="Aptos" w:hAnsi="Aptos"/>
          <w:color w:val="auto"/>
          <w:sz w:val="20"/>
          <w:szCs w:val="20"/>
        </w:rPr>
        <w:t>workbook.</w:t>
      </w:r>
    </w:p>
    <w:p w14:paraId="38EE5F1B" w14:textId="77777777" w:rsidR="00C527A3" w:rsidRPr="005F7D35" w:rsidRDefault="00C527A3" w:rsidP="005F7D35">
      <w:pPr>
        <w:jc w:val="both"/>
        <w:rPr>
          <w:rFonts w:ascii="Aptos" w:hAnsi="Aptos"/>
          <w:color w:val="auto"/>
          <w:sz w:val="20"/>
          <w:szCs w:val="20"/>
        </w:rPr>
      </w:pPr>
    </w:p>
    <w:p w14:paraId="5B246D2F" w14:textId="22BFF388" w:rsidR="003516F1" w:rsidRPr="005F7D35" w:rsidRDefault="00C527A3" w:rsidP="005F7D35">
      <w:pPr>
        <w:jc w:val="both"/>
        <w:rPr>
          <w:rFonts w:ascii="Aptos" w:hAnsi="Aptos"/>
          <w:color w:val="auto"/>
          <w:sz w:val="20"/>
          <w:szCs w:val="20"/>
        </w:rPr>
      </w:pPr>
      <w:r w:rsidRPr="005F7D35">
        <w:rPr>
          <w:rFonts w:ascii="Aptos" w:hAnsi="Aptos"/>
          <w:color w:val="auto"/>
          <w:sz w:val="20"/>
          <w:szCs w:val="20"/>
        </w:rPr>
        <w:t>If you answered “No,” continue to Step 2.</w:t>
      </w:r>
    </w:p>
    <w:p w14:paraId="06AA6311" w14:textId="77777777" w:rsidR="00C527A3" w:rsidRPr="005F7D35" w:rsidRDefault="00C527A3" w:rsidP="005F7D35">
      <w:pPr>
        <w:jc w:val="both"/>
        <w:rPr>
          <w:rFonts w:ascii="Aptos" w:hAnsi="Aptos"/>
          <w:sz w:val="20"/>
          <w:szCs w:val="20"/>
        </w:rPr>
      </w:pPr>
    </w:p>
    <w:p w14:paraId="36A99423" w14:textId="0C903BA5" w:rsidR="00C527A3" w:rsidRDefault="00AF3DFC" w:rsidP="005F7D35">
      <w:pPr>
        <w:jc w:val="both"/>
        <w:rPr>
          <w:rFonts w:ascii="Aptos" w:hAnsi="Aptos"/>
          <w:b/>
          <w:bCs/>
          <w:color w:val="auto"/>
          <w:sz w:val="20"/>
          <w:szCs w:val="20"/>
        </w:rPr>
      </w:pPr>
      <w:r w:rsidRPr="005F7D35">
        <w:rPr>
          <w:rFonts w:ascii="Aptos" w:hAnsi="Aptos"/>
          <w:b/>
          <w:bCs/>
          <w:color w:val="auto"/>
          <w:sz w:val="20"/>
          <w:szCs w:val="20"/>
        </w:rPr>
        <w:t>STEP</w:t>
      </w:r>
      <w:r w:rsidR="00C527A3" w:rsidRPr="005F7D35">
        <w:rPr>
          <w:rFonts w:ascii="Aptos" w:hAnsi="Aptos"/>
          <w:b/>
          <w:bCs/>
          <w:color w:val="auto"/>
          <w:sz w:val="20"/>
          <w:szCs w:val="20"/>
        </w:rPr>
        <w:t xml:space="preserve"> 2</w:t>
      </w:r>
    </w:p>
    <w:p w14:paraId="0C6700DA" w14:textId="77777777" w:rsidR="005F7D35" w:rsidRPr="005F7D35" w:rsidRDefault="005F7D35" w:rsidP="005F7D35">
      <w:pPr>
        <w:jc w:val="both"/>
        <w:rPr>
          <w:rFonts w:ascii="Aptos" w:hAnsi="Aptos"/>
          <w:b/>
          <w:bCs/>
          <w:color w:val="auto"/>
          <w:sz w:val="20"/>
          <w:szCs w:val="20"/>
        </w:rPr>
      </w:pPr>
    </w:p>
    <w:tbl>
      <w:tblPr>
        <w:tblStyle w:val="TableGrid"/>
        <w:tblW w:w="10075" w:type="dxa"/>
        <w:tblBorders>
          <w:top w:val="single" w:sz="4" w:space="0" w:color="53585F" w:themeColor="text2"/>
          <w:left w:val="single" w:sz="4" w:space="0" w:color="53585F" w:themeColor="text2"/>
          <w:bottom w:val="single" w:sz="4" w:space="0" w:color="53585F" w:themeColor="text2"/>
          <w:right w:val="single" w:sz="4" w:space="0" w:color="53585F" w:themeColor="text2"/>
          <w:insideH w:val="single" w:sz="4" w:space="0" w:color="53585F" w:themeColor="text2"/>
          <w:insideV w:val="single" w:sz="4" w:space="0" w:color="53585F" w:themeColor="text2"/>
        </w:tblBorders>
        <w:tblLook w:val="04A0" w:firstRow="1" w:lastRow="0" w:firstColumn="1" w:lastColumn="0" w:noHBand="0" w:noVBand="1"/>
      </w:tblPr>
      <w:tblGrid>
        <w:gridCol w:w="10075"/>
      </w:tblGrid>
      <w:tr w:rsidR="00086C7D" w:rsidRPr="005F7D35" w14:paraId="1E0B771E" w14:textId="77777777" w:rsidTr="00AD451D">
        <w:tc>
          <w:tcPr>
            <w:tcW w:w="10075" w:type="dxa"/>
            <w:vAlign w:val="center"/>
          </w:tcPr>
          <w:p w14:paraId="28C80F9B" w14:textId="280AB84C" w:rsidR="00086C7D" w:rsidRPr="005F7D35" w:rsidRDefault="00086C7D" w:rsidP="005F7D35">
            <w:pPr>
              <w:rPr>
                <w:rFonts w:ascii="Aptos" w:hAnsi="Aptos"/>
                <w:b/>
                <w:bCs/>
                <w:color w:val="auto"/>
                <w:sz w:val="20"/>
                <w:szCs w:val="20"/>
              </w:rPr>
            </w:pPr>
            <w:r w:rsidRPr="005F7D35">
              <w:rPr>
                <w:rFonts w:ascii="Aptos" w:hAnsi="Aptos"/>
                <w:color w:val="auto"/>
                <w:sz w:val="20"/>
                <w:szCs w:val="20"/>
              </w:rPr>
              <w:t>1. My organization uses AI systems in key business processes, in some cases transforming operations and/or processing sensitive or regulated data types in specific areas.</w:t>
            </w:r>
          </w:p>
        </w:tc>
      </w:tr>
      <w:tr w:rsidR="00086C7D" w:rsidRPr="005F7D35" w14:paraId="5426331B" w14:textId="77777777" w:rsidTr="00AD451D">
        <w:tc>
          <w:tcPr>
            <w:tcW w:w="10075" w:type="dxa"/>
            <w:vAlign w:val="center"/>
          </w:tcPr>
          <w:p w14:paraId="38E56A27" w14:textId="2C4884F4" w:rsidR="00086C7D" w:rsidRPr="005F7D35" w:rsidRDefault="00086C7D" w:rsidP="005F7D35">
            <w:pPr>
              <w:rPr>
                <w:rFonts w:ascii="Aptos" w:hAnsi="Aptos"/>
                <w:b/>
                <w:bCs/>
                <w:color w:val="auto"/>
                <w:sz w:val="20"/>
                <w:szCs w:val="20"/>
              </w:rPr>
            </w:pPr>
            <w:r w:rsidRPr="005F7D35">
              <w:rPr>
                <w:rFonts w:ascii="Aptos" w:hAnsi="Aptos"/>
                <w:color w:val="auto"/>
                <w:sz w:val="20"/>
                <w:szCs w:val="20"/>
              </w:rPr>
              <w:t xml:space="preserve">2. My organization has governance policies for AI systems, but they are not consistently applied across the entire organization. There are ongoing efforts to align governance and risk policies to regulatory requirements, but coverage is not yet all-inclusive. </w:t>
            </w:r>
          </w:p>
        </w:tc>
      </w:tr>
      <w:tr w:rsidR="00086C7D" w:rsidRPr="005F7D35" w14:paraId="4869E5C2" w14:textId="77777777" w:rsidTr="00AD451D">
        <w:tc>
          <w:tcPr>
            <w:tcW w:w="10075" w:type="dxa"/>
            <w:vAlign w:val="center"/>
          </w:tcPr>
          <w:p w14:paraId="588383F3" w14:textId="1A5AFB91" w:rsidR="00086C7D" w:rsidRPr="005F7D35" w:rsidRDefault="00086C7D" w:rsidP="005F7D35">
            <w:pPr>
              <w:rPr>
                <w:rFonts w:ascii="Aptos" w:hAnsi="Aptos"/>
                <w:b/>
                <w:bCs/>
                <w:color w:val="auto"/>
                <w:sz w:val="20"/>
                <w:szCs w:val="20"/>
              </w:rPr>
            </w:pPr>
            <w:r w:rsidRPr="005F7D35">
              <w:rPr>
                <w:rFonts w:ascii="Aptos" w:hAnsi="Aptos"/>
                <w:color w:val="auto"/>
                <w:sz w:val="20"/>
                <w:szCs w:val="20"/>
              </w:rPr>
              <w:t>3. My organization deploys AI systems through a mix of vendor-managed platforms and internally hosted models, with some integration across specific functions.</w:t>
            </w:r>
          </w:p>
        </w:tc>
      </w:tr>
      <w:tr w:rsidR="00086C7D" w:rsidRPr="005F7D35" w14:paraId="142779E8" w14:textId="77777777" w:rsidTr="00AD451D">
        <w:tc>
          <w:tcPr>
            <w:tcW w:w="10075" w:type="dxa"/>
            <w:vAlign w:val="center"/>
          </w:tcPr>
          <w:p w14:paraId="21A00D35" w14:textId="38278A7E" w:rsidR="00086C7D" w:rsidRPr="005F7D35" w:rsidRDefault="00086C7D" w:rsidP="005F7D35">
            <w:pPr>
              <w:rPr>
                <w:rFonts w:ascii="Aptos" w:hAnsi="Aptos"/>
                <w:b/>
                <w:bCs/>
                <w:color w:val="auto"/>
                <w:sz w:val="20"/>
                <w:szCs w:val="20"/>
              </w:rPr>
            </w:pPr>
            <w:r w:rsidRPr="005F7D35">
              <w:rPr>
                <w:rFonts w:ascii="Aptos" w:hAnsi="Aptos"/>
                <w:color w:val="auto"/>
                <w:sz w:val="20"/>
                <w:szCs w:val="20"/>
              </w:rPr>
              <w:t>4. My organization relies on third-party AI vendors for specific functions or use cases, with some integration into internal systems and processes.</w:t>
            </w:r>
          </w:p>
        </w:tc>
      </w:tr>
      <w:tr w:rsidR="00086C7D" w:rsidRPr="005F7D35" w14:paraId="45E0BA96" w14:textId="77777777" w:rsidTr="00AD451D">
        <w:tc>
          <w:tcPr>
            <w:tcW w:w="10075" w:type="dxa"/>
            <w:vAlign w:val="center"/>
          </w:tcPr>
          <w:p w14:paraId="497C6FFB" w14:textId="6652849F" w:rsidR="00086C7D" w:rsidRPr="005F7D35" w:rsidRDefault="00086C7D" w:rsidP="005F7D35">
            <w:pPr>
              <w:rPr>
                <w:rFonts w:ascii="Aptos" w:hAnsi="Aptos"/>
                <w:b/>
                <w:bCs/>
                <w:color w:val="auto"/>
                <w:sz w:val="20"/>
                <w:szCs w:val="20"/>
              </w:rPr>
            </w:pPr>
            <w:r w:rsidRPr="005F7D35">
              <w:rPr>
                <w:rFonts w:ascii="Aptos" w:hAnsi="Aptos"/>
                <w:color w:val="auto"/>
                <w:sz w:val="20"/>
                <w:szCs w:val="20"/>
              </w:rPr>
              <w:t>5. My organization's key goals driving AI adoption are improving operational efficiency, enhancing customer experience, and ensuring regulatory compliance, with some focus on innovation and new business opportunities.</w:t>
            </w:r>
          </w:p>
        </w:tc>
      </w:tr>
      <w:tr w:rsidR="00086C7D" w:rsidRPr="005F7D35" w14:paraId="02185CE9" w14:textId="77777777" w:rsidTr="00AD451D">
        <w:tc>
          <w:tcPr>
            <w:tcW w:w="10075" w:type="dxa"/>
            <w:vAlign w:val="center"/>
          </w:tcPr>
          <w:p w14:paraId="299CDEB4" w14:textId="5F59620D" w:rsidR="00086C7D" w:rsidRPr="005F7D35" w:rsidRDefault="00086C7D" w:rsidP="005F7D35">
            <w:pPr>
              <w:rPr>
                <w:rFonts w:ascii="Aptos" w:hAnsi="Aptos"/>
                <w:color w:val="auto"/>
                <w:sz w:val="20"/>
                <w:szCs w:val="20"/>
              </w:rPr>
            </w:pPr>
            <w:r w:rsidRPr="005F7D35">
              <w:rPr>
                <w:rFonts w:ascii="Aptos" w:hAnsi="Aptos"/>
                <w:color w:val="auto"/>
                <w:sz w:val="20"/>
                <w:szCs w:val="20"/>
              </w:rPr>
              <w:t>6. In my organization, AI supports external-facing outcomes but is not used for critical business decision-making and is limited to specific functions.</w:t>
            </w:r>
          </w:p>
        </w:tc>
      </w:tr>
    </w:tbl>
    <w:p w14:paraId="18CB609E" w14:textId="77777777" w:rsidR="00C527A3" w:rsidRPr="005F7D35" w:rsidRDefault="00C527A3" w:rsidP="005F7D35">
      <w:pPr>
        <w:jc w:val="both"/>
        <w:rPr>
          <w:rFonts w:ascii="Aptos" w:hAnsi="Aptos"/>
          <w:sz w:val="20"/>
          <w:szCs w:val="20"/>
        </w:rPr>
      </w:pPr>
    </w:p>
    <w:p w14:paraId="52309146" w14:textId="0C646C10" w:rsidR="00086C7D" w:rsidRPr="005F7D35" w:rsidRDefault="00086C7D" w:rsidP="005F7D35">
      <w:pPr>
        <w:jc w:val="both"/>
        <w:rPr>
          <w:rFonts w:ascii="Aptos" w:hAnsi="Aptos"/>
          <w:color w:val="auto"/>
          <w:sz w:val="20"/>
          <w:szCs w:val="20"/>
        </w:rPr>
      </w:pPr>
      <w:r w:rsidRPr="005F7D35">
        <w:rPr>
          <w:rFonts w:ascii="Aptos" w:hAnsi="Aptos"/>
          <w:color w:val="auto"/>
          <w:sz w:val="20"/>
          <w:szCs w:val="20"/>
        </w:rPr>
        <w:t xml:space="preserve">If you answered “Yes” to any of these statements, </w:t>
      </w:r>
      <w:r w:rsidRPr="005F7D35">
        <w:rPr>
          <w:rFonts w:ascii="Aptos" w:hAnsi="Aptos"/>
          <w:b/>
          <w:bCs/>
          <w:color w:val="B31E3F"/>
          <w:sz w:val="20"/>
          <w:szCs w:val="20"/>
        </w:rPr>
        <w:t>stop</w:t>
      </w:r>
      <w:r w:rsidRPr="005F7D35">
        <w:rPr>
          <w:rFonts w:ascii="Aptos" w:hAnsi="Aptos"/>
          <w:color w:val="auto"/>
          <w:sz w:val="20"/>
          <w:szCs w:val="20"/>
        </w:rPr>
        <w:t xml:space="preserve">. Your organization’s level of adoption is </w:t>
      </w:r>
      <w:r w:rsidRPr="005F7D35">
        <w:rPr>
          <w:rFonts w:ascii="Aptos" w:hAnsi="Aptos"/>
          <w:b/>
          <w:bCs/>
          <w:color w:val="auto"/>
          <w:sz w:val="20"/>
          <w:szCs w:val="20"/>
          <w:u w:val="single"/>
        </w:rPr>
        <w:t>Stage 3: Evolving</w:t>
      </w:r>
      <w:r w:rsidRPr="005F7D35">
        <w:rPr>
          <w:rFonts w:ascii="Aptos" w:hAnsi="Aptos"/>
          <w:color w:val="auto"/>
          <w:sz w:val="20"/>
          <w:szCs w:val="20"/>
        </w:rPr>
        <w:t xml:space="preserve">. </w:t>
      </w:r>
      <w:r w:rsidR="00F00030">
        <w:rPr>
          <w:rFonts w:ascii="Aptos" w:hAnsi="Aptos"/>
          <w:color w:val="auto"/>
          <w:sz w:val="20"/>
          <w:szCs w:val="20"/>
        </w:rPr>
        <w:t xml:space="preserve">For information about the Control Objectives corresponding to this adoption stage, please refer to the </w:t>
      </w:r>
      <w:r w:rsidR="00F00030" w:rsidRPr="0002274B">
        <w:rPr>
          <w:rFonts w:ascii="Aptos" w:hAnsi="Aptos"/>
          <w:b/>
          <w:bCs/>
          <w:color w:val="auto"/>
          <w:sz w:val="20"/>
          <w:szCs w:val="20"/>
        </w:rPr>
        <w:t xml:space="preserve">“Risk and Control Matrix – </w:t>
      </w:r>
      <w:r w:rsidR="00F00030">
        <w:rPr>
          <w:rFonts w:ascii="Aptos" w:hAnsi="Aptos"/>
          <w:b/>
          <w:bCs/>
          <w:color w:val="auto"/>
          <w:sz w:val="20"/>
          <w:szCs w:val="20"/>
        </w:rPr>
        <w:t>Evolving</w:t>
      </w:r>
      <w:r w:rsidR="00F00030" w:rsidRPr="0002274B">
        <w:rPr>
          <w:rFonts w:ascii="Aptos" w:hAnsi="Aptos"/>
          <w:b/>
          <w:bCs/>
          <w:color w:val="auto"/>
          <w:sz w:val="20"/>
          <w:szCs w:val="20"/>
        </w:rPr>
        <w:t xml:space="preserve"> Stage” </w:t>
      </w:r>
      <w:r w:rsidR="00F00030">
        <w:rPr>
          <w:rFonts w:ascii="Aptos" w:hAnsi="Aptos"/>
          <w:color w:val="auto"/>
          <w:sz w:val="20"/>
          <w:szCs w:val="20"/>
        </w:rPr>
        <w:t>workbook.</w:t>
      </w:r>
    </w:p>
    <w:p w14:paraId="2C421355" w14:textId="77777777" w:rsidR="00086C7D" w:rsidRPr="005F7D35" w:rsidRDefault="00086C7D" w:rsidP="005F7D35">
      <w:pPr>
        <w:jc w:val="both"/>
        <w:rPr>
          <w:rFonts w:ascii="Aptos" w:hAnsi="Aptos"/>
          <w:color w:val="auto"/>
          <w:sz w:val="20"/>
          <w:szCs w:val="20"/>
        </w:rPr>
      </w:pPr>
    </w:p>
    <w:p w14:paraId="7DEC62BE" w14:textId="548555DB" w:rsidR="00086C7D" w:rsidRPr="005F7D35" w:rsidRDefault="00086C7D" w:rsidP="005F7D35">
      <w:pPr>
        <w:jc w:val="both"/>
        <w:rPr>
          <w:rFonts w:ascii="Aptos" w:hAnsi="Aptos"/>
          <w:color w:val="auto"/>
          <w:sz w:val="20"/>
          <w:szCs w:val="20"/>
        </w:rPr>
      </w:pPr>
      <w:r w:rsidRPr="005F7D35">
        <w:rPr>
          <w:rFonts w:ascii="Aptos" w:hAnsi="Aptos"/>
          <w:color w:val="auto"/>
          <w:sz w:val="20"/>
          <w:szCs w:val="20"/>
        </w:rPr>
        <w:t>If you answered “No,” continue to Step 3.</w:t>
      </w:r>
    </w:p>
    <w:p w14:paraId="060CC00F" w14:textId="77777777" w:rsidR="00F32922" w:rsidRPr="005F7D35" w:rsidRDefault="00F32922" w:rsidP="005F7D35">
      <w:pPr>
        <w:jc w:val="both"/>
        <w:rPr>
          <w:rFonts w:ascii="Aptos" w:hAnsi="Aptos"/>
          <w:sz w:val="20"/>
          <w:szCs w:val="20"/>
        </w:rPr>
      </w:pPr>
    </w:p>
    <w:p w14:paraId="6FED0CD3" w14:textId="0A97AC6B" w:rsidR="0071020C" w:rsidRDefault="00AF3DFC" w:rsidP="005F7D35">
      <w:pPr>
        <w:jc w:val="both"/>
        <w:rPr>
          <w:rFonts w:ascii="Aptos" w:hAnsi="Aptos"/>
          <w:b/>
          <w:bCs/>
          <w:color w:val="auto"/>
          <w:sz w:val="20"/>
          <w:szCs w:val="20"/>
        </w:rPr>
      </w:pPr>
      <w:r w:rsidRPr="005F7D35">
        <w:rPr>
          <w:rFonts w:ascii="Aptos" w:hAnsi="Aptos"/>
          <w:b/>
          <w:bCs/>
          <w:color w:val="auto"/>
          <w:sz w:val="20"/>
          <w:szCs w:val="20"/>
        </w:rPr>
        <w:t>STEP</w:t>
      </w:r>
      <w:r w:rsidR="0071020C" w:rsidRPr="005F7D35">
        <w:rPr>
          <w:rFonts w:ascii="Aptos" w:hAnsi="Aptos"/>
          <w:b/>
          <w:bCs/>
          <w:color w:val="auto"/>
          <w:sz w:val="20"/>
          <w:szCs w:val="20"/>
        </w:rPr>
        <w:t xml:space="preserve"> 3</w:t>
      </w:r>
    </w:p>
    <w:p w14:paraId="7D31F02D" w14:textId="77777777" w:rsidR="005F7D35" w:rsidRPr="005F7D35" w:rsidRDefault="005F7D35" w:rsidP="005F7D35">
      <w:pPr>
        <w:jc w:val="both"/>
        <w:rPr>
          <w:rFonts w:ascii="Aptos" w:hAnsi="Aptos"/>
          <w:b/>
          <w:bCs/>
          <w:color w:val="auto"/>
          <w:sz w:val="20"/>
          <w:szCs w:val="20"/>
        </w:rPr>
      </w:pPr>
    </w:p>
    <w:tbl>
      <w:tblPr>
        <w:tblStyle w:val="TableGrid"/>
        <w:tblW w:w="10075" w:type="dxa"/>
        <w:tblBorders>
          <w:top w:val="single" w:sz="4" w:space="0" w:color="53585F" w:themeColor="text2"/>
          <w:left w:val="single" w:sz="4" w:space="0" w:color="53585F" w:themeColor="text2"/>
          <w:bottom w:val="single" w:sz="4" w:space="0" w:color="53585F" w:themeColor="text2"/>
          <w:right w:val="single" w:sz="4" w:space="0" w:color="53585F" w:themeColor="text2"/>
          <w:insideH w:val="single" w:sz="4" w:space="0" w:color="53585F" w:themeColor="text2"/>
          <w:insideV w:val="single" w:sz="4" w:space="0" w:color="53585F" w:themeColor="text2"/>
        </w:tblBorders>
        <w:tblLook w:val="04A0" w:firstRow="1" w:lastRow="0" w:firstColumn="1" w:lastColumn="0" w:noHBand="0" w:noVBand="1"/>
      </w:tblPr>
      <w:tblGrid>
        <w:gridCol w:w="10075"/>
      </w:tblGrid>
      <w:tr w:rsidR="00E05583" w:rsidRPr="005F7D35" w14:paraId="42CA1D7A" w14:textId="77777777" w:rsidTr="00AD451D">
        <w:tc>
          <w:tcPr>
            <w:tcW w:w="10075" w:type="dxa"/>
            <w:vAlign w:val="center"/>
          </w:tcPr>
          <w:p w14:paraId="6D8FDACF" w14:textId="0B2826D9" w:rsidR="00E05583" w:rsidRPr="005F7D35" w:rsidRDefault="00E05583" w:rsidP="005F7D35">
            <w:pPr>
              <w:rPr>
                <w:rFonts w:ascii="Aptos" w:hAnsi="Aptos"/>
                <w:b/>
                <w:bCs/>
                <w:color w:val="auto"/>
                <w:sz w:val="20"/>
                <w:szCs w:val="20"/>
              </w:rPr>
            </w:pPr>
            <w:r w:rsidRPr="005F7D35">
              <w:rPr>
                <w:rFonts w:ascii="Aptos" w:hAnsi="Aptos"/>
                <w:color w:val="auto"/>
                <w:sz w:val="20"/>
                <w:szCs w:val="20"/>
              </w:rPr>
              <w:t xml:space="preserve">1. My organization does not use AI systems in key business </w:t>
            </w:r>
            <w:r w:rsidR="006516B3" w:rsidRPr="005F7D35">
              <w:rPr>
                <w:rFonts w:ascii="Aptos" w:hAnsi="Aptos"/>
                <w:color w:val="auto"/>
                <w:sz w:val="20"/>
                <w:szCs w:val="20"/>
              </w:rPr>
              <w:t>processes</w:t>
            </w:r>
            <w:r w:rsidRPr="005F7D35">
              <w:rPr>
                <w:rFonts w:ascii="Aptos" w:hAnsi="Aptos"/>
                <w:color w:val="auto"/>
                <w:sz w:val="20"/>
                <w:szCs w:val="20"/>
              </w:rPr>
              <w:t>, for operational transformation, and/or to process sensitive or regulated data types.</w:t>
            </w:r>
          </w:p>
        </w:tc>
      </w:tr>
      <w:tr w:rsidR="00E05583" w:rsidRPr="005F7D35" w14:paraId="5F31D972" w14:textId="77777777" w:rsidTr="00AD451D">
        <w:tc>
          <w:tcPr>
            <w:tcW w:w="10075" w:type="dxa"/>
            <w:vAlign w:val="center"/>
          </w:tcPr>
          <w:p w14:paraId="5ED9A8E9" w14:textId="15553441" w:rsidR="00E05583" w:rsidRPr="005F7D35" w:rsidRDefault="00E05583" w:rsidP="005F7D35">
            <w:pPr>
              <w:rPr>
                <w:rFonts w:ascii="Aptos" w:hAnsi="Aptos"/>
                <w:b/>
                <w:bCs/>
                <w:color w:val="auto"/>
                <w:sz w:val="20"/>
                <w:szCs w:val="20"/>
              </w:rPr>
            </w:pPr>
            <w:r w:rsidRPr="005F7D35">
              <w:rPr>
                <w:rFonts w:ascii="Aptos" w:hAnsi="Aptos"/>
                <w:color w:val="auto"/>
                <w:sz w:val="20"/>
                <w:szCs w:val="20"/>
              </w:rPr>
              <w:t>2. My organization has limited to no governance policies specific to AI systems, and oversight is handled on a case-by-case basis.</w:t>
            </w:r>
          </w:p>
        </w:tc>
      </w:tr>
      <w:tr w:rsidR="00E05583" w:rsidRPr="005F7D35" w14:paraId="59FF3551" w14:textId="77777777" w:rsidTr="00AD451D">
        <w:tc>
          <w:tcPr>
            <w:tcW w:w="10075" w:type="dxa"/>
            <w:vAlign w:val="center"/>
          </w:tcPr>
          <w:p w14:paraId="166FCC59" w14:textId="39C5CAD9" w:rsidR="00E05583" w:rsidRPr="005F7D35" w:rsidRDefault="00E05583" w:rsidP="005F7D35">
            <w:pPr>
              <w:rPr>
                <w:rFonts w:ascii="Aptos" w:hAnsi="Aptos"/>
                <w:b/>
                <w:bCs/>
                <w:color w:val="auto"/>
                <w:sz w:val="20"/>
                <w:szCs w:val="20"/>
              </w:rPr>
            </w:pPr>
            <w:r w:rsidRPr="005F7D35">
              <w:rPr>
                <w:rFonts w:ascii="Aptos" w:hAnsi="Aptos"/>
                <w:color w:val="auto"/>
                <w:sz w:val="20"/>
                <w:szCs w:val="20"/>
              </w:rPr>
              <w:t>3. In my organization, AI systems are primarily deployed through vendor-managed platforms, with limited internal hosting or integration.</w:t>
            </w:r>
          </w:p>
        </w:tc>
      </w:tr>
      <w:tr w:rsidR="00E05583" w:rsidRPr="005F7D35" w14:paraId="4973AEC5" w14:textId="77777777" w:rsidTr="00AD451D">
        <w:tc>
          <w:tcPr>
            <w:tcW w:w="10075" w:type="dxa"/>
            <w:vAlign w:val="center"/>
          </w:tcPr>
          <w:p w14:paraId="2EAD4D1A" w14:textId="4DFDCF63" w:rsidR="00E05583" w:rsidRPr="005F7D35" w:rsidRDefault="00E05583" w:rsidP="005F7D35">
            <w:pPr>
              <w:rPr>
                <w:rFonts w:ascii="Aptos" w:hAnsi="Aptos"/>
                <w:b/>
                <w:bCs/>
                <w:color w:val="auto"/>
                <w:sz w:val="20"/>
                <w:szCs w:val="20"/>
              </w:rPr>
            </w:pPr>
            <w:r w:rsidRPr="005F7D35">
              <w:rPr>
                <w:rFonts w:ascii="Aptos" w:hAnsi="Aptos"/>
                <w:color w:val="auto"/>
                <w:sz w:val="20"/>
                <w:szCs w:val="20"/>
              </w:rPr>
              <w:t>4. My organization has limited reliance on third-party AI vendors, with minimal integration into internal systems and processes.</w:t>
            </w:r>
          </w:p>
        </w:tc>
      </w:tr>
      <w:tr w:rsidR="00E05583" w:rsidRPr="005F7D35" w14:paraId="27469B14" w14:textId="77777777" w:rsidTr="00AD451D">
        <w:tc>
          <w:tcPr>
            <w:tcW w:w="10075" w:type="dxa"/>
            <w:vAlign w:val="center"/>
          </w:tcPr>
          <w:p w14:paraId="76048A9D" w14:textId="227F25C8" w:rsidR="00E05583" w:rsidRPr="005F7D35" w:rsidRDefault="00E05583" w:rsidP="005F7D35">
            <w:pPr>
              <w:rPr>
                <w:rFonts w:ascii="Aptos" w:hAnsi="Aptos"/>
                <w:b/>
                <w:bCs/>
                <w:color w:val="auto"/>
                <w:sz w:val="20"/>
                <w:szCs w:val="20"/>
              </w:rPr>
            </w:pPr>
            <w:r w:rsidRPr="005F7D35">
              <w:rPr>
                <w:rFonts w:ascii="Aptos" w:hAnsi="Aptos"/>
                <w:color w:val="auto"/>
                <w:sz w:val="20"/>
                <w:szCs w:val="20"/>
              </w:rPr>
              <w:t>5. The key organizational goals driving AI adoption in my organization are primarily focused on improving operational efficiency and reducing costs.</w:t>
            </w:r>
          </w:p>
        </w:tc>
      </w:tr>
      <w:tr w:rsidR="00E05583" w:rsidRPr="005F7D35" w14:paraId="62CE092C" w14:textId="77777777" w:rsidTr="00AD451D">
        <w:tc>
          <w:tcPr>
            <w:tcW w:w="10075" w:type="dxa"/>
            <w:vAlign w:val="center"/>
          </w:tcPr>
          <w:p w14:paraId="5AB8136C" w14:textId="61029335" w:rsidR="00E05583" w:rsidRPr="005F7D35" w:rsidRDefault="00E05583" w:rsidP="005F7D35">
            <w:pPr>
              <w:rPr>
                <w:rFonts w:ascii="Aptos" w:hAnsi="Aptos"/>
                <w:color w:val="auto"/>
                <w:sz w:val="20"/>
                <w:szCs w:val="20"/>
              </w:rPr>
            </w:pPr>
            <w:r w:rsidRPr="005F7D35">
              <w:rPr>
                <w:rFonts w:ascii="Aptos" w:hAnsi="Aptos"/>
                <w:color w:val="auto"/>
                <w:sz w:val="20"/>
                <w:szCs w:val="20"/>
              </w:rPr>
              <w:t>6. In my organization, AI has limited use in non-critical tasks and is confined to specific use cases.</w:t>
            </w:r>
          </w:p>
        </w:tc>
      </w:tr>
    </w:tbl>
    <w:p w14:paraId="1542CF41" w14:textId="77777777" w:rsidR="0071020C" w:rsidRPr="005F7D35" w:rsidRDefault="0071020C" w:rsidP="005F7D35">
      <w:pPr>
        <w:jc w:val="both"/>
        <w:rPr>
          <w:rFonts w:ascii="Aptos" w:hAnsi="Aptos"/>
          <w:sz w:val="20"/>
          <w:szCs w:val="20"/>
        </w:rPr>
      </w:pPr>
    </w:p>
    <w:p w14:paraId="3F15A42A" w14:textId="5F75F6FF" w:rsidR="0071020C" w:rsidRPr="005F7D35" w:rsidRDefault="0071020C" w:rsidP="005F7D35">
      <w:pPr>
        <w:jc w:val="both"/>
        <w:rPr>
          <w:rFonts w:ascii="Aptos" w:hAnsi="Aptos"/>
          <w:color w:val="auto"/>
          <w:sz w:val="20"/>
          <w:szCs w:val="20"/>
        </w:rPr>
      </w:pPr>
      <w:r w:rsidRPr="005F7D35">
        <w:rPr>
          <w:rFonts w:ascii="Aptos" w:hAnsi="Aptos"/>
          <w:color w:val="auto"/>
          <w:sz w:val="20"/>
          <w:szCs w:val="20"/>
        </w:rPr>
        <w:lastRenderedPageBreak/>
        <w:t xml:space="preserve">If you answered “Yes” to any of these statements, </w:t>
      </w:r>
      <w:r w:rsidRPr="005F7D35">
        <w:rPr>
          <w:rFonts w:ascii="Aptos" w:hAnsi="Aptos"/>
          <w:b/>
          <w:bCs/>
          <w:color w:val="B31E3F"/>
          <w:sz w:val="20"/>
          <w:szCs w:val="20"/>
        </w:rPr>
        <w:t>stop</w:t>
      </w:r>
      <w:r w:rsidRPr="005F7D35">
        <w:rPr>
          <w:rFonts w:ascii="Aptos" w:hAnsi="Aptos"/>
          <w:color w:val="auto"/>
          <w:sz w:val="20"/>
          <w:szCs w:val="20"/>
        </w:rPr>
        <w:t xml:space="preserve">. Your organization’s level of adoption is </w:t>
      </w:r>
      <w:r w:rsidRPr="005F7D35">
        <w:rPr>
          <w:rFonts w:ascii="Aptos" w:hAnsi="Aptos"/>
          <w:b/>
          <w:bCs/>
          <w:color w:val="auto"/>
          <w:sz w:val="20"/>
          <w:szCs w:val="20"/>
          <w:u w:val="single"/>
        </w:rPr>
        <w:t xml:space="preserve">Stage </w:t>
      </w:r>
      <w:r w:rsidR="00E05583" w:rsidRPr="005F7D35">
        <w:rPr>
          <w:rFonts w:ascii="Aptos" w:hAnsi="Aptos"/>
          <w:b/>
          <w:bCs/>
          <w:color w:val="auto"/>
          <w:sz w:val="20"/>
          <w:szCs w:val="20"/>
          <w:u w:val="single"/>
        </w:rPr>
        <w:t>2</w:t>
      </w:r>
      <w:r w:rsidRPr="005F7D35">
        <w:rPr>
          <w:rFonts w:ascii="Aptos" w:hAnsi="Aptos"/>
          <w:b/>
          <w:bCs/>
          <w:color w:val="auto"/>
          <w:sz w:val="20"/>
          <w:szCs w:val="20"/>
          <w:u w:val="single"/>
        </w:rPr>
        <w:t xml:space="preserve">: </w:t>
      </w:r>
      <w:r w:rsidR="00E05583" w:rsidRPr="005F7D35">
        <w:rPr>
          <w:rFonts w:ascii="Aptos" w:hAnsi="Aptos"/>
          <w:b/>
          <w:bCs/>
          <w:color w:val="auto"/>
          <w:sz w:val="20"/>
          <w:szCs w:val="20"/>
          <w:u w:val="single"/>
        </w:rPr>
        <w:t>Minimal</w:t>
      </w:r>
      <w:r w:rsidRPr="005F7D35">
        <w:rPr>
          <w:rFonts w:ascii="Aptos" w:hAnsi="Aptos"/>
          <w:color w:val="auto"/>
          <w:sz w:val="20"/>
          <w:szCs w:val="20"/>
        </w:rPr>
        <w:t xml:space="preserve">. </w:t>
      </w:r>
      <w:r w:rsidR="00574347">
        <w:rPr>
          <w:rFonts w:ascii="Aptos" w:hAnsi="Aptos"/>
          <w:color w:val="auto"/>
          <w:sz w:val="20"/>
          <w:szCs w:val="20"/>
        </w:rPr>
        <w:t xml:space="preserve">For information about the Control Objectives corresponding to this adoption stage, please refer to the </w:t>
      </w:r>
      <w:r w:rsidR="00574347" w:rsidRPr="0002274B">
        <w:rPr>
          <w:rFonts w:ascii="Aptos" w:hAnsi="Aptos"/>
          <w:b/>
          <w:bCs/>
          <w:color w:val="auto"/>
          <w:sz w:val="20"/>
          <w:szCs w:val="20"/>
        </w:rPr>
        <w:t xml:space="preserve">“Risk and Control Matrix – </w:t>
      </w:r>
      <w:r w:rsidR="00574347">
        <w:rPr>
          <w:rFonts w:ascii="Aptos" w:hAnsi="Aptos"/>
          <w:b/>
          <w:bCs/>
          <w:color w:val="auto"/>
          <w:sz w:val="20"/>
          <w:szCs w:val="20"/>
        </w:rPr>
        <w:t>Minimal</w:t>
      </w:r>
      <w:r w:rsidR="00574347" w:rsidRPr="0002274B">
        <w:rPr>
          <w:rFonts w:ascii="Aptos" w:hAnsi="Aptos"/>
          <w:b/>
          <w:bCs/>
          <w:color w:val="auto"/>
          <w:sz w:val="20"/>
          <w:szCs w:val="20"/>
        </w:rPr>
        <w:t xml:space="preserve"> Stage” </w:t>
      </w:r>
      <w:r w:rsidR="00574347">
        <w:rPr>
          <w:rFonts w:ascii="Aptos" w:hAnsi="Aptos"/>
          <w:color w:val="auto"/>
          <w:sz w:val="20"/>
          <w:szCs w:val="20"/>
        </w:rPr>
        <w:t>workbook.</w:t>
      </w:r>
    </w:p>
    <w:p w14:paraId="3C47B7E6" w14:textId="77777777" w:rsidR="0071020C" w:rsidRPr="005F7D35" w:rsidRDefault="0071020C" w:rsidP="005F7D35">
      <w:pPr>
        <w:jc w:val="both"/>
        <w:rPr>
          <w:rFonts w:ascii="Aptos" w:hAnsi="Aptos"/>
          <w:color w:val="auto"/>
          <w:sz w:val="20"/>
          <w:szCs w:val="20"/>
        </w:rPr>
      </w:pPr>
    </w:p>
    <w:p w14:paraId="2666C7D3" w14:textId="5E107355" w:rsidR="0071020C" w:rsidRPr="005F7D35" w:rsidRDefault="0071020C" w:rsidP="005F7D35">
      <w:pPr>
        <w:jc w:val="both"/>
        <w:rPr>
          <w:rFonts w:ascii="Aptos" w:hAnsi="Aptos"/>
          <w:color w:val="auto"/>
          <w:sz w:val="20"/>
          <w:szCs w:val="20"/>
        </w:rPr>
      </w:pPr>
      <w:r w:rsidRPr="005F7D35">
        <w:rPr>
          <w:rFonts w:ascii="Aptos" w:hAnsi="Aptos"/>
          <w:color w:val="auto"/>
          <w:sz w:val="20"/>
          <w:szCs w:val="20"/>
        </w:rPr>
        <w:t xml:space="preserve">If you answered “No,” continue to Step </w:t>
      </w:r>
      <w:r w:rsidR="00E05583" w:rsidRPr="005F7D35">
        <w:rPr>
          <w:rFonts w:ascii="Aptos" w:hAnsi="Aptos"/>
          <w:color w:val="auto"/>
          <w:sz w:val="20"/>
          <w:szCs w:val="20"/>
        </w:rPr>
        <w:t>4</w:t>
      </w:r>
      <w:r w:rsidRPr="005F7D35">
        <w:rPr>
          <w:rFonts w:ascii="Aptos" w:hAnsi="Aptos"/>
          <w:color w:val="auto"/>
          <w:sz w:val="20"/>
          <w:szCs w:val="20"/>
        </w:rPr>
        <w:t>.</w:t>
      </w:r>
    </w:p>
    <w:p w14:paraId="56542B6F" w14:textId="77777777" w:rsidR="00E05583" w:rsidRPr="005F7D35" w:rsidRDefault="00E05583" w:rsidP="005F7D35">
      <w:pPr>
        <w:jc w:val="both"/>
        <w:rPr>
          <w:rFonts w:ascii="Aptos" w:hAnsi="Aptos"/>
          <w:color w:val="auto"/>
          <w:sz w:val="20"/>
          <w:szCs w:val="20"/>
        </w:rPr>
      </w:pPr>
    </w:p>
    <w:p w14:paraId="4F3DCBA3" w14:textId="35FDA71D" w:rsidR="00E05583" w:rsidRDefault="00E05583" w:rsidP="005F7D35">
      <w:pPr>
        <w:jc w:val="both"/>
        <w:rPr>
          <w:rFonts w:ascii="Aptos" w:hAnsi="Aptos"/>
          <w:b/>
          <w:bCs/>
          <w:color w:val="auto"/>
          <w:sz w:val="20"/>
          <w:szCs w:val="20"/>
        </w:rPr>
      </w:pPr>
      <w:r w:rsidRPr="005F7D35">
        <w:rPr>
          <w:rFonts w:ascii="Aptos" w:hAnsi="Aptos"/>
          <w:b/>
          <w:bCs/>
          <w:color w:val="auto"/>
          <w:sz w:val="20"/>
          <w:szCs w:val="20"/>
        </w:rPr>
        <w:t>S</w:t>
      </w:r>
      <w:r w:rsidR="00AF3DFC" w:rsidRPr="005F7D35">
        <w:rPr>
          <w:rFonts w:ascii="Aptos" w:hAnsi="Aptos"/>
          <w:b/>
          <w:bCs/>
          <w:color w:val="auto"/>
          <w:sz w:val="20"/>
          <w:szCs w:val="20"/>
        </w:rPr>
        <w:t>TEP</w:t>
      </w:r>
      <w:r w:rsidRPr="005F7D35">
        <w:rPr>
          <w:rFonts w:ascii="Aptos" w:hAnsi="Aptos"/>
          <w:b/>
          <w:bCs/>
          <w:color w:val="auto"/>
          <w:sz w:val="20"/>
          <w:szCs w:val="20"/>
        </w:rPr>
        <w:t xml:space="preserve"> 4</w:t>
      </w:r>
    </w:p>
    <w:p w14:paraId="17E20040" w14:textId="77777777" w:rsidR="005F7D35" w:rsidRPr="005F7D35" w:rsidRDefault="005F7D35" w:rsidP="005F7D35">
      <w:pPr>
        <w:jc w:val="both"/>
        <w:rPr>
          <w:rFonts w:ascii="Aptos" w:hAnsi="Aptos"/>
          <w:b/>
          <w:bCs/>
          <w:color w:val="auto"/>
          <w:sz w:val="20"/>
          <w:szCs w:val="20"/>
        </w:rPr>
      </w:pPr>
    </w:p>
    <w:tbl>
      <w:tblPr>
        <w:tblStyle w:val="TableGrid"/>
        <w:tblW w:w="10075" w:type="dxa"/>
        <w:tblBorders>
          <w:top w:val="single" w:sz="4" w:space="0" w:color="53585F" w:themeColor="text2"/>
          <w:left w:val="single" w:sz="4" w:space="0" w:color="53585F" w:themeColor="text2"/>
          <w:bottom w:val="single" w:sz="4" w:space="0" w:color="53585F" w:themeColor="text2"/>
          <w:right w:val="single" w:sz="4" w:space="0" w:color="53585F" w:themeColor="text2"/>
          <w:insideH w:val="single" w:sz="4" w:space="0" w:color="53585F" w:themeColor="text2"/>
          <w:insideV w:val="single" w:sz="4" w:space="0" w:color="53585F" w:themeColor="text2"/>
        </w:tblBorders>
        <w:tblLook w:val="04A0" w:firstRow="1" w:lastRow="0" w:firstColumn="1" w:lastColumn="0" w:noHBand="0" w:noVBand="1"/>
      </w:tblPr>
      <w:tblGrid>
        <w:gridCol w:w="10075"/>
      </w:tblGrid>
      <w:tr w:rsidR="00D30739" w:rsidRPr="005F7D35" w14:paraId="2BF1A99D" w14:textId="77777777" w:rsidTr="00AD451D">
        <w:tc>
          <w:tcPr>
            <w:tcW w:w="10075" w:type="dxa"/>
            <w:vAlign w:val="center"/>
          </w:tcPr>
          <w:p w14:paraId="4ED7129B" w14:textId="25974400" w:rsidR="00FD0E43" w:rsidRPr="005F7D35" w:rsidRDefault="00FD0E43" w:rsidP="005F7D35">
            <w:pPr>
              <w:jc w:val="both"/>
              <w:rPr>
                <w:rFonts w:ascii="Aptos" w:hAnsi="Aptos"/>
                <w:b/>
                <w:bCs/>
                <w:color w:val="auto"/>
                <w:sz w:val="20"/>
                <w:szCs w:val="20"/>
              </w:rPr>
            </w:pPr>
            <w:r w:rsidRPr="005F7D35">
              <w:rPr>
                <w:rFonts w:ascii="Aptos" w:hAnsi="Aptos"/>
                <w:color w:val="auto"/>
                <w:sz w:val="20"/>
                <w:szCs w:val="20"/>
              </w:rPr>
              <w:t>1. My organization is not currently using AI systems in any processes but is exploring potential use cases that may involve critical processes or sensitive data types.</w:t>
            </w:r>
          </w:p>
        </w:tc>
      </w:tr>
      <w:tr w:rsidR="00D30739" w:rsidRPr="005F7D35" w14:paraId="5CBB0FFB" w14:textId="77777777" w:rsidTr="00AD451D">
        <w:tc>
          <w:tcPr>
            <w:tcW w:w="10075" w:type="dxa"/>
            <w:vAlign w:val="center"/>
          </w:tcPr>
          <w:p w14:paraId="7104B5B0" w14:textId="41D5BBFF" w:rsidR="00FD0E43" w:rsidRPr="005F7D35" w:rsidRDefault="00FD0E43" w:rsidP="005F7D35">
            <w:pPr>
              <w:jc w:val="both"/>
              <w:rPr>
                <w:rFonts w:ascii="Aptos" w:hAnsi="Aptos"/>
                <w:b/>
                <w:bCs/>
                <w:color w:val="auto"/>
                <w:sz w:val="20"/>
                <w:szCs w:val="20"/>
              </w:rPr>
            </w:pPr>
            <w:r w:rsidRPr="005F7D35">
              <w:rPr>
                <w:rFonts w:ascii="Aptos" w:hAnsi="Aptos"/>
                <w:color w:val="auto"/>
                <w:sz w:val="20"/>
                <w:szCs w:val="20"/>
              </w:rPr>
              <w:t>2. My organization does not have governance policies for AI systems but is exploring potential frameworks and guidelines.</w:t>
            </w:r>
          </w:p>
        </w:tc>
      </w:tr>
      <w:tr w:rsidR="00D30739" w:rsidRPr="005F7D35" w14:paraId="151E2CEC" w14:textId="77777777" w:rsidTr="00AD451D">
        <w:tc>
          <w:tcPr>
            <w:tcW w:w="10075" w:type="dxa"/>
            <w:vAlign w:val="center"/>
          </w:tcPr>
          <w:p w14:paraId="0F60F185" w14:textId="118BE143" w:rsidR="00FD0E43" w:rsidRPr="005F7D35" w:rsidRDefault="00FD0E43" w:rsidP="005F7D35">
            <w:pPr>
              <w:jc w:val="both"/>
              <w:rPr>
                <w:rFonts w:ascii="Aptos" w:hAnsi="Aptos"/>
                <w:b/>
                <w:bCs/>
                <w:color w:val="auto"/>
                <w:sz w:val="20"/>
                <w:szCs w:val="20"/>
              </w:rPr>
            </w:pPr>
            <w:r w:rsidRPr="005F7D35">
              <w:rPr>
                <w:rFonts w:ascii="Aptos" w:hAnsi="Aptos"/>
                <w:color w:val="auto"/>
                <w:sz w:val="20"/>
                <w:szCs w:val="20"/>
              </w:rPr>
              <w:t>3. My organization is not currently deploying any AI systems but is exploring vendor-managed platforms or internally hosted models for specific use cases.</w:t>
            </w:r>
          </w:p>
        </w:tc>
      </w:tr>
      <w:tr w:rsidR="00D30739" w:rsidRPr="005F7D35" w14:paraId="4EA7D1FE" w14:textId="77777777" w:rsidTr="00AD451D">
        <w:tc>
          <w:tcPr>
            <w:tcW w:w="10075" w:type="dxa"/>
            <w:vAlign w:val="center"/>
          </w:tcPr>
          <w:p w14:paraId="41AE16A7" w14:textId="407E324B" w:rsidR="00FD0E43" w:rsidRPr="005F7D35" w:rsidRDefault="00FD0E43" w:rsidP="005F7D35">
            <w:pPr>
              <w:jc w:val="both"/>
              <w:rPr>
                <w:rFonts w:ascii="Aptos" w:hAnsi="Aptos"/>
                <w:b/>
                <w:bCs/>
                <w:color w:val="auto"/>
                <w:sz w:val="20"/>
                <w:szCs w:val="20"/>
              </w:rPr>
            </w:pPr>
            <w:r w:rsidRPr="005F7D35">
              <w:rPr>
                <w:rFonts w:ascii="Aptos" w:hAnsi="Aptos"/>
                <w:color w:val="auto"/>
                <w:sz w:val="20"/>
                <w:szCs w:val="20"/>
              </w:rPr>
              <w:t>4. My organization does not currently rely on third-party AI vendors but is exploring potential partnerships or solutions for specific functions or use cases.</w:t>
            </w:r>
          </w:p>
        </w:tc>
      </w:tr>
      <w:tr w:rsidR="00D30739" w:rsidRPr="005F7D35" w14:paraId="23F72735" w14:textId="77777777" w:rsidTr="00AD451D">
        <w:tc>
          <w:tcPr>
            <w:tcW w:w="10075" w:type="dxa"/>
            <w:vAlign w:val="center"/>
          </w:tcPr>
          <w:p w14:paraId="172FE880" w14:textId="2048710A" w:rsidR="00FD0E43" w:rsidRPr="005F7D35" w:rsidRDefault="00FD0E43" w:rsidP="005F7D35">
            <w:pPr>
              <w:jc w:val="both"/>
              <w:rPr>
                <w:rFonts w:ascii="Aptos" w:hAnsi="Aptos"/>
                <w:b/>
                <w:bCs/>
                <w:color w:val="auto"/>
                <w:sz w:val="20"/>
                <w:szCs w:val="20"/>
              </w:rPr>
            </w:pPr>
            <w:r w:rsidRPr="005F7D35">
              <w:rPr>
                <w:rFonts w:ascii="Aptos" w:hAnsi="Aptos"/>
                <w:color w:val="auto"/>
                <w:sz w:val="20"/>
                <w:szCs w:val="20"/>
              </w:rPr>
              <w:t>5. My organization is exploring the potential for AI to improve operational efficiency, customer experience, and regulatory compliance but has not yet defined clear goals or priorities.</w:t>
            </w:r>
          </w:p>
        </w:tc>
      </w:tr>
      <w:tr w:rsidR="00FD0E43" w:rsidRPr="005F7D35" w14:paraId="503AC635" w14:textId="77777777" w:rsidTr="00AD451D">
        <w:tc>
          <w:tcPr>
            <w:tcW w:w="10075" w:type="dxa"/>
            <w:vAlign w:val="center"/>
          </w:tcPr>
          <w:p w14:paraId="5BA7D247" w14:textId="31637DF4" w:rsidR="00FD0E43" w:rsidRPr="005F7D35" w:rsidRDefault="00FD0E43" w:rsidP="005F7D35">
            <w:pPr>
              <w:jc w:val="both"/>
              <w:rPr>
                <w:rFonts w:ascii="Aptos" w:hAnsi="Aptos"/>
                <w:color w:val="auto"/>
                <w:sz w:val="20"/>
                <w:szCs w:val="20"/>
              </w:rPr>
            </w:pPr>
            <w:r w:rsidRPr="005F7D35">
              <w:rPr>
                <w:rFonts w:ascii="Aptos" w:hAnsi="Aptos"/>
                <w:color w:val="auto"/>
                <w:sz w:val="20"/>
                <w:szCs w:val="20"/>
              </w:rPr>
              <w:t>6. In my organization, AI is not currently used in production or non-production environments, and its potential is being explored for specific use cases.</w:t>
            </w:r>
          </w:p>
        </w:tc>
      </w:tr>
    </w:tbl>
    <w:p w14:paraId="79D2C5FA" w14:textId="77777777" w:rsidR="00E05583" w:rsidRPr="005F7D35" w:rsidRDefault="00E05583" w:rsidP="005F7D35">
      <w:pPr>
        <w:jc w:val="both"/>
        <w:rPr>
          <w:rFonts w:ascii="Aptos" w:hAnsi="Aptos"/>
          <w:sz w:val="20"/>
          <w:szCs w:val="20"/>
        </w:rPr>
      </w:pPr>
    </w:p>
    <w:p w14:paraId="26020926" w14:textId="091E61AA" w:rsidR="00E05583" w:rsidRDefault="00E05583" w:rsidP="005F7D35">
      <w:pPr>
        <w:jc w:val="both"/>
        <w:rPr>
          <w:rFonts w:ascii="Aptos" w:hAnsi="Aptos"/>
          <w:color w:val="auto"/>
          <w:sz w:val="20"/>
          <w:szCs w:val="20"/>
        </w:rPr>
      </w:pPr>
      <w:r w:rsidRPr="005F7D35">
        <w:rPr>
          <w:rFonts w:ascii="Aptos" w:hAnsi="Aptos"/>
          <w:color w:val="auto"/>
          <w:sz w:val="20"/>
          <w:szCs w:val="20"/>
        </w:rPr>
        <w:t xml:space="preserve">If you answered “Yes” to any of these statements, </w:t>
      </w:r>
      <w:r w:rsidRPr="005F7D35">
        <w:rPr>
          <w:rFonts w:ascii="Aptos" w:hAnsi="Aptos"/>
          <w:b/>
          <w:bCs/>
          <w:color w:val="B31E3F"/>
          <w:sz w:val="20"/>
          <w:szCs w:val="20"/>
        </w:rPr>
        <w:t>stop</w:t>
      </w:r>
      <w:r w:rsidRPr="005F7D35">
        <w:rPr>
          <w:rFonts w:ascii="Aptos" w:hAnsi="Aptos"/>
          <w:color w:val="auto"/>
          <w:sz w:val="20"/>
          <w:szCs w:val="20"/>
        </w:rPr>
        <w:t xml:space="preserve">. Your organization’s level of adoption is </w:t>
      </w:r>
      <w:r w:rsidRPr="005F7D35">
        <w:rPr>
          <w:rFonts w:ascii="Aptos" w:hAnsi="Aptos"/>
          <w:b/>
          <w:bCs/>
          <w:color w:val="auto"/>
          <w:sz w:val="20"/>
          <w:szCs w:val="20"/>
          <w:u w:val="single"/>
        </w:rPr>
        <w:t xml:space="preserve">Stage </w:t>
      </w:r>
      <w:r w:rsidR="00FD0E43" w:rsidRPr="005F7D35">
        <w:rPr>
          <w:rFonts w:ascii="Aptos" w:hAnsi="Aptos"/>
          <w:b/>
          <w:bCs/>
          <w:color w:val="auto"/>
          <w:sz w:val="20"/>
          <w:szCs w:val="20"/>
          <w:u w:val="single"/>
        </w:rPr>
        <w:t>1</w:t>
      </w:r>
      <w:r w:rsidRPr="005F7D35">
        <w:rPr>
          <w:rFonts w:ascii="Aptos" w:hAnsi="Aptos"/>
          <w:b/>
          <w:bCs/>
          <w:color w:val="auto"/>
          <w:sz w:val="20"/>
          <w:szCs w:val="20"/>
          <w:u w:val="single"/>
        </w:rPr>
        <w:t xml:space="preserve">: </w:t>
      </w:r>
      <w:r w:rsidR="00FD0E43" w:rsidRPr="005F7D35">
        <w:rPr>
          <w:rFonts w:ascii="Aptos" w:hAnsi="Aptos"/>
          <w:b/>
          <w:bCs/>
          <w:color w:val="auto"/>
          <w:sz w:val="20"/>
          <w:szCs w:val="20"/>
          <w:u w:val="single"/>
        </w:rPr>
        <w:t>Initial</w:t>
      </w:r>
      <w:r w:rsidRPr="005F7D35">
        <w:rPr>
          <w:rFonts w:ascii="Aptos" w:hAnsi="Aptos"/>
          <w:color w:val="auto"/>
          <w:sz w:val="20"/>
          <w:szCs w:val="20"/>
        </w:rPr>
        <w:t xml:space="preserve">. </w:t>
      </w:r>
      <w:r w:rsidR="00574347">
        <w:rPr>
          <w:rFonts w:ascii="Aptos" w:hAnsi="Aptos"/>
          <w:color w:val="auto"/>
          <w:sz w:val="20"/>
          <w:szCs w:val="20"/>
        </w:rPr>
        <w:t xml:space="preserve">For information about the Control Objectives corresponding to this adoption stage, please refer to the </w:t>
      </w:r>
      <w:r w:rsidR="00574347" w:rsidRPr="0002274B">
        <w:rPr>
          <w:rFonts w:ascii="Aptos" w:hAnsi="Aptos"/>
          <w:b/>
          <w:bCs/>
          <w:color w:val="auto"/>
          <w:sz w:val="20"/>
          <w:szCs w:val="20"/>
        </w:rPr>
        <w:t xml:space="preserve">“Risk and Control Matrix – </w:t>
      </w:r>
      <w:r w:rsidR="00574347">
        <w:rPr>
          <w:rFonts w:ascii="Aptos" w:hAnsi="Aptos"/>
          <w:b/>
          <w:bCs/>
          <w:color w:val="auto"/>
          <w:sz w:val="20"/>
          <w:szCs w:val="20"/>
        </w:rPr>
        <w:t>Initial</w:t>
      </w:r>
      <w:r w:rsidR="00574347" w:rsidRPr="0002274B">
        <w:rPr>
          <w:rFonts w:ascii="Aptos" w:hAnsi="Aptos"/>
          <w:b/>
          <w:bCs/>
          <w:color w:val="auto"/>
          <w:sz w:val="20"/>
          <w:szCs w:val="20"/>
        </w:rPr>
        <w:t xml:space="preserve"> Stage” </w:t>
      </w:r>
      <w:r w:rsidR="00574347">
        <w:rPr>
          <w:rFonts w:ascii="Aptos" w:hAnsi="Aptos"/>
          <w:color w:val="auto"/>
          <w:sz w:val="20"/>
          <w:szCs w:val="20"/>
        </w:rPr>
        <w:t>workbook.</w:t>
      </w:r>
    </w:p>
    <w:p w14:paraId="5E9AF19E" w14:textId="77777777" w:rsidR="005F7D35" w:rsidRPr="005F7D35" w:rsidRDefault="005F7D35" w:rsidP="005F7D35">
      <w:pPr>
        <w:jc w:val="both"/>
        <w:rPr>
          <w:rFonts w:ascii="Aptos" w:hAnsi="Aptos"/>
          <w:color w:val="auto"/>
          <w:sz w:val="20"/>
          <w:szCs w:val="20"/>
        </w:rPr>
      </w:pPr>
    </w:p>
    <w:p w14:paraId="3DF93BB0" w14:textId="2F7B2938" w:rsidR="00E05583" w:rsidRPr="005F7D35" w:rsidRDefault="00E05583" w:rsidP="005F7D35">
      <w:pPr>
        <w:jc w:val="both"/>
        <w:rPr>
          <w:rFonts w:ascii="Aptos" w:hAnsi="Aptos"/>
          <w:color w:val="auto"/>
          <w:sz w:val="20"/>
          <w:szCs w:val="20"/>
        </w:rPr>
      </w:pPr>
      <w:r w:rsidRPr="005F7D35">
        <w:rPr>
          <w:rFonts w:ascii="Aptos" w:hAnsi="Aptos"/>
          <w:color w:val="auto"/>
          <w:sz w:val="20"/>
          <w:szCs w:val="20"/>
        </w:rPr>
        <w:t xml:space="preserve">If you answered “No,” continue to Step </w:t>
      </w:r>
      <w:r w:rsidR="00FD0E43" w:rsidRPr="005F7D35">
        <w:rPr>
          <w:rFonts w:ascii="Aptos" w:hAnsi="Aptos"/>
          <w:color w:val="auto"/>
          <w:sz w:val="20"/>
          <w:szCs w:val="20"/>
        </w:rPr>
        <w:t>5</w:t>
      </w:r>
      <w:r w:rsidRPr="005F7D35">
        <w:rPr>
          <w:rFonts w:ascii="Aptos" w:hAnsi="Aptos"/>
          <w:color w:val="auto"/>
          <w:sz w:val="20"/>
          <w:szCs w:val="20"/>
        </w:rPr>
        <w:t>.</w:t>
      </w:r>
    </w:p>
    <w:p w14:paraId="5A10BD5F" w14:textId="77777777" w:rsidR="00E05583" w:rsidRPr="005F7D35" w:rsidRDefault="00E05583" w:rsidP="005F7D35">
      <w:pPr>
        <w:jc w:val="both"/>
        <w:rPr>
          <w:rFonts w:ascii="Aptos" w:hAnsi="Aptos"/>
          <w:color w:val="auto"/>
          <w:sz w:val="20"/>
          <w:szCs w:val="20"/>
        </w:rPr>
      </w:pPr>
    </w:p>
    <w:p w14:paraId="55E55269" w14:textId="1485227E" w:rsidR="00D30739" w:rsidRDefault="00AF3DFC" w:rsidP="005F7D35">
      <w:pPr>
        <w:jc w:val="both"/>
        <w:rPr>
          <w:rFonts w:ascii="Aptos" w:hAnsi="Aptos"/>
          <w:b/>
          <w:bCs/>
          <w:color w:val="auto"/>
          <w:sz w:val="20"/>
          <w:szCs w:val="20"/>
        </w:rPr>
      </w:pPr>
      <w:r w:rsidRPr="005F7D35">
        <w:rPr>
          <w:rFonts w:ascii="Aptos" w:hAnsi="Aptos"/>
          <w:b/>
          <w:bCs/>
          <w:color w:val="auto"/>
          <w:sz w:val="20"/>
          <w:szCs w:val="20"/>
        </w:rPr>
        <w:t>STEP</w:t>
      </w:r>
      <w:r w:rsidR="00D30739" w:rsidRPr="005F7D35">
        <w:rPr>
          <w:rFonts w:ascii="Aptos" w:hAnsi="Aptos"/>
          <w:b/>
          <w:bCs/>
          <w:color w:val="auto"/>
          <w:sz w:val="20"/>
          <w:szCs w:val="20"/>
        </w:rPr>
        <w:t xml:space="preserve"> 5</w:t>
      </w:r>
    </w:p>
    <w:p w14:paraId="5E4F75F3" w14:textId="77777777" w:rsidR="005F7D35" w:rsidRPr="005F7D35" w:rsidRDefault="005F7D35" w:rsidP="005F7D35">
      <w:pPr>
        <w:jc w:val="both"/>
        <w:rPr>
          <w:rFonts w:ascii="Aptos" w:hAnsi="Aptos"/>
          <w:b/>
          <w:bCs/>
          <w:color w:val="auto"/>
          <w:sz w:val="20"/>
          <w:szCs w:val="20"/>
        </w:rPr>
      </w:pPr>
    </w:p>
    <w:tbl>
      <w:tblPr>
        <w:tblStyle w:val="TableGrid"/>
        <w:tblW w:w="10075" w:type="dxa"/>
        <w:tblBorders>
          <w:top w:val="single" w:sz="4" w:space="0" w:color="53585F" w:themeColor="text2"/>
          <w:left w:val="single" w:sz="4" w:space="0" w:color="53585F" w:themeColor="text2"/>
          <w:bottom w:val="single" w:sz="4" w:space="0" w:color="53585F" w:themeColor="text2"/>
          <w:right w:val="single" w:sz="4" w:space="0" w:color="53585F" w:themeColor="text2"/>
          <w:insideH w:val="single" w:sz="4" w:space="0" w:color="53585F" w:themeColor="text2"/>
          <w:insideV w:val="single" w:sz="4" w:space="0" w:color="53585F" w:themeColor="text2"/>
        </w:tblBorders>
        <w:tblLook w:val="04A0" w:firstRow="1" w:lastRow="0" w:firstColumn="1" w:lastColumn="0" w:noHBand="0" w:noVBand="1"/>
      </w:tblPr>
      <w:tblGrid>
        <w:gridCol w:w="10075"/>
      </w:tblGrid>
      <w:tr w:rsidR="00D30739" w:rsidRPr="005F7D35" w14:paraId="64D05E74" w14:textId="77777777" w:rsidTr="00AD451D">
        <w:tc>
          <w:tcPr>
            <w:tcW w:w="10075" w:type="dxa"/>
            <w:vAlign w:val="center"/>
          </w:tcPr>
          <w:p w14:paraId="1FA05457" w14:textId="67B49FF0" w:rsidR="00D30739" w:rsidRPr="005F7D35" w:rsidRDefault="00D30739" w:rsidP="005F7D35">
            <w:pPr>
              <w:jc w:val="both"/>
              <w:rPr>
                <w:rFonts w:ascii="Aptos" w:hAnsi="Aptos"/>
                <w:b/>
                <w:bCs/>
                <w:color w:val="auto"/>
                <w:sz w:val="20"/>
                <w:szCs w:val="20"/>
              </w:rPr>
            </w:pPr>
            <w:r w:rsidRPr="005F7D35">
              <w:rPr>
                <w:rFonts w:ascii="Aptos" w:hAnsi="Aptos"/>
                <w:color w:val="auto"/>
                <w:sz w:val="20"/>
                <w:szCs w:val="20"/>
              </w:rPr>
              <w:t>1. My organization does not currently use AI systems in any processes and does not process sensitive or regulated data types.</w:t>
            </w:r>
          </w:p>
        </w:tc>
      </w:tr>
      <w:tr w:rsidR="00D30739" w:rsidRPr="005F7D35" w14:paraId="10E14C81" w14:textId="77777777" w:rsidTr="00AD451D">
        <w:tc>
          <w:tcPr>
            <w:tcW w:w="10075" w:type="dxa"/>
            <w:vAlign w:val="center"/>
          </w:tcPr>
          <w:p w14:paraId="28C4619B" w14:textId="26E04A38" w:rsidR="00D30739" w:rsidRPr="005F7D35" w:rsidRDefault="00D30739" w:rsidP="005F7D35">
            <w:pPr>
              <w:jc w:val="both"/>
              <w:rPr>
                <w:rFonts w:ascii="Aptos" w:hAnsi="Aptos"/>
                <w:b/>
                <w:bCs/>
                <w:color w:val="auto"/>
                <w:sz w:val="20"/>
                <w:szCs w:val="20"/>
              </w:rPr>
            </w:pPr>
            <w:r w:rsidRPr="005F7D35">
              <w:rPr>
                <w:rFonts w:ascii="Aptos" w:hAnsi="Aptos"/>
                <w:color w:val="auto"/>
                <w:sz w:val="20"/>
                <w:szCs w:val="20"/>
              </w:rPr>
              <w:t>2. My organization does not currently have governance policies for AI systems.</w:t>
            </w:r>
          </w:p>
        </w:tc>
      </w:tr>
      <w:tr w:rsidR="00D30739" w:rsidRPr="005F7D35" w14:paraId="03F2AC7E" w14:textId="77777777" w:rsidTr="00AD451D">
        <w:tc>
          <w:tcPr>
            <w:tcW w:w="10075" w:type="dxa"/>
            <w:vAlign w:val="center"/>
          </w:tcPr>
          <w:p w14:paraId="2E40B87F" w14:textId="2CF69C92" w:rsidR="00D30739" w:rsidRPr="005F7D35" w:rsidRDefault="00D30739" w:rsidP="005F7D35">
            <w:pPr>
              <w:jc w:val="both"/>
              <w:rPr>
                <w:rFonts w:ascii="Aptos" w:hAnsi="Aptos"/>
                <w:b/>
                <w:bCs/>
                <w:color w:val="auto"/>
                <w:sz w:val="20"/>
                <w:szCs w:val="20"/>
              </w:rPr>
            </w:pPr>
            <w:r w:rsidRPr="005F7D35">
              <w:rPr>
                <w:rFonts w:ascii="Aptos" w:hAnsi="Aptos"/>
                <w:color w:val="auto"/>
                <w:sz w:val="20"/>
                <w:szCs w:val="20"/>
              </w:rPr>
              <w:t xml:space="preserve">3. My organization does not currently deploy AI </w:t>
            </w:r>
            <w:r w:rsidR="005F7D35" w:rsidRPr="005F7D35">
              <w:rPr>
                <w:rFonts w:ascii="Aptos" w:hAnsi="Aptos"/>
                <w:color w:val="auto"/>
                <w:sz w:val="20"/>
                <w:szCs w:val="20"/>
              </w:rPr>
              <w:t>systems,</w:t>
            </w:r>
            <w:r w:rsidRPr="005F7D35">
              <w:rPr>
                <w:rFonts w:ascii="Aptos" w:hAnsi="Aptos"/>
                <w:color w:val="auto"/>
                <w:sz w:val="20"/>
                <w:szCs w:val="20"/>
              </w:rPr>
              <w:t xml:space="preserve"> nor does it plan to in the near future. </w:t>
            </w:r>
          </w:p>
        </w:tc>
      </w:tr>
      <w:tr w:rsidR="00D30739" w:rsidRPr="005F7D35" w14:paraId="3CB9AFD8" w14:textId="77777777" w:rsidTr="00AD451D">
        <w:tc>
          <w:tcPr>
            <w:tcW w:w="10075" w:type="dxa"/>
            <w:vAlign w:val="center"/>
          </w:tcPr>
          <w:p w14:paraId="0FD014C6" w14:textId="2E9B4DFA" w:rsidR="00D30739" w:rsidRPr="005F7D35" w:rsidRDefault="00D30739" w:rsidP="005F7D35">
            <w:pPr>
              <w:jc w:val="both"/>
              <w:rPr>
                <w:rFonts w:ascii="Aptos" w:hAnsi="Aptos"/>
                <w:b/>
                <w:bCs/>
                <w:color w:val="auto"/>
                <w:sz w:val="20"/>
                <w:szCs w:val="20"/>
              </w:rPr>
            </w:pPr>
            <w:r w:rsidRPr="005F7D35">
              <w:rPr>
                <w:rFonts w:ascii="Aptos" w:hAnsi="Aptos"/>
                <w:color w:val="auto"/>
                <w:sz w:val="20"/>
                <w:szCs w:val="20"/>
              </w:rPr>
              <w:t>4. My organization does not currently rely on third-party AI vendors.</w:t>
            </w:r>
          </w:p>
        </w:tc>
      </w:tr>
      <w:tr w:rsidR="00D30739" w:rsidRPr="005F7D35" w14:paraId="057A4B62" w14:textId="77777777" w:rsidTr="00AD451D">
        <w:tc>
          <w:tcPr>
            <w:tcW w:w="10075" w:type="dxa"/>
            <w:vAlign w:val="center"/>
          </w:tcPr>
          <w:p w14:paraId="3A9BC8FC" w14:textId="2335F6B0" w:rsidR="00D30739" w:rsidRPr="005F7D35" w:rsidRDefault="00D30739" w:rsidP="005F7D35">
            <w:pPr>
              <w:jc w:val="both"/>
              <w:rPr>
                <w:rFonts w:ascii="Aptos" w:hAnsi="Aptos"/>
                <w:b/>
                <w:bCs/>
                <w:color w:val="auto"/>
                <w:sz w:val="20"/>
                <w:szCs w:val="20"/>
              </w:rPr>
            </w:pPr>
            <w:r w:rsidRPr="005F7D35">
              <w:rPr>
                <w:rFonts w:ascii="Aptos" w:hAnsi="Aptos"/>
                <w:color w:val="auto"/>
                <w:sz w:val="20"/>
                <w:szCs w:val="20"/>
              </w:rPr>
              <w:t>5. My organization has not identified any specific goals for AI adoption and is not actively considering AI as a strategic priority.</w:t>
            </w:r>
          </w:p>
        </w:tc>
      </w:tr>
      <w:tr w:rsidR="00D30739" w:rsidRPr="005F7D35" w14:paraId="11ED35DC" w14:textId="77777777" w:rsidTr="00AD451D">
        <w:tc>
          <w:tcPr>
            <w:tcW w:w="10075" w:type="dxa"/>
            <w:vAlign w:val="center"/>
          </w:tcPr>
          <w:p w14:paraId="3FAAAE4A" w14:textId="4B649DF2" w:rsidR="00D30739" w:rsidRPr="005F7D35" w:rsidRDefault="00D30739" w:rsidP="005F7D35">
            <w:pPr>
              <w:jc w:val="both"/>
              <w:rPr>
                <w:rFonts w:ascii="Aptos" w:hAnsi="Aptos"/>
                <w:color w:val="auto"/>
                <w:sz w:val="20"/>
                <w:szCs w:val="20"/>
              </w:rPr>
            </w:pPr>
            <w:r w:rsidRPr="005F7D35">
              <w:rPr>
                <w:rFonts w:ascii="Aptos" w:hAnsi="Aptos"/>
                <w:color w:val="auto"/>
                <w:sz w:val="20"/>
                <w:szCs w:val="20"/>
              </w:rPr>
              <w:t>6. In my organization, AI is not currently used to support any business functions.</w:t>
            </w:r>
          </w:p>
        </w:tc>
      </w:tr>
    </w:tbl>
    <w:p w14:paraId="5437FEC1" w14:textId="77777777" w:rsidR="00D30739" w:rsidRPr="005F7D35" w:rsidRDefault="00D30739" w:rsidP="005F7D35">
      <w:pPr>
        <w:jc w:val="both"/>
        <w:rPr>
          <w:rFonts w:ascii="Aptos" w:hAnsi="Aptos"/>
          <w:sz w:val="20"/>
          <w:szCs w:val="20"/>
        </w:rPr>
      </w:pPr>
    </w:p>
    <w:p w14:paraId="0335170C" w14:textId="2FC149A9" w:rsidR="00D30739" w:rsidRPr="005F7D35" w:rsidRDefault="00D30739" w:rsidP="005F7D35">
      <w:pPr>
        <w:jc w:val="both"/>
        <w:rPr>
          <w:rFonts w:ascii="Aptos" w:hAnsi="Aptos"/>
          <w:color w:val="auto"/>
          <w:sz w:val="20"/>
          <w:szCs w:val="20"/>
        </w:rPr>
      </w:pPr>
      <w:r w:rsidRPr="005F7D35">
        <w:rPr>
          <w:rFonts w:ascii="Aptos" w:hAnsi="Aptos"/>
          <w:color w:val="auto"/>
          <w:sz w:val="20"/>
          <w:szCs w:val="20"/>
        </w:rPr>
        <w:t>If you answered “Yes” to any of these statements</w:t>
      </w:r>
      <w:r w:rsidR="001E136A" w:rsidRPr="005F7D35">
        <w:rPr>
          <w:rFonts w:ascii="Aptos" w:hAnsi="Aptos"/>
          <w:color w:val="auto"/>
          <w:sz w:val="20"/>
          <w:szCs w:val="20"/>
        </w:rPr>
        <w:t>, y</w:t>
      </w:r>
      <w:r w:rsidRPr="005F7D35">
        <w:rPr>
          <w:rFonts w:ascii="Aptos" w:hAnsi="Aptos"/>
          <w:color w:val="auto"/>
          <w:sz w:val="20"/>
          <w:szCs w:val="20"/>
        </w:rPr>
        <w:t xml:space="preserve">our </w:t>
      </w:r>
      <w:r w:rsidR="00514B8F" w:rsidRPr="005F7D35">
        <w:rPr>
          <w:rFonts w:ascii="Aptos" w:hAnsi="Aptos"/>
          <w:color w:val="auto"/>
          <w:sz w:val="20"/>
          <w:szCs w:val="20"/>
        </w:rPr>
        <w:t>organization has yet to adopt AI.</w:t>
      </w:r>
    </w:p>
    <w:p w14:paraId="4213F377" w14:textId="77777777" w:rsidR="00652698" w:rsidRDefault="00652698" w:rsidP="00FF487A">
      <w:pPr>
        <w:spacing w:line="276" w:lineRule="auto"/>
        <w:jc w:val="both"/>
        <w:rPr>
          <w:rFonts w:ascii="Aptos" w:hAnsi="Aptos"/>
          <w:color w:val="auto"/>
        </w:rPr>
      </w:pPr>
    </w:p>
    <w:p w14:paraId="3A8147B3" w14:textId="77777777" w:rsidR="00EA12BE" w:rsidRDefault="00EA12BE">
      <w:pPr>
        <w:rPr>
          <w:rFonts w:ascii="Aptos" w:eastAsia="Times New Roman" w:hAnsi="Aptos" w:cs="Times New Roman"/>
          <w:b/>
          <w:bCs/>
          <w:color w:val="34246B" w:themeColor="accent2"/>
          <w:sz w:val="32"/>
        </w:rPr>
      </w:pPr>
      <w:r>
        <w:rPr>
          <w:rFonts w:ascii="Aptos" w:hAnsi="Aptos"/>
          <w:b/>
          <w:bCs/>
          <w:color w:val="34246B" w:themeColor="accent2"/>
        </w:rPr>
        <w:br w:type="page"/>
      </w:r>
    </w:p>
    <w:p w14:paraId="1426EE45" w14:textId="41A3C73F" w:rsidR="00652698" w:rsidRPr="005F7D35" w:rsidRDefault="00D016EE" w:rsidP="00FF487A">
      <w:pPr>
        <w:pStyle w:val="Heading1"/>
        <w:spacing w:after="0" w:line="269" w:lineRule="auto"/>
        <w:jc w:val="both"/>
        <w:rPr>
          <w:rFonts w:ascii="Aptos" w:hAnsi="Aptos"/>
          <w:b/>
          <w:bCs/>
          <w:color w:val="34246B" w:themeColor="accent2"/>
          <w:sz w:val="28"/>
          <w:szCs w:val="28"/>
        </w:rPr>
      </w:pPr>
      <w:bookmarkStart w:id="50" w:name="_Toc221009660"/>
      <w:r w:rsidRPr="005F7D35">
        <w:rPr>
          <w:rFonts w:ascii="Aptos" w:hAnsi="Aptos"/>
          <w:b/>
          <w:bCs/>
          <w:color w:val="34246B" w:themeColor="accent2"/>
          <w:sz w:val="28"/>
          <w:szCs w:val="28"/>
        </w:rPr>
        <w:lastRenderedPageBreak/>
        <w:t>SECTION</w:t>
      </w:r>
      <w:r w:rsidR="00652698" w:rsidRPr="005F7D35">
        <w:rPr>
          <w:rFonts w:ascii="Aptos" w:hAnsi="Aptos"/>
          <w:b/>
          <w:bCs/>
          <w:color w:val="34246B" w:themeColor="accent2"/>
          <w:sz w:val="28"/>
          <w:szCs w:val="28"/>
        </w:rPr>
        <w:t xml:space="preserve"> 2: </w:t>
      </w:r>
      <w:r w:rsidR="001352DB" w:rsidRPr="005F7D35">
        <w:rPr>
          <w:rFonts w:ascii="Aptos" w:hAnsi="Aptos"/>
          <w:b/>
          <w:bCs/>
          <w:color w:val="34246B" w:themeColor="accent2"/>
          <w:sz w:val="28"/>
          <w:szCs w:val="28"/>
        </w:rPr>
        <w:t>THE</w:t>
      </w:r>
      <w:r w:rsidR="003F37BF" w:rsidRPr="005F7D35">
        <w:rPr>
          <w:rFonts w:ascii="Aptos" w:hAnsi="Aptos"/>
          <w:b/>
          <w:bCs/>
          <w:color w:val="34246B" w:themeColor="accent2"/>
          <w:sz w:val="28"/>
          <w:szCs w:val="28"/>
        </w:rPr>
        <w:t xml:space="preserve"> R</w:t>
      </w:r>
      <w:r w:rsidR="001352DB" w:rsidRPr="005F7D35">
        <w:rPr>
          <w:rFonts w:ascii="Aptos" w:hAnsi="Aptos"/>
          <w:b/>
          <w:bCs/>
          <w:color w:val="34246B" w:themeColor="accent2"/>
          <w:sz w:val="28"/>
          <w:szCs w:val="28"/>
        </w:rPr>
        <w:t xml:space="preserve">ISK AND </w:t>
      </w:r>
      <w:r w:rsidR="003F37BF" w:rsidRPr="005F7D35">
        <w:rPr>
          <w:rFonts w:ascii="Aptos" w:hAnsi="Aptos"/>
          <w:b/>
          <w:bCs/>
          <w:color w:val="34246B" w:themeColor="accent2"/>
          <w:sz w:val="28"/>
          <w:szCs w:val="28"/>
        </w:rPr>
        <w:t>C</w:t>
      </w:r>
      <w:r w:rsidR="001352DB" w:rsidRPr="005F7D35">
        <w:rPr>
          <w:rFonts w:ascii="Aptos" w:hAnsi="Aptos"/>
          <w:b/>
          <w:bCs/>
          <w:color w:val="34246B" w:themeColor="accent2"/>
          <w:sz w:val="28"/>
          <w:szCs w:val="28"/>
        </w:rPr>
        <w:t xml:space="preserve">ONTROL </w:t>
      </w:r>
      <w:r w:rsidR="003F37BF" w:rsidRPr="005F7D35">
        <w:rPr>
          <w:rFonts w:ascii="Aptos" w:hAnsi="Aptos"/>
          <w:b/>
          <w:bCs/>
          <w:color w:val="34246B" w:themeColor="accent2"/>
          <w:sz w:val="28"/>
          <w:szCs w:val="28"/>
        </w:rPr>
        <w:t>M</w:t>
      </w:r>
      <w:r w:rsidR="001352DB" w:rsidRPr="005F7D35">
        <w:rPr>
          <w:rFonts w:ascii="Aptos" w:hAnsi="Aptos"/>
          <w:b/>
          <w:bCs/>
          <w:color w:val="34246B" w:themeColor="accent2"/>
          <w:sz w:val="28"/>
          <w:szCs w:val="28"/>
        </w:rPr>
        <w:t>ATRIX</w:t>
      </w:r>
      <w:bookmarkEnd w:id="50"/>
      <w:r w:rsidR="00A34560" w:rsidRPr="005F7D35">
        <w:rPr>
          <w:rFonts w:ascii="Aptos" w:hAnsi="Aptos"/>
          <w:b/>
          <w:bCs/>
          <w:color w:val="34246B" w:themeColor="accent2"/>
          <w:sz w:val="28"/>
          <w:szCs w:val="28"/>
        </w:rPr>
        <w:t xml:space="preserve"> </w:t>
      </w:r>
    </w:p>
    <w:p w14:paraId="6B9929B6" w14:textId="77777777" w:rsidR="00652698" w:rsidRPr="005F7D35" w:rsidRDefault="00652698" w:rsidP="007F0EC5">
      <w:pPr>
        <w:spacing w:line="269" w:lineRule="auto"/>
        <w:jc w:val="both"/>
        <w:rPr>
          <w:rFonts w:ascii="Aptos" w:hAnsi="Aptos"/>
          <w:color w:val="auto"/>
          <w:sz w:val="20"/>
          <w:szCs w:val="20"/>
        </w:rPr>
      </w:pPr>
    </w:p>
    <w:p w14:paraId="15944960" w14:textId="77777777" w:rsidR="00C15E2A" w:rsidRPr="005F7D35" w:rsidRDefault="003F37BF" w:rsidP="00C15E2A">
      <w:pPr>
        <w:jc w:val="both"/>
        <w:rPr>
          <w:rFonts w:ascii="Aptos" w:hAnsi="Aptos"/>
          <w:color w:val="auto"/>
          <w:sz w:val="20"/>
          <w:szCs w:val="20"/>
        </w:rPr>
      </w:pPr>
      <w:r w:rsidRPr="005F7D35">
        <w:rPr>
          <w:rFonts w:ascii="Aptos" w:hAnsi="Aptos"/>
          <w:color w:val="auto"/>
          <w:sz w:val="20"/>
          <w:szCs w:val="20"/>
        </w:rPr>
        <w:t xml:space="preserve">Once </w:t>
      </w:r>
      <w:r w:rsidR="00AB51FF" w:rsidRPr="005F7D35">
        <w:rPr>
          <w:rFonts w:ascii="Aptos" w:hAnsi="Aptos"/>
          <w:color w:val="auto"/>
          <w:sz w:val="20"/>
          <w:szCs w:val="20"/>
        </w:rPr>
        <w:t xml:space="preserve">you have determined your organization’s current AI </w:t>
      </w:r>
      <w:r w:rsidR="00E03C63">
        <w:rPr>
          <w:rFonts w:ascii="Aptos" w:hAnsi="Aptos"/>
          <w:color w:val="auto"/>
          <w:sz w:val="20"/>
          <w:szCs w:val="20"/>
        </w:rPr>
        <w:t>A</w:t>
      </w:r>
      <w:r w:rsidR="00AB51FF" w:rsidRPr="005F7D35">
        <w:rPr>
          <w:rFonts w:ascii="Aptos" w:hAnsi="Aptos"/>
          <w:color w:val="auto"/>
          <w:sz w:val="20"/>
          <w:szCs w:val="20"/>
        </w:rPr>
        <w:t>doption</w:t>
      </w:r>
      <w:r w:rsidR="007D3F8D" w:rsidRPr="005F7D35">
        <w:rPr>
          <w:rFonts w:ascii="Aptos" w:hAnsi="Aptos"/>
          <w:color w:val="auto"/>
          <w:sz w:val="20"/>
          <w:szCs w:val="20"/>
        </w:rPr>
        <w:t xml:space="preserve"> </w:t>
      </w:r>
      <w:r w:rsidR="00E03C63">
        <w:rPr>
          <w:rFonts w:ascii="Aptos" w:hAnsi="Aptos"/>
          <w:color w:val="auto"/>
          <w:sz w:val="20"/>
          <w:szCs w:val="20"/>
        </w:rPr>
        <w:t>S</w:t>
      </w:r>
      <w:r w:rsidR="001B632B">
        <w:rPr>
          <w:rFonts w:ascii="Aptos" w:hAnsi="Aptos"/>
          <w:color w:val="auto"/>
          <w:sz w:val="20"/>
          <w:szCs w:val="20"/>
        </w:rPr>
        <w:t>tage</w:t>
      </w:r>
      <w:r w:rsidR="007D3F8D" w:rsidRPr="005F7D35">
        <w:rPr>
          <w:rFonts w:ascii="Aptos" w:hAnsi="Aptos"/>
          <w:color w:val="auto"/>
          <w:sz w:val="20"/>
          <w:szCs w:val="20"/>
        </w:rPr>
        <w:t xml:space="preserve">, you can customize </w:t>
      </w:r>
      <w:r w:rsidR="00F37F81" w:rsidRPr="005F7D35">
        <w:rPr>
          <w:rFonts w:ascii="Aptos" w:hAnsi="Aptos"/>
          <w:color w:val="auto"/>
          <w:sz w:val="20"/>
          <w:szCs w:val="20"/>
        </w:rPr>
        <w:t>the</w:t>
      </w:r>
      <w:r w:rsidR="007D3F8D" w:rsidRPr="005F7D35">
        <w:rPr>
          <w:rFonts w:ascii="Aptos" w:hAnsi="Aptos"/>
          <w:color w:val="auto"/>
          <w:sz w:val="20"/>
          <w:szCs w:val="20"/>
        </w:rPr>
        <w:t xml:space="preserve"> view of the </w:t>
      </w:r>
      <w:r w:rsidR="001B632B">
        <w:rPr>
          <w:rFonts w:ascii="Aptos" w:hAnsi="Aptos"/>
          <w:color w:val="auto"/>
          <w:sz w:val="20"/>
          <w:szCs w:val="20"/>
        </w:rPr>
        <w:t>RCM</w:t>
      </w:r>
      <w:r w:rsidR="007D3F8D" w:rsidRPr="005F7D35">
        <w:rPr>
          <w:rFonts w:ascii="Aptos" w:hAnsi="Aptos"/>
          <w:color w:val="auto"/>
          <w:sz w:val="20"/>
          <w:szCs w:val="20"/>
        </w:rPr>
        <w:t xml:space="preserve"> by </w:t>
      </w:r>
      <w:r w:rsidR="00632DDC" w:rsidRPr="005F7D35">
        <w:rPr>
          <w:rFonts w:ascii="Aptos" w:hAnsi="Aptos"/>
          <w:color w:val="auto"/>
          <w:sz w:val="20"/>
          <w:szCs w:val="20"/>
        </w:rPr>
        <w:t xml:space="preserve">filtering only on your current and/or desired level of adoption. </w:t>
      </w:r>
      <w:r w:rsidR="00C15E2A" w:rsidRPr="005F7D35">
        <w:rPr>
          <w:rFonts w:ascii="Aptos" w:hAnsi="Aptos"/>
          <w:color w:val="auto"/>
          <w:sz w:val="20"/>
          <w:szCs w:val="20"/>
        </w:rPr>
        <w:t xml:space="preserve">Firms who are in the “Initial” stage, for example, will not need to review all the same Control Objectives as firms in the “Embedded” stage. This feature of the RCM makes it easy to prioritize what is most important and relevant for your organization. </w:t>
      </w:r>
    </w:p>
    <w:p w14:paraId="61E20571" w14:textId="77777777" w:rsidR="00C15E2A" w:rsidRDefault="00C15E2A" w:rsidP="008C20B0">
      <w:pPr>
        <w:jc w:val="both"/>
        <w:rPr>
          <w:rFonts w:ascii="Aptos" w:hAnsi="Aptos"/>
          <w:color w:val="auto"/>
          <w:sz w:val="20"/>
          <w:szCs w:val="20"/>
        </w:rPr>
      </w:pPr>
    </w:p>
    <w:p w14:paraId="10C59E12" w14:textId="56E14446" w:rsidR="0027348F" w:rsidRPr="005F7D35" w:rsidRDefault="00E6321A" w:rsidP="007F0EC5">
      <w:pPr>
        <w:pStyle w:val="Heading15"/>
        <w:spacing w:before="0" w:after="0" w:line="269" w:lineRule="auto"/>
        <w:jc w:val="both"/>
        <w:rPr>
          <w:rFonts w:ascii="Aptos" w:hAnsi="Aptos"/>
          <w:color w:val="B31E3E" w:themeColor="accent1"/>
          <w:sz w:val="24"/>
          <w:u w:val="single"/>
        </w:rPr>
      </w:pPr>
      <w:bookmarkStart w:id="51" w:name="_Toc221009661"/>
      <w:bookmarkEnd w:id="47"/>
      <w:bookmarkEnd w:id="48"/>
      <w:bookmarkEnd w:id="49"/>
      <w:r w:rsidRPr="005F7D35">
        <w:rPr>
          <w:rFonts w:ascii="Aptos" w:hAnsi="Aptos"/>
          <w:color w:val="B31E3E" w:themeColor="accent1"/>
          <w:sz w:val="24"/>
          <w:u w:val="single"/>
        </w:rPr>
        <w:t>Overview</w:t>
      </w:r>
      <w:bookmarkEnd w:id="51"/>
    </w:p>
    <w:p w14:paraId="27622BEE" w14:textId="77777777" w:rsidR="0026587D" w:rsidRPr="005F7D35" w:rsidRDefault="0026587D" w:rsidP="005F7D35">
      <w:pPr>
        <w:jc w:val="both"/>
        <w:rPr>
          <w:sz w:val="20"/>
          <w:szCs w:val="20"/>
        </w:rPr>
      </w:pPr>
    </w:p>
    <w:p w14:paraId="15CFBE43" w14:textId="0B9ACBC6" w:rsidR="001E6B13" w:rsidRPr="005F7D35" w:rsidRDefault="001E6B13" w:rsidP="005F7D35">
      <w:pPr>
        <w:jc w:val="both"/>
        <w:rPr>
          <w:rFonts w:ascii="Aptos" w:hAnsi="Aptos"/>
          <w:color w:val="auto"/>
          <w:sz w:val="20"/>
          <w:szCs w:val="20"/>
        </w:rPr>
      </w:pPr>
      <w:r w:rsidRPr="005F7D35">
        <w:rPr>
          <w:rFonts w:ascii="Aptos" w:hAnsi="Aptos"/>
          <w:b/>
          <w:bCs/>
          <w:color w:val="auto"/>
          <w:sz w:val="20"/>
          <w:szCs w:val="20"/>
        </w:rPr>
        <w:t xml:space="preserve">Structure: </w:t>
      </w:r>
      <w:r w:rsidR="00EE1823" w:rsidRPr="005F7D35">
        <w:rPr>
          <w:rFonts w:ascii="Aptos" w:hAnsi="Aptos"/>
          <w:color w:val="auto"/>
          <w:sz w:val="20"/>
          <w:szCs w:val="20"/>
        </w:rPr>
        <w:t xml:space="preserve">The FS AI RMF, like the NIST AI RMF, includes four overarching Functions for evaluating an organization’s AI risk management </w:t>
      </w:r>
      <w:r w:rsidR="006F432F" w:rsidRPr="005F7D35">
        <w:rPr>
          <w:rFonts w:ascii="Aptos" w:hAnsi="Aptos"/>
          <w:color w:val="auto"/>
          <w:sz w:val="20"/>
          <w:szCs w:val="20"/>
        </w:rPr>
        <w:t>program</w:t>
      </w:r>
      <w:r w:rsidR="0076743B" w:rsidRPr="005F7D35">
        <w:rPr>
          <w:rFonts w:ascii="Aptos" w:hAnsi="Aptos"/>
          <w:color w:val="auto"/>
          <w:sz w:val="20"/>
          <w:szCs w:val="20"/>
        </w:rPr>
        <w:t xml:space="preserve">: (1) Govern; (2) Map; (3) Measure; and (4) Manage. </w:t>
      </w:r>
      <w:r w:rsidR="00D9607C" w:rsidRPr="005F7D35">
        <w:rPr>
          <w:rFonts w:ascii="Aptos" w:hAnsi="Aptos"/>
          <w:color w:val="auto"/>
          <w:sz w:val="20"/>
          <w:szCs w:val="20"/>
        </w:rPr>
        <w:t>Each of these Functions is sub-divided into specific concept Categories and Subcategories</w:t>
      </w:r>
      <w:r w:rsidR="00D3211B" w:rsidRPr="005F7D35">
        <w:rPr>
          <w:rFonts w:ascii="Aptos" w:hAnsi="Aptos"/>
          <w:color w:val="auto"/>
          <w:sz w:val="20"/>
          <w:szCs w:val="20"/>
        </w:rPr>
        <w:t xml:space="preserve">, which are designed to reflect an element of an effective AI Framework. </w:t>
      </w:r>
    </w:p>
    <w:p w14:paraId="178AF050" w14:textId="77777777" w:rsidR="001E6B13" w:rsidRPr="005F7D35" w:rsidRDefault="001E6B13" w:rsidP="005F7D35">
      <w:pPr>
        <w:jc w:val="both"/>
        <w:rPr>
          <w:rFonts w:ascii="Aptos" w:hAnsi="Aptos"/>
          <w:color w:val="auto"/>
          <w:sz w:val="20"/>
          <w:szCs w:val="20"/>
        </w:rPr>
      </w:pPr>
    </w:p>
    <w:p w14:paraId="1241396A" w14:textId="40A6EFE9" w:rsidR="00C54F05" w:rsidRDefault="001E6B13" w:rsidP="005F7D35">
      <w:pPr>
        <w:jc w:val="both"/>
        <w:rPr>
          <w:rFonts w:ascii="Aptos" w:hAnsi="Aptos"/>
          <w:color w:val="auto"/>
          <w:sz w:val="20"/>
          <w:szCs w:val="20"/>
        </w:rPr>
      </w:pPr>
      <w:r w:rsidRPr="005F7D35">
        <w:rPr>
          <w:rFonts w:ascii="Aptos" w:hAnsi="Aptos"/>
          <w:b/>
          <w:bCs/>
          <w:color w:val="auto"/>
          <w:sz w:val="20"/>
          <w:szCs w:val="20"/>
        </w:rPr>
        <w:t>Control Objectives</w:t>
      </w:r>
      <w:r w:rsidRPr="005F7D35">
        <w:rPr>
          <w:rFonts w:ascii="Aptos" w:hAnsi="Aptos"/>
          <w:color w:val="auto"/>
          <w:sz w:val="20"/>
          <w:szCs w:val="20"/>
        </w:rPr>
        <w:t xml:space="preserve">: </w:t>
      </w:r>
      <w:r w:rsidR="00FC5635" w:rsidRPr="005F7D35">
        <w:rPr>
          <w:rFonts w:ascii="Aptos" w:hAnsi="Aptos"/>
          <w:color w:val="auto"/>
          <w:sz w:val="20"/>
          <w:szCs w:val="20"/>
        </w:rPr>
        <w:t xml:space="preserve">Each Subcategory is associated with at least one Control Objective. </w:t>
      </w:r>
      <w:r w:rsidR="00F2285F" w:rsidRPr="005F7D35">
        <w:rPr>
          <w:rFonts w:ascii="Aptos" w:hAnsi="Aptos"/>
          <w:color w:val="auto"/>
          <w:sz w:val="20"/>
          <w:szCs w:val="20"/>
        </w:rPr>
        <w:t xml:space="preserve">A list of all </w:t>
      </w:r>
      <w:r w:rsidR="00AB7343" w:rsidRPr="005F7D35">
        <w:rPr>
          <w:rFonts w:ascii="Aptos" w:hAnsi="Aptos"/>
          <w:color w:val="auto"/>
          <w:sz w:val="20"/>
          <w:szCs w:val="20"/>
        </w:rPr>
        <w:t>230</w:t>
      </w:r>
      <w:r w:rsidR="00F2285F" w:rsidRPr="005F7D35">
        <w:rPr>
          <w:rFonts w:ascii="Aptos" w:hAnsi="Aptos"/>
          <w:color w:val="auto"/>
          <w:sz w:val="20"/>
          <w:szCs w:val="20"/>
        </w:rPr>
        <w:t xml:space="preserve"> Control Objective</w:t>
      </w:r>
      <w:r w:rsidR="00010B81" w:rsidRPr="005F7D35">
        <w:rPr>
          <w:rFonts w:ascii="Aptos" w:hAnsi="Aptos"/>
          <w:color w:val="auto"/>
          <w:sz w:val="20"/>
          <w:szCs w:val="20"/>
        </w:rPr>
        <w:t xml:space="preserve"> Names and Descriptions </w:t>
      </w:r>
      <w:r w:rsidR="00F2285F" w:rsidRPr="005F7D35">
        <w:rPr>
          <w:rFonts w:ascii="Aptos" w:hAnsi="Aptos"/>
          <w:color w:val="auto"/>
          <w:sz w:val="20"/>
          <w:szCs w:val="20"/>
        </w:rPr>
        <w:t xml:space="preserve">can be found </w:t>
      </w:r>
      <w:r w:rsidR="00B029BB" w:rsidRPr="005F7D35">
        <w:rPr>
          <w:rFonts w:ascii="Aptos" w:hAnsi="Aptos"/>
          <w:color w:val="auto"/>
          <w:sz w:val="20"/>
          <w:szCs w:val="20"/>
        </w:rPr>
        <w:t xml:space="preserve">in </w:t>
      </w:r>
      <w:r w:rsidR="00257189">
        <w:rPr>
          <w:rFonts w:ascii="Aptos" w:hAnsi="Aptos"/>
          <w:color w:val="auto"/>
          <w:sz w:val="20"/>
          <w:szCs w:val="20"/>
        </w:rPr>
        <w:t xml:space="preserve">the tab marked “View </w:t>
      </w:r>
      <w:r w:rsidR="00AA693F">
        <w:rPr>
          <w:rFonts w:ascii="Aptos" w:hAnsi="Aptos"/>
          <w:color w:val="auto"/>
          <w:sz w:val="20"/>
          <w:szCs w:val="20"/>
        </w:rPr>
        <w:t>1</w:t>
      </w:r>
      <w:r w:rsidR="00257189">
        <w:rPr>
          <w:rFonts w:ascii="Aptos" w:hAnsi="Aptos"/>
          <w:color w:val="auto"/>
          <w:sz w:val="20"/>
          <w:szCs w:val="20"/>
        </w:rPr>
        <w:t>” in the RCM workbook</w:t>
      </w:r>
      <w:r w:rsidR="007B3F7E">
        <w:rPr>
          <w:rFonts w:ascii="Aptos" w:hAnsi="Aptos"/>
          <w:color w:val="auto"/>
          <w:sz w:val="20"/>
          <w:szCs w:val="20"/>
        </w:rPr>
        <w:t xml:space="preserve"> and in the “</w:t>
      </w:r>
      <w:r w:rsidR="00790114">
        <w:rPr>
          <w:rFonts w:ascii="Aptos" w:hAnsi="Aptos"/>
          <w:color w:val="auto"/>
          <w:sz w:val="20"/>
          <w:szCs w:val="20"/>
        </w:rPr>
        <w:t>Risk and Control Matrix Details</w:t>
      </w:r>
      <w:r w:rsidR="007B3F7E">
        <w:rPr>
          <w:rFonts w:ascii="Aptos" w:hAnsi="Aptos"/>
          <w:color w:val="auto"/>
          <w:sz w:val="20"/>
          <w:szCs w:val="20"/>
        </w:rPr>
        <w:t>”</w:t>
      </w:r>
      <w:r w:rsidR="00790114">
        <w:rPr>
          <w:rFonts w:ascii="Aptos" w:hAnsi="Aptos"/>
          <w:color w:val="auto"/>
          <w:sz w:val="20"/>
          <w:szCs w:val="20"/>
        </w:rPr>
        <w:t xml:space="preserve"> </w:t>
      </w:r>
      <w:r w:rsidR="007B3F7E">
        <w:rPr>
          <w:rFonts w:ascii="Aptos" w:hAnsi="Aptos"/>
          <w:color w:val="auto"/>
          <w:sz w:val="20"/>
          <w:szCs w:val="20"/>
        </w:rPr>
        <w:t>section beginning at the bottom of this page</w:t>
      </w:r>
      <w:r w:rsidR="000849DC" w:rsidRPr="005F7D35">
        <w:rPr>
          <w:rFonts w:ascii="Aptos" w:hAnsi="Aptos"/>
          <w:color w:val="auto"/>
          <w:sz w:val="20"/>
          <w:szCs w:val="20"/>
        </w:rPr>
        <w:t xml:space="preserve">. </w:t>
      </w:r>
      <w:r w:rsidR="004F2CA7" w:rsidRPr="005F7D35">
        <w:rPr>
          <w:rFonts w:ascii="Aptos" w:hAnsi="Aptos"/>
          <w:color w:val="auto"/>
          <w:sz w:val="20"/>
          <w:szCs w:val="20"/>
        </w:rPr>
        <w:t>Overall:</w:t>
      </w:r>
    </w:p>
    <w:p w14:paraId="03EACEBB" w14:textId="77777777" w:rsidR="005F7D35" w:rsidRPr="005F7D35" w:rsidRDefault="005F7D35" w:rsidP="005F7D35">
      <w:pPr>
        <w:jc w:val="both"/>
        <w:rPr>
          <w:rFonts w:ascii="Aptos" w:hAnsi="Aptos"/>
          <w:color w:val="auto"/>
          <w:sz w:val="20"/>
          <w:szCs w:val="20"/>
        </w:rPr>
      </w:pPr>
    </w:p>
    <w:p w14:paraId="33407CF2" w14:textId="67D957E4" w:rsidR="00C54F05" w:rsidRPr="005F7D35" w:rsidRDefault="00C54F05" w:rsidP="005F7D35">
      <w:pPr>
        <w:pStyle w:val="ListParagraph"/>
        <w:numPr>
          <w:ilvl w:val="0"/>
          <w:numId w:val="7"/>
        </w:numPr>
        <w:spacing w:after="0" w:line="240" w:lineRule="auto"/>
        <w:contextualSpacing w:val="0"/>
        <w:jc w:val="both"/>
        <w:rPr>
          <w:rFonts w:ascii="Aptos" w:hAnsi="Aptos"/>
          <w:sz w:val="20"/>
          <w:szCs w:val="20"/>
        </w:rPr>
      </w:pPr>
      <w:r w:rsidRPr="005F7D35">
        <w:rPr>
          <w:rFonts w:ascii="Aptos" w:hAnsi="Aptos"/>
          <w:b/>
          <w:bCs/>
          <w:sz w:val="20"/>
          <w:szCs w:val="20"/>
        </w:rPr>
        <w:t>Govern</w:t>
      </w:r>
      <w:r w:rsidRPr="005F7D35">
        <w:rPr>
          <w:rFonts w:ascii="Aptos" w:hAnsi="Aptos"/>
          <w:sz w:val="20"/>
          <w:szCs w:val="20"/>
        </w:rPr>
        <w:t xml:space="preserve"> includes </w:t>
      </w:r>
      <w:r w:rsidR="00137D9E" w:rsidRPr="005F7D35">
        <w:rPr>
          <w:rFonts w:ascii="Aptos" w:hAnsi="Aptos"/>
          <w:sz w:val="20"/>
          <w:szCs w:val="20"/>
        </w:rPr>
        <w:t>8</w:t>
      </w:r>
      <w:r w:rsidR="00424AB7" w:rsidRPr="005F7D35">
        <w:rPr>
          <w:rFonts w:ascii="Aptos" w:hAnsi="Aptos"/>
          <w:sz w:val="20"/>
          <w:szCs w:val="20"/>
        </w:rPr>
        <w:t>1</w:t>
      </w:r>
      <w:r w:rsidRPr="005F7D35">
        <w:rPr>
          <w:rFonts w:ascii="Aptos" w:hAnsi="Aptos"/>
          <w:sz w:val="20"/>
          <w:szCs w:val="20"/>
        </w:rPr>
        <w:t xml:space="preserve"> Control Objectives</w:t>
      </w:r>
      <w:r w:rsidR="00066AE0" w:rsidRPr="005F7D35">
        <w:rPr>
          <w:rFonts w:ascii="Aptos" w:hAnsi="Aptos"/>
          <w:sz w:val="20"/>
          <w:szCs w:val="20"/>
        </w:rPr>
        <w:t>;</w:t>
      </w:r>
      <w:r w:rsidRPr="005F7D35">
        <w:rPr>
          <w:rFonts w:ascii="Aptos" w:hAnsi="Aptos"/>
          <w:sz w:val="20"/>
          <w:szCs w:val="20"/>
        </w:rPr>
        <w:t xml:space="preserve"> </w:t>
      </w:r>
    </w:p>
    <w:p w14:paraId="4C061E97" w14:textId="6719A682" w:rsidR="00C54F05" w:rsidRPr="005F7D35" w:rsidRDefault="00C54F05" w:rsidP="005F7D35">
      <w:pPr>
        <w:pStyle w:val="ListParagraph"/>
        <w:numPr>
          <w:ilvl w:val="0"/>
          <w:numId w:val="7"/>
        </w:numPr>
        <w:spacing w:after="0" w:line="240" w:lineRule="auto"/>
        <w:contextualSpacing w:val="0"/>
        <w:jc w:val="both"/>
        <w:rPr>
          <w:rFonts w:ascii="Aptos" w:hAnsi="Aptos"/>
          <w:sz w:val="20"/>
          <w:szCs w:val="20"/>
        </w:rPr>
      </w:pPr>
      <w:r w:rsidRPr="005F7D35">
        <w:rPr>
          <w:rFonts w:ascii="Aptos" w:hAnsi="Aptos"/>
          <w:b/>
          <w:bCs/>
          <w:sz w:val="20"/>
          <w:szCs w:val="20"/>
        </w:rPr>
        <w:t>Map</w:t>
      </w:r>
      <w:r w:rsidRPr="005F7D35">
        <w:rPr>
          <w:rFonts w:ascii="Aptos" w:hAnsi="Aptos"/>
          <w:sz w:val="20"/>
          <w:szCs w:val="20"/>
        </w:rPr>
        <w:t xml:space="preserve"> includes </w:t>
      </w:r>
      <w:r w:rsidR="006858DF" w:rsidRPr="005F7D35">
        <w:rPr>
          <w:rFonts w:ascii="Aptos" w:hAnsi="Aptos"/>
          <w:sz w:val="20"/>
          <w:szCs w:val="20"/>
        </w:rPr>
        <w:t>4</w:t>
      </w:r>
      <w:r w:rsidR="00A12D58" w:rsidRPr="005F7D35">
        <w:rPr>
          <w:rFonts w:ascii="Aptos" w:hAnsi="Aptos"/>
          <w:sz w:val="20"/>
          <w:szCs w:val="20"/>
        </w:rPr>
        <w:t>7</w:t>
      </w:r>
      <w:r w:rsidRPr="005F7D35">
        <w:rPr>
          <w:rFonts w:ascii="Aptos" w:hAnsi="Aptos"/>
          <w:sz w:val="20"/>
          <w:szCs w:val="20"/>
        </w:rPr>
        <w:t xml:space="preserve"> Control Objectives</w:t>
      </w:r>
      <w:r w:rsidR="00066AE0" w:rsidRPr="005F7D35">
        <w:rPr>
          <w:rFonts w:ascii="Aptos" w:hAnsi="Aptos"/>
          <w:sz w:val="20"/>
          <w:szCs w:val="20"/>
        </w:rPr>
        <w:t>;</w:t>
      </w:r>
    </w:p>
    <w:p w14:paraId="21D0560F" w14:textId="1869DC4E" w:rsidR="00C54F05" w:rsidRPr="005F7D35" w:rsidRDefault="00C54F05" w:rsidP="005F7D35">
      <w:pPr>
        <w:pStyle w:val="ListParagraph"/>
        <w:numPr>
          <w:ilvl w:val="0"/>
          <w:numId w:val="7"/>
        </w:numPr>
        <w:spacing w:after="0" w:line="240" w:lineRule="auto"/>
        <w:contextualSpacing w:val="0"/>
        <w:jc w:val="both"/>
        <w:rPr>
          <w:rFonts w:ascii="Aptos" w:hAnsi="Aptos"/>
          <w:sz w:val="20"/>
          <w:szCs w:val="20"/>
        </w:rPr>
      </w:pPr>
      <w:r w:rsidRPr="005F7D35">
        <w:rPr>
          <w:rFonts w:ascii="Aptos" w:hAnsi="Aptos"/>
          <w:b/>
          <w:bCs/>
          <w:sz w:val="20"/>
          <w:szCs w:val="20"/>
        </w:rPr>
        <w:t>Measure</w:t>
      </w:r>
      <w:r w:rsidRPr="005F7D35">
        <w:rPr>
          <w:rFonts w:ascii="Aptos" w:hAnsi="Aptos"/>
          <w:sz w:val="20"/>
          <w:szCs w:val="20"/>
        </w:rPr>
        <w:t xml:space="preserve"> includes </w:t>
      </w:r>
      <w:r w:rsidR="00A12D58" w:rsidRPr="005F7D35">
        <w:rPr>
          <w:rFonts w:ascii="Aptos" w:hAnsi="Aptos"/>
          <w:sz w:val="20"/>
          <w:szCs w:val="20"/>
        </w:rPr>
        <w:t>59</w:t>
      </w:r>
      <w:r w:rsidRPr="005F7D35">
        <w:rPr>
          <w:rFonts w:ascii="Aptos" w:hAnsi="Aptos"/>
          <w:sz w:val="20"/>
          <w:szCs w:val="20"/>
        </w:rPr>
        <w:t xml:space="preserve"> Control Objectives</w:t>
      </w:r>
      <w:r w:rsidR="00066AE0" w:rsidRPr="005F7D35">
        <w:rPr>
          <w:rFonts w:ascii="Aptos" w:hAnsi="Aptos"/>
          <w:sz w:val="20"/>
          <w:szCs w:val="20"/>
        </w:rPr>
        <w:t>; and</w:t>
      </w:r>
    </w:p>
    <w:p w14:paraId="508230B3" w14:textId="49782C73" w:rsidR="00C54F05" w:rsidRPr="005F7D35" w:rsidRDefault="00C54F05" w:rsidP="005F7D35">
      <w:pPr>
        <w:pStyle w:val="ListParagraph"/>
        <w:numPr>
          <w:ilvl w:val="0"/>
          <w:numId w:val="7"/>
        </w:numPr>
        <w:spacing w:after="0" w:line="240" w:lineRule="auto"/>
        <w:contextualSpacing w:val="0"/>
        <w:jc w:val="both"/>
        <w:rPr>
          <w:rFonts w:ascii="Aptos" w:hAnsi="Aptos"/>
          <w:sz w:val="20"/>
          <w:szCs w:val="20"/>
        </w:rPr>
      </w:pPr>
      <w:r w:rsidRPr="005F7D35">
        <w:rPr>
          <w:rFonts w:ascii="Aptos" w:hAnsi="Aptos"/>
          <w:b/>
          <w:bCs/>
          <w:sz w:val="20"/>
          <w:szCs w:val="20"/>
        </w:rPr>
        <w:t>Manage</w:t>
      </w:r>
      <w:r w:rsidRPr="005F7D35">
        <w:rPr>
          <w:rFonts w:ascii="Aptos" w:hAnsi="Aptos"/>
          <w:sz w:val="20"/>
          <w:szCs w:val="20"/>
        </w:rPr>
        <w:t xml:space="preserve"> includes </w:t>
      </w:r>
      <w:r w:rsidR="00A12D58" w:rsidRPr="005F7D35">
        <w:rPr>
          <w:rFonts w:ascii="Aptos" w:hAnsi="Aptos"/>
          <w:sz w:val="20"/>
          <w:szCs w:val="20"/>
        </w:rPr>
        <w:t>43</w:t>
      </w:r>
      <w:r w:rsidRPr="005F7D35">
        <w:rPr>
          <w:rFonts w:ascii="Aptos" w:hAnsi="Aptos"/>
          <w:sz w:val="20"/>
          <w:szCs w:val="20"/>
        </w:rPr>
        <w:t xml:space="preserve"> Control Objectives</w:t>
      </w:r>
      <w:r w:rsidR="00066AE0" w:rsidRPr="005F7D35">
        <w:rPr>
          <w:rFonts w:ascii="Aptos" w:hAnsi="Aptos"/>
          <w:sz w:val="20"/>
          <w:szCs w:val="20"/>
        </w:rPr>
        <w:t>.</w:t>
      </w:r>
    </w:p>
    <w:p w14:paraId="43C76FFA" w14:textId="77777777" w:rsidR="00C54F05" w:rsidRPr="005F7D35" w:rsidRDefault="00C54F05" w:rsidP="005F7D35">
      <w:pPr>
        <w:jc w:val="both"/>
        <w:rPr>
          <w:rFonts w:ascii="Aptos" w:hAnsi="Aptos"/>
          <w:color w:val="auto"/>
          <w:sz w:val="20"/>
          <w:szCs w:val="20"/>
        </w:rPr>
      </w:pPr>
    </w:p>
    <w:p w14:paraId="084DCD5E" w14:textId="4293A3B5" w:rsidR="0027348F" w:rsidRDefault="00FF4CCB" w:rsidP="005F7D35">
      <w:pPr>
        <w:jc w:val="both"/>
        <w:rPr>
          <w:rFonts w:ascii="Aptos" w:hAnsi="Aptos"/>
          <w:color w:val="auto"/>
          <w:sz w:val="20"/>
          <w:szCs w:val="20"/>
        </w:rPr>
      </w:pPr>
      <w:r w:rsidRPr="005F7D35">
        <w:rPr>
          <w:rFonts w:ascii="Aptos" w:hAnsi="Aptos"/>
          <w:b/>
          <w:bCs/>
          <w:color w:val="auto"/>
          <w:sz w:val="20"/>
          <w:szCs w:val="20"/>
        </w:rPr>
        <w:t>Relevant</w:t>
      </w:r>
      <w:r w:rsidR="001E6B13" w:rsidRPr="005F7D35">
        <w:rPr>
          <w:rFonts w:ascii="Aptos" w:hAnsi="Aptos"/>
          <w:b/>
          <w:bCs/>
          <w:color w:val="auto"/>
          <w:sz w:val="20"/>
          <w:szCs w:val="20"/>
        </w:rPr>
        <w:t xml:space="preserve"> AI Adoption Stage</w:t>
      </w:r>
      <w:r w:rsidRPr="005F7D35">
        <w:rPr>
          <w:rFonts w:ascii="Aptos" w:hAnsi="Aptos"/>
          <w:b/>
          <w:bCs/>
          <w:color w:val="auto"/>
          <w:sz w:val="20"/>
          <w:szCs w:val="20"/>
        </w:rPr>
        <w:t>(s)</w:t>
      </w:r>
      <w:r w:rsidR="001E6B13" w:rsidRPr="005F7D35">
        <w:rPr>
          <w:rFonts w:ascii="Aptos" w:hAnsi="Aptos"/>
          <w:color w:val="auto"/>
          <w:sz w:val="20"/>
          <w:szCs w:val="20"/>
        </w:rPr>
        <w:t xml:space="preserve">: </w:t>
      </w:r>
      <w:r w:rsidR="00FC5635" w:rsidRPr="005F7D35">
        <w:rPr>
          <w:rFonts w:ascii="Aptos" w:hAnsi="Aptos"/>
          <w:color w:val="auto"/>
          <w:sz w:val="20"/>
          <w:szCs w:val="20"/>
        </w:rPr>
        <w:t xml:space="preserve">After completing the </w:t>
      </w:r>
      <w:r w:rsidR="00E3188B" w:rsidRPr="005F7D35">
        <w:rPr>
          <w:rFonts w:ascii="Aptos" w:hAnsi="Aptos"/>
          <w:color w:val="auto"/>
          <w:sz w:val="20"/>
          <w:szCs w:val="20"/>
        </w:rPr>
        <w:t>AI Adoption</w:t>
      </w:r>
      <w:r w:rsidR="00FC5635" w:rsidRPr="005F7D35">
        <w:rPr>
          <w:rFonts w:ascii="Aptos" w:hAnsi="Aptos"/>
          <w:color w:val="auto"/>
          <w:sz w:val="20"/>
          <w:szCs w:val="20"/>
        </w:rPr>
        <w:t xml:space="preserve"> Questionnaire in </w:t>
      </w:r>
      <w:r w:rsidR="007B3F7E">
        <w:rPr>
          <w:rFonts w:ascii="Aptos" w:hAnsi="Aptos"/>
          <w:color w:val="auto"/>
          <w:sz w:val="20"/>
          <w:szCs w:val="20"/>
        </w:rPr>
        <w:t>Section</w:t>
      </w:r>
      <w:r w:rsidR="00FC5635" w:rsidRPr="005F7D35">
        <w:rPr>
          <w:rFonts w:ascii="Aptos" w:hAnsi="Aptos"/>
          <w:color w:val="auto"/>
          <w:sz w:val="20"/>
          <w:szCs w:val="20"/>
        </w:rPr>
        <w:t xml:space="preserve"> 1, you </w:t>
      </w:r>
      <w:r w:rsidR="0034614D" w:rsidRPr="005F7D35">
        <w:rPr>
          <w:rFonts w:ascii="Aptos" w:hAnsi="Aptos"/>
          <w:color w:val="auto"/>
          <w:sz w:val="20"/>
          <w:szCs w:val="20"/>
        </w:rPr>
        <w:t xml:space="preserve">can focus on the Control Objectives corresponding to your AI </w:t>
      </w:r>
      <w:r w:rsidR="00A46962" w:rsidRPr="005F7D35">
        <w:rPr>
          <w:rFonts w:ascii="Aptos" w:hAnsi="Aptos"/>
          <w:color w:val="auto"/>
          <w:sz w:val="20"/>
          <w:szCs w:val="20"/>
        </w:rPr>
        <w:t>A</w:t>
      </w:r>
      <w:r w:rsidR="0034614D" w:rsidRPr="005F7D35">
        <w:rPr>
          <w:rFonts w:ascii="Aptos" w:hAnsi="Aptos"/>
          <w:color w:val="auto"/>
          <w:sz w:val="20"/>
          <w:szCs w:val="20"/>
        </w:rPr>
        <w:t xml:space="preserve">doption </w:t>
      </w:r>
      <w:r w:rsidR="00A46962" w:rsidRPr="005F7D35">
        <w:rPr>
          <w:rFonts w:ascii="Aptos" w:hAnsi="Aptos"/>
          <w:color w:val="auto"/>
          <w:sz w:val="20"/>
          <w:szCs w:val="20"/>
        </w:rPr>
        <w:t>S</w:t>
      </w:r>
      <w:r w:rsidR="0034614D" w:rsidRPr="005F7D35">
        <w:rPr>
          <w:rFonts w:ascii="Aptos" w:hAnsi="Aptos"/>
          <w:color w:val="auto"/>
          <w:sz w:val="20"/>
          <w:szCs w:val="20"/>
        </w:rPr>
        <w:t xml:space="preserve">tage. </w:t>
      </w:r>
      <w:r w:rsidR="00C838E4" w:rsidRPr="005F7D35">
        <w:rPr>
          <w:rFonts w:ascii="Aptos" w:hAnsi="Aptos"/>
          <w:color w:val="auto"/>
          <w:sz w:val="20"/>
          <w:szCs w:val="20"/>
        </w:rPr>
        <w:t xml:space="preserve">A list of </w:t>
      </w:r>
      <w:r w:rsidR="00E05FEC" w:rsidRPr="005F7D35">
        <w:rPr>
          <w:rFonts w:ascii="Aptos" w:hAnsi="Aptos"/>
          <w:color w:val="auto"/>
          <w:sz w:val="20"/>
          <w:szCs w:val="20"/>
        </w:rPr>
        <w:t>all Control Objectives by Adoption Stage</w:t>
      </w:r>
      <w:r w:rsidR="005734B3" w:rsidRPr="005F7D35">
        <w:rPr>
          <w:rFonts w:ascii="Aptos" w:hAnsi="Aptos"/>
          <w:color w:val="auto"/>
          <w:sz w:val="20"/>
          <w:szCs w:val="20"/>
        </w:rPr>
        <w:t>, along with a</w:t>
      </w:r>
      <w:r w:rsidR="006F432F" w:rsidRPr="005F7D35">
        <w:rPr>
          <w:rFonts w:ascii="Aptos" w:hAnsi="Aptos"/>
          <w:color w:val="auto"/>
          <w:sz w:val="20"/>
          <w:szCs w:val="20"/>
        </w:rPr>
        <w:t xml:space="preserve"> justification for </w:t>
      </w:r>
      <w:r w:rsidR="004E7CA6" w:rsidRPr="005F7D35">
        <w:rPr>
          <w:rFonts w:ascii="Aptos" w:hAnsi="Aptos"/>
          <w:color w:val="auto"/>
          <w:sz w:val="20"/>
          <w:szCs w:val="20"/>
        </w:rPr>
        <w:t xml:space="preserve">the applicability of each </w:t>
      </w:r>
      <w:r w:rsidR="00A1736E" w:rsidRPr="005F7D35">
        <w:rPr>
          <w:rFonts w:ascii="Aptos" w:hAnsi="Aptos"/>
          <w:color w:val="auto"/>
          <w:sz w:val="20"/>
          <w:szCs w:val="20"/>
        </w:rPr>
        <w:t xml:space="preserve">Control Objective to its corresponding AI </w:t>
      </w:r>
      <w:r w:rsidR="00A46962" w:rsidRPr="005F7D35">
        <w:rPr>
          <w:rFonts w:ascii="Aptos" w:hAnsi="Aptos"/>
          <w:color w:val="auto"/>
          <w:sz w:val="20"/>
          <w:szCs w:val="20"/>
        </w:rPr>
        <w:t>A</w:t>
      </w:r>
      <w:r w:rsidR="00A1736E" w:rsidRPr="005F7D35">
        <w:rPr>
          <w:rFonts w:ascii="Aptos" w:hAnsi="Aptos"/>
          <w:color w:val="auto"/>
          <w:sz w:val="20"/>
          <w:szCs w:val="20"/>
        </w:rPr>
        <w:t xml:space="preserve">doption </w:t>
      </w:r>
      <w:r w:rsidR="00A46962" w:rsidRPr="005F7D35">
        <w:rPr>
          <w:rFonts w:ascii="Aptos" w:hAnsi="Aptos"/>
          <w:color w:val="auto"/>
          <w:sz w:val="20"/>
          <w:szCs w:val="20"/>
        </w:rPr>
        <w:t>S</w:t>
      </w:r>
      <w:r w:rsidR="00A1736E" w:rsidRPr="005F7D35">
        <w:rPr>
          <w:rFonts w:ascii="Aptos" w:hAnsi="Aptos"/>
          <w:color w:val="auto"/>
          <w:sz w:val="20"/>
          <w:szCs w:val="20"/>
        </w:rPr>
        <w:t>tage(s)</w:t>
      </w:r>
      <w:r w:rsidR="005734B3" w:rsidRPr="005F7D35">
        <w:rPr>
          <w:rFonts w:ascii="Aptos" w:hAnsi="Aptos"/>
          <w:color w:val="auto"/>
          <w:sz w:val="20"/>
          <w:szCs w:val="20"/>
        </w:rPr>
        <w:t>,</w:t>
      </w:r>
      <w:r w:rsidR="00A1736E" w:rsidRPr="005F7D35">
        <w:rPr>
          <w:rFonts w:ascii="Aptos" w:hAnsi="Aptos"/>
          <w:color w:val="auto"/>
          <w:sz w:val="20"/>
          <w:szCs w:val="20"/>
        </w:rPr>
        <w:t xml:space="preserve"> is also included</w:t>
      </w:r>
      <w:r w:rsidR="005734B3" w:rsidRPr="005F7D35">
        <w:rPr>
          <w:rFonts w:ascii="Aptos" w:hAnsi="Aptos"/>
          <w:color w:val="auto"/>
          <w:sz w:val="20"/>
          <w:szCs w:val="20"/>
        </w:rPr>
        <w:t xml:space="preserve"> </w:t>
      </w:r>
      <w:r w:rsidR="00D24C0C" w:rsidRPr="005F7D35">
        <w:rPr>
          <w:rFonts w:ascii="Aptos" w:hAnsi="Aptos"/>
          <w:color w:val="auto"/>
          <w:sz w:val="20"/>
          <w:szCs w:val="20"/>
        </w:rPr>
        <w:t xml:space="preserve">in </w:t>
      </w:r>
      <w:r w:rsidR="008637FC">
        <w:rPr>
          <w:rFonts w:ascii="Aptos" w:hAnsi="Aptos"/>
          <w:color w:val="auto"/>
          <w:sz w:val="20"/>
          <w:szCs w:val="20"/>
        </w:rPr>
        <w:t>the “View 1” tab</w:t>
      </w:r>
      <w:r w:rsidR="005734B3" w:rsidRPr="005F7D35">
        <w:rPr>
          <w:rFonts w:ascii="Aptos" w:hAnsi="Aptos"/>
          <w:color w:val="auto"/>
          <w:sz w:val="20"/>
          <w:szCs w:val="20"/>
        </w:rPr>
        <w:t xml:space="preserve"> of the RCM </w:t>
      </w:r>
      <w:r w:rsidR="008637FC">
        <w:rPr>
          <w:rFonts w:ascii="Aptos" w:hAnsi="Aptos"/>
          <w:color w:val="auto"/>
          <w:sz w:val="20"/>
          <w:szCs w:val="20"/>
        </w:rPr>
        <w:t xml:space="preserve">workbook </w:t>
      </w:r>
      <w:r w:rsidR="005734B3" w:rsidRPr="005F7D35">
        <w:rPr>
          <w:rFonts w:ascii="Aptos" w:hAnsi="Aptos"/>
          <w:color w:val="auto"/>
          <w:sz w:val="20"/>
          <w:szCs w:val="20"/>
        </w:rPr>
        <w:t xml:space="preserve">and in </w:t>
      </w:r>
      <w:r w:rsidR="008637FC">
        <w:rPr>
          <w:rFonts w:ascii="Aptos" w:hAnsi="Aptos"/>
          <w:color w:val="auto"/>
          <w:sz w:val="20"/>
          <w:szCs w:val="20"/>
        </w:rPr>
        <w:t>the “Risk and Control Matrix Details</w:t>
      </w:r>
      <w:r w:rsidR="00F71F4D">
        <w:rPr>
          <w:rFonts w:ascii="Aptos" w:hAnsi="Aptos"/>
          <w:color w:val="auto"/>
          <w:sz w:val="20"/>
          <w:szCs w:val="20"/>
        </w:rPr>
        <w:t>” section</w:t>
      </w:r>
      <w:r w:rsidR="005734B3" w:rsidRPr="005F7D35">
        <w:rPr>
          <w:rFonts w:ascii="Aptos" w:hAnsi="Aptos"/>
          <w:color w:val="auto"/>
          <w:sz w:val="20"/>
          <w:szCs w:val="20"/>
        </w:rPr>
        <w:t xml:space="preserve"> below. </w:t>
      </w:r>
    </w:p>
    <w:p w14:paraId="217A258F" w14:textId="77777777" w:rsidR="005F7D35" w:rsidRPr="005F7D35" w:rsidRDefault="005F7D35" w:rsidP="005F7D35">
      <w:pPr>
        <w:jc w:val="both"/>
        <w:rPr>
          <w:rFonts w:ascii="Aptos" w:hAnsi="Aptos"/>
          <w:color w:val="auto"/>
          <w:sz w:val="20"/>
          <w:szCs w:val="20"/>
        </w:rPr>
      </w:pPr>
    </w:p>
    <w:p w14:paraId="3C4226E2" w14:textId="0FE34826" w:rsidR="0063563A" w:rsidRPr="005F7D35" w:rsidRDefault="0063563A" w:rsidP="005F7D35">
      <w:pPr>
        <w:pStyle w:val="ListParagraph"/>
        <w:numPr>
          <w:ilvl w:val="0"/>
          <w:numId w:val="10"/>
        </w:numPr>
        <w:spacing w:after="0" w:line="240" w:lineRule="auto"/>
        <w:contextualSpacing w:val="0"/>
        <w:jc w:val="both"/>
        <w:rPr>
          <w:rFonts w:ascii="Aptos" w:hAnsi="Aptos"/>
          <w:sz w:val="20"/>
          <w:szCs w:val="20"/>
        </w:rPr>
      </w:pPr>
      <w:r w:rsidRPr="005F7D35">
        <w:rPr>
          <w:rFonts w:ascii="Aptos" w:hAnsi="Aptos"/>
          <w:b/>
          <w:bCs/>
          <w:sz w:val="20"/>
          <w:szCs w:val="20"/>
        </w:rPr>
        <w:t>Stage 1</w:t>
      </w:r>
      <w:r w:rsidRPr="005F7D35">
        <w:rPr>
          <w:rFonts w:ascii="Aptos" w:hAnsi="Aptos"/>
          <w:sz w:val="20"/>
          <w:szCs w:val="20"/>
        </w:rPr>
        <w:t xml:space="preserve">: Initial </w:t>
      </w:r>
      <w:r w:rsidR="007B4B14" w:rsidRPr="005F7D35">
        <w:rPr>
          <w:rFonts w:ascii="Aptos" w:hAnsi="Aptos"/>
          <w:sz w:val="20"/>
          <w:szCs w:val="20"/>
        </w:rPr>
        <w:t xml:space="preserve">includes </w:t>
      </w:r>
      <w:r w:rsidR="00C8195E" w:rsidRPr="005F7D35">
        <w:rPr>
          <w:rFonts w:ascii="Aptos" w:hAnsi="Aptos"/>
          <w:sz w:val="20"/>
          <w:szCs w:val="20"/>
        </w:rPr>
        <w:t>2</w:t>
      </w:r>
      <w:r w:rsidR="008B54C5" w:rsidRPr="005F7D35">
        <w:rPr>
          <w:rFonts w:ascii="Aptos" w:hAnsi="Aptos"/>
          <w:sz w:val="20"/>
          <w:szCs w:val="20"/>
        </w:rPr>
        <w:t>1</w:t>
      </w:r>
      <w:r w:rsidR="007B4B14" w:rsidRPr="005F7D35">
        <w:rPr>
          <w:rFonts w:ascii="Aptos" w:hAnsi="Aptos"/>
          <w:sz w:val="20"/>
          <w:szCs w:val="20"/>
        </w:rPr>
        <w:t xml:space="preserve"> Control Objectives</w:t>
      </w:r>
      <w:r w:rsidR="00A818BF" w:rsidRPr="005F7D35">
        <w:rPr>
          <w:rFonts w:ascii="Aptos" w:hAnsi="Aptos"/>
          <w:sz w:val="20"/>
          <w:szCs w:val="20"/>
        </w:rPr>
        <w:t>;</w:t>
      </w:r>
      <w:r w:rsidRPr="005F7D35">
        <w:rPr>
          <w:rFonts w:ascii="Aptos" w:hAnsi="Aptos"/>
          <w:sz w:val="20"/>
          <w:szCs w:val="20"/>
        </w:rPr>
        <w:t xml:space="preserve"> </w:t>
      </w:r>
    </w:p>
    <w:p w14:paraId="50DA7C33" w14:textId="21BB3A88" w:rsidR="0063563A" w:rsidRPr="005F7D35" w:rsidRDefault="0063563A" w:rsidP="005F7D35">
      <w:pPr>
        <w:pStyle w:val="ListParagraph"/>
        <w:numPr>
          <w:ilvl w:val="0"/>
          <w:numId w:val="10"/>
        </w:numPr>
        <w:spacing w:after="0" w:line="240" w:lineRule="auto"/>
        <w:contextualSpacing w:val="0"/>
        <w:jc w:val="both"/>
        <w:rPr>
          <w:rFonts w:ascii="Aptos" w:hAnsi="Aptos"/>
          <w:sz w:val="20"/>
          <w:szCs w:val="20"/>
        </w:rPr>
      </w:pPr>
      <w:r w:rsidRPr="005F7D35">
        <w:rPr>
          <w:rFonts w:ascii="Aptos" w:hAnsi="Aptos"/>
          <w:b/>
          <w:bCs/>
          <w:sz w:val="20"/>
          <w:szCs w:val="20"/>
        </w:rPr>
        <w:t>Stage 2</w:t>
      </w:r>
      <w:r w:rsidRPr="005F7D35">
        <w:rPr>
          <w:rFonts w:ascii="Aptos" w:hAnsi="Aptos"/>
          <w:sz w:val="20"/>
          <w:szCs w:val="20"/>
        </w:rPr>
        <w:t>: Minimal</w:t>
      </w:r>
      <w:r w:rsidR="00A818BF" w:rsidRPr="005F7D35">
        <w:rPr>
          <w:rFonts w:ascii="Aptos" w:hAnsi="Aptos"/>
          <w:sz w:val="20"/>
          <w:szCs w:val="20"/>
        </w:rPr>
        <w:t xml:space="preserve"> </w:t>
      </w:r>
      <w:r w:rsidR="00010B81" w:rsidRPr="005F7D35">
        <w:rPr>
          <w:rFonts w:ascii="Aptos" w:hAnsi="Aptos"/>
          <w:sz w:val="20"/>
          <w:szCs w:val="20"/>
        </w:rPr>
        <w:t>i</w:t>
      </w:r>
      <w:r w:rsidR="007B4B14" w:rsidRPr="005F7D35">
        <w:rPr>
          <w:rFonts w:ascii="Aptos" w:hAnsi="Aptos"/>
          <w:sz w:val="20"/>
          <w:szCs w:val="20"/>
        </w:rPr>
        <w:t xml:space="preserve">ncludes </w:t>
      </w:r>
      <w:r w:rsidR="00944BDE" w:rsidRPr="005F7D35">
        <w:rPr>
          <w:rFonts w:ascii="Aptos" w:hAnsi="Aptos"/>
          <w:sz w:val="20"/>
          <w:szCs w:val="20"/>
        </w:rPr>
        <w:t>126</w:t>
      </w:r>
      <w:r w:rsidR="007B4B14" w:rsidRPr="005F7D35">
        <w:rPr>
          <w:rFonts w:ascii="Aptos" w:hAnsi="Aptos"/>
          <w:sz w:val="20"/>
          <w:szCs w:val="20"/>
        </w:rPr>
        <w:t xml:space="preserve"> Control Objectives</w:t>
      </w:r>
      <w:r w:rsidR="00A818BF" w:rsidRPr="005F7D35">
        <w:rPr>
          <w:rFonts w:ascii="Aptos" w:hAnsi="Aptos"/>
          <w:sz w:val="20"/>
          <w:szCs w:val="20"/>
        </w:rPr>
        <w:t>;</w:t>
      </w:r>
    </w:p>
    <w:p w14:paraId="68DB9108" w14:textId="356CC5FF" w:rsidR="0063563A" w:rsidRPr="005F7D35" w:rsidRDefault="0063563A" w:rsidP="005F7D35">
      <w:pPr>
        <w:pStyle w:val="ListParagraph"/>
        <w:numPr>
          <w:ilvl w:val="0"/>
          <w:numId w:val="10"/>
        </w:numPr>
        <w:spacing w:after="0" w:line="240" w:lineRule="auto"/>
        <w:contextualSpacing w:val="0"/>
        <w:jc w:val="both"/>
        <w:rPr>
          <w:rFonts w:ascii="Aptos" w:hAnsi="Aptos"/>
          <w:sz w:val="20"/>
          <w:szCs w:val="20"/>
        </w:rPr>
      </w:pPr>
      <w:r w:rsidRPr="005F7D35">
        <w:rPr>
          <w:rFonts w:ascii="Aptos" w:hAnsi="Aptos"/>
          <w:b/>
          <w:bCs/>
          <w:sz w:val="20"/>
          <w:szCs w:val="20"/>
        </w:rPr>
        <w:t>Stage 3</w:t>
      </w:r>
      <w:r w:rsidRPr="005F7D35">
        <w:rPr>
          <w:rFonts w:ascii="Aptos" w:hAnsi="Aptos"/>
          <w:sz w:val="20"/>
          <w:szCs w:val="20"/>
        </w:rPr>
        <w:t xml:space="preserve">: Evolving </w:t>
      </w:r>
      <w:r w:rsidR="007B4B14" w:rsidRPr="005F7D35">
        <w:rPr>
          <w:rFonts w:ascii="Aptos" w:hAnsi="Aptos"/>
          <w:sz w:val="20"/>
          <w:szCs w:val="20"/>
        </w:rPr>
        <w:t xml:space="preserve">includes </w:t>
      </w:r>
      <w:r w:rsidR="00944BDE" w:rsidRPr="005F7D35">
        <w:rPr>
          <w:rFonts w:ascii="Aptos" w:hAnsi="Aptos"/>
          <w:sz w:val="20"/>
          <w:szCs w:val="20"/>
        </w:rPr>
        <w:t>193</w:t>
      </w:r>
      <w:r w:rsidR="007B4B14" w:rsidRPr="005F7D35">
        <w:rPr>
          <w:rFonts w:ascii="Aptos" w:hAnsi="Aptos"/>
          <w:sz w:val="20"/>
          <w:szCs w:val="20"/>
        </w:rPr>
        <w:t xml:space="preserve"> Control Objectives</w:t>
      </w:r>
      <w:r w:rsidR="00A818BF" w:rsidRPr="005F7D35">
        <w:rPr>
          <w:rFonts w:ascii="Aptos" w:hAnsi="Aptos"/>
          <w:sz w:val="20"/>
          <w:szCs w:val="20"/>
        </w:rPr>
        <w:t>; and</w:t>
      </w:r>
    </w:p>
    <w:p w14:paraId="4A57DE4F" w14:textId="2A38F7DD" w:rsidR="007B4B14" w:rsidRPr="005F7D35" w:rsidRDefault="0063563A" w:rsidP="005F7D35">
      <w:pPr>
        <w:pStyle w:val="ListParagraph"/>
        <w:numPr>
          <w:ilvl w:val="0"/>
          <w:numId w:val="10"/>
        </w:numPr>
        <w:spacing w:after="0" w:line="240" w:lineRule="auto"/>
        <w:contextualSpacing w:val="0"/>
        <w:jc w:val="both"/>
        <w:rPr>
          <w:rFonts w:ascii="Aptos" w:hAnsi="Aptos"/>
          <w:sz w:val="20"/>
          <w:szCs w:val="20"/>
        </w:rPr>
      </w:pPr>
      <w:r w:rsidRPr="005F7D35">
        <w:rPr>
          <w:rFonts w:ascii="Aptos" w:hAnsi="Aptos"/>
          <w:b/>
          <w:bCs/>
          <w:sz w:val="20"/>
          <w:szCs w:val="20"/>
        </w:rPr>
        <w:t>Stage 4</w:t>
      </w:r>
      <w:r w:rsidRPr="005F7D35">
        <w:rPr>
          <w:rFonts w:ascii="Aptos" w:hAnsi="Aptos"/>
          <w:sz w:val="20"/>
          <w:szCs w:val="20"/>
        </w:rPr>
        <w:t xml:space="preserve">: Embedded </w:t>
      </w:r>
      <w:r w:rsidR="007B4B14" w:rsidRPr="005F7D35">
        <w:rPr>
          <w:rFonts w:ascii="Aptos" w:hAnsi="Aptos"/>
          <w:sz w:val="20"/>
          <w:szCs w:val="20"/>
        </w:rPr>
        <w:t>includes</w:t>
      </w:r>
      <w:r w:rsidR="00F37F81" w:rsidRPr="005F7D35">
        <w:rPr>
          <w:rFonts w:ascii="Aptos" w:hAnsi="Aptos"/>
          <w:sz w:val="20"/>
          <w:szCs w:val="20"/>
        </w:rPr>
        <w:t xml:space="preserve"> all</w:t>
      </w:r>
      <w:r w:rsidR="007B4B14" w:rsidRPr="005F7D35">
        <w:rPr>
          <w:rFonts w:ascii="Aptos" w:hAnsi="Aptos"/>
          <w:sz w:val="20"/>
          <w:szCs w:val="20"/>
        </w:rPr>
        <w:t xml:space="preserve"> </w:t>
      </w:r>
      <w:r w:rsidR="00944BDE" w:rsidRPr="005F7D35">
        <w:rPr>
          <w:rFonts w:ascii="Aptos" w:hAnsi="Aptos"/>
          <w:sz w:val="20"/>
          <w:szCs w:val="20"/>
        </w:rPr>
        <w:t>230</w:t>
      </w:r>
      <w:r w:rsidR="007B4B14" w:rsidRPr="005F7D35">
        <w:rPr>
          <w:rFonts w:ascii="Aptos" w:hAnsi="Aptos"/>
          <w:sz w:val="20"/>
          <w:szCs w:val="20"/>
        </w:rPr>
        <w:t xml:space="preserve"> Control Objectives</w:t>
      </w:r>
      <w:r w:rsidR="00A818BF" w:rsidRPr="005F7D35">
        <w:rPr>
          <w:rFonts w:ascii="Aptos" w:hAnsi="Aptos"/>
          <w:sz w:val="20"/>
          <w:szCs w:val="20"/>
        </w:rPr>
        <w:t>.</w:t>
      </w:r>
    </w:p>
    <w:p w14:paraId="30BF76ED" w14:textId="77777777" w:rsidR="007B4B14" w:rsidRPr="005F7D35" w:rsidRDefault="007B4B14" w:rsidP="005F7D35">
      <w:pPr>
        <w:jc w:val="both"/>
        <w:rPr>
          <w:rFonts w:ascii="Aptos" w:hAnsi="Aptos"/>
          <w:sz w:val="20"/>
          <w:szCs w:val="20"/>
        </w:rPr>
      </w:pPr>
    </w:p>
    <w:p w14:paraId="62BC14EC" w14:textId="6DA9C5E9" w:rsidR="0026122E" w:rsidRDefault="0026122E" w:rsidP="0026122E">
      <w:pPr>
        <w:jc w:val="both"/>
        <w:rPr>
          <w:rFonts w:ascii="Aptos" w:hAnsi="Aptos"/>
          <w:color w:val="auto"/>
          <w:sz w:val="20"/>
          <w:szCs w:val="20"/>
        </w:rPr>
      </w:pPr>
      <w:r w:rsidRPr="005F7D35">
        <w:rPr>
          <w:rFonts w:ascii="Aptos" w:hAnsi="Aptos"/>
          <w:b/>
          <w:bCs/>
          <w:color w:val="auto"/>
          <w:sz w:val="20"/>
          <w:szCs w:val="20"/>
        </w:rPr>
        <w:t>Corresponding Risk Names, Risk Statements, and AI Trustworthy Principles</w:t>
      </w:r>
      <w:r w:rsidRPr="005F7D35">
        <w:rPr>
          <w:rFonts w:ascii="Aptos" w:hAnsi="Aptos"/>
          <w:color w:val="auto"/>
          <w:sz w:val="20"/>
          <w:szCs w:val="20"/>
        </w:rPr>
        <w:t xml:space="preserve">: </w:t>
      </w:r>
      <w:r w:rsidRPr="00D50317">
        <w:rPr>
          <w:rFonts w:ascii="Aptos" w:hAnsi="Aptos"/>
          <w:color w:val="auto"/>
          <w:sz w:val="20"/>
          <w:szCs w:val="20"/>
        </w:rPr>
        <w:t>In addition to the Control Objectives and Adoption Stage information, the "View 2-</w:t>
      </w:r>
      <w:r>
        <w:rPr>
          <w:rFonts w:ascii="Aptos" w:hAnsi="Aptos"/>
          <w:color w:val="auto"/>
          <w:sz w:val="20"/>
          <w:szCs w:val="20"/>
        </w:rPr>
        <w:t>Full RCM</w:t>
      </w:r>
      <w:r w:rsidRPr="00D50317">
        <w:rPr>
          <w:rFonts w:ascii="Aptos" w:hAnsi="Aptos"/>
          <w:color w:val="auto"/>
          <w:sz w:val="20"/>
          <w:szCs w:val="20"/>
        </w:rPr>
        <w:t xml:space="preserve">" tab </w:t>
      </w:r>
      <w:r>
        <w:rPr>
          <w:rFonts w:ascii="Aptos" w:hAnsi="Aptos"/>
          <w:color w:val="auto"/>
          <w:sz w:val="20"/>
          <w:szCs w:val="20"/>
        </w:rPr>
        <w:t xml:space="preserve">of the RCM workbook </w:t>
      </w:r>
      <w:r w:rsidRPr="00D50317">
        <w:rPr>
          <w:rFonts w:ascii="Aptos" w:hAnsi="Aptos"/>
          <w:color w:val="auto"/>
          <w:sz w:val="20"/>
          <w:szCs w:val="20"/>
        </w:rPr>
        <w:t>also contains other important information. Each Control Objective has a corresponding Risk Name and Risk Statement and is aligned to a primary AI Trustworthy Principle. Practical Implementation Guidance is also provided</w:t>
      </w:r>
    </w:p>
    <w:p w14:paraId="647B84DD" w14:textId="77777777" w:rsidR="0026122E" w:rsidRDefault="0026122E" w:rsidP="0026122E">
      <w:pPr>
        <w:jc w:val="both"/>
        <w:rPr>
          <w:rFonts w:ascii="Aptos" w:hAnsi="Aptos"/>
          <w:color w:val="auto"/>
          <w:sz w:val="20"/>
          <w:szCs w:val="20"/>
        </w:rPr>
      </w:pPr>
    </w:p>
    <w:p w14:paraId="71A4F809" w14:textId="77777777" w:rsidR="0026122E" w:rsidRPr="005F7D35" w:rsidRDefault="0026122E" w:rsidP="0026122E">
      <w:pPr>
        <w:jc w:val="both"/>
        <w:rPr>
          <w:rFonts w:ascii="Aptos" w:hAnsi="Aptos"/>
          <w:color w:val="auto"/>
          <w:sz w:val="20"/>
          <w:szCs w:val="20"/>
        </w:rPr>
      </w:pPr>
      <w:r w:rsidRPr="007F5B2D">
        <w:rPr>
          <w:rFonts w:ascii="Aptos" w:hAnsi="Aptos"/>
          <w:b/>
          <w:bCs/>
          <w:color w:val="auto"/>
          <w:sz w:val="20"/>
          <w:szCs w:val="20"/>
        </w:rPr>
        <w:t>Sample Controls and Examples of Effective Evidence</w:t>
      </w:r>
      <w:r w:rsidRPr="007F5B2D">
        <w:rPr>
          <w:rFonts w:ascii="Aptos" w:hAnsi="Aptos"/>
          <w:color w:val="auto"/>
          <w:sz w:val="20"/>
          <w:szCs w:val="20"/>
        </w:rPr>
        <w:t>: Five examples of possible Controls and 4 examples of Effective Evidence per Control have been documented for each Control Objective. This information is illustrative only</w:t>
      </w:r>
      <w:r>
        <w:rPr>
          <w:rFonts w:ascii="Aptos" w:hAnsi="Aptos"/>
          <w:color w:val="auto"/>
          <w:sz w:val="20"/>
          <w:szCs w:val="20"/>
        </w:rPr>
        <w:t xml:space="preserve"> </w:t>
      </w:r>
      <w:r w:rsidRPr="007F5B2D">
        <w:rPr>
          <w:rFonts w:ascii="Aptos" w:hAnsi="Aptos"/>
          <w:color w:val="auto"/>
          <w:sz w:val="20"/>
          <w:szCs w:val="20"/>
        </w:rPr>
        <w:t xml:space="preserve">and will vary from organization to organization. Examples of Controls and Effective Evidence can be found in the tab marked "View 3-Ex. Ctrls &amp; Evidence" </w:t>
      </w:r>
      <w:r>
        <w:rPr>
          <w:rFonts w:ascii="Aptos" w:hAnsi="Aptos"/>
          <w:color w:val="auto"/>
          <w:sz w:val="20"/>
          <w:szCs w:val="20"/>
        </w:rPr>
        <w:t xml:space="preserve">of the RCM </w:t>
      </w:r>
      <w:r w:rsidRPr="007F5B2D">
        <w:rPr>
          <w:rFonts w:ascii="Aptos" w:hAnsi="Aptos"/>
          <w:color w:val="auto"/>
          <w:sz w:val="20"/>
          <w:szCs w:val="20"/>
        </w:rPr>
        <w:t>and in the Control Objective Reference Guide.</w:t>
      </w:r>
    </w:p>
    <w:p w14:paraId="7C79A3A6" w14:textId="77777777" w:rsidR="007F0EC5" w:rsidRPr="005F7D35" w:rsidRDefault="007F0EC5" w:rsidP="005F7D35">
      <w:pPr>
        <w:jc w:val="both"/>
        <w:rPr>
          <w:rFonts w:ascii="Aptos" w:hAnsi="Aptos"/>
          <w:color w:val="auto"/>
          <w:sz w:val="20"/>
          <w:szCs w:val="20"/>
        </w:rPr>
      </w:pPr>
    </w:p>
    <w:p w14:paraId="274BD0BC" w14:textId="77777777" w:rsidR="00707753" w:rsidRDefault="00707753">
      <w:pPr>
        <w:rPr>
          <w:rFonts w:ascii="Aptos" w:hAnsi="Aptos"/>
          <w:b/>
          <w:color w:val="B31E3E" w:themeColor="accent1"/>
          <w:sz w:val="24"/>
          <w:u w:val="single"/>
        </w:rPr>
      </w:pPr>
      <w:r>
        <w:rPr>
          <w:rFonts w:ascii="Aptos" w:hAnsi="Aptos"/>
          <w:color w:val="B31E3E" w:themeColor="accent1"/>
          <w:sz w:val="24"/>
          <w:u w:val="single"/>
        </w:rPr>
        <w:br w:type="page"/>
      </w:r>
    </w:p>
    <w:p w14:paraId="2E93B2B7" w14:textId="00146A84" w:rsidR="008E7103" w:rsidRPr="005F7D35" w:rsidRDefault="00017913" w:rsidP="007F0EC5">
      <w:pPr>
        <w:pStyle w:val="Heading15"/>
        <w:spacing w:before="0" w:after="0" w:line="269" w:lineRule="auto"/>
        <w:jc w:val="both"/>
        <w:rPr>
          <w:rFonts w:ascii="Aptos" w:hAnsi="Aptos"/>
          <w:color w:val="B31E3E" w:themeColor="accent1"/>
          <w:sz w:val="24"/>
          <w:u w:val="single"/>
        </w:rPr>
      </w:pPr>
      <w:bookmarkStart w:id="52" w:name="_Toc221009662"/>
      <w:r>
        <w:rPr>
          <w:rFonts w:ascii="Aptos" w:hAnsi="Aptos"/>
          <w:color w:val="B31E3E" w:themeColor="accent1"/>
          <w:sz w:val="24"/>
          <w:u w:val="single"/>
        </w:rPr>
        <w:lastRenderedPageBreak/>
        <w:t>Control Objective Names and Descriptions</w:t>
      </w:r>
      <w:bookmarkEnd w:id="52"/>
    </w:p>
    <w:p w14:paraId="7A2C1C02" w14:textId="77777777" w:rsidR="00DE15DB" w:rsidRPr="005F7D35" w:rsidRDefault="00DE15DB" w:rsidP="005F7D35">
      <w:pPr>
        <w:rPr>
          <w:sz w:val="20"/>
          <w:szCs w:val="20"/>
        </w:rPr>
      </w:pPr>
    </w:p>
    <w:p w14:paraId="45E45986" w14:textId="2FA0F41E" w:rsidR="00DE15DB" w:rsidRPr="005F7D35" w:rsidRDefault="00505BE8" w:rsidP="005F7D35">
      <w:pPr>
        <w:jc w:val="both"/>
        <w:rPr>
          <w:rFonts w:ascii="Aptos" w:hAnsi="Aptos"/>
          <w:color w:val="auto"/>
          <w:sz w:val="20"/>
          <w:szCs w:val="20"/>
        </w:rPr>
      </w:pPr>
      <w:r>
        <w:rPr>
          <w:rFonts w:ascii="Aptos" w:hAnsi="Aptos"/>
          <w:color w:val="auto"/>
          <w:sz w:val="20"/>
          <w:szCs w:val="20"/>
        </w:rPr>
        <w:t>Below is a list of the 230 Control Objectives described above. For additional detail</w:t>
      </w:r>
      <w:r w:rsidR="00456A22">
        <w:rPr>
          <w:rFonts w:ascii="Aptos" w:hAnsi="Aptos"/>
          <w:color w:val="auto"/>
          <w:sz w:val="20"/>
          <w:szCs w:val="20"/>
        </w:rPr>
        <w:t xml:space="preserve">s on each Control Objective, </w:t>
      </w:r>
      <w:r w:rsidR="00F21D85" w:rsidRPr="005F7D35">
        <w:rPr>
          <w:rFonts w:ascii="Aptos" w:hAnsi="Aptos"/>
          <w:color w:val="auto"/>
          <w:sz w:val="20"/>
          <w:szCs w:val="20"/>
        </w:rPr>
        <w:t>including its ID, Name, Description, Adoption Stage Applicability and Rationale, Implementation Guidance</w:t>
      </w:r>
      <w:r w:rsidR="00456A22">
        <w:rPr>
          <w:rFonts w:ascii="Aptos" w:hAnsi="Aptos"/>
          <w:color w:val="auto"/>
          <w:sz w:val="20"/>
          <w:szCs w:val="20"/>
        </w:rPr>
        <w:t xml:space="preserve">, sample Controls, and examples of Effective Evidence, please refer to the RCM workbook or the </w:t>
      </w:r>
      <w:r w:rsidR="0026122E">
        <w:rPr>
          <w:rFonts w:ascii="Aptos" w:hAnsi="Aptos"/>
          <w:color w:val="auto"/>
          <w:sz w:val="20"/>
          <w:szCs w:val="20"/>
        </w:rPr>
        <w:t>“</w:t>
      </w:r>
      <w:r w:rsidR="00456A22">
        <w:rPr>
          <w:rFonts w:ascii="Aptos" w:hAnsi="Aptos"/>
          <w:color w:val="auto"/>
          <w:sz w:val="20"/>
          <w:szCs w:val="20"/>
        </w:rPr>
        <w:t>Control Objective Reference Guide.</w:t>
      </w:r>
      <w:r w:rsidR="0026122E">
        <w:rPr>
          <w:rFonts w:ascii="Aptos" w:hAnsi="Aptos"/>
          <w:color w:val="auto"/>
          <w:sz w:val="20"/>
          <w:szCs w:val="20"/>
        </w:rPr>
        <w:t>”</w:t>
      </w:r>
    </w:p>
    <w:p w14:paraId="4711716F" w14:textId="77777777" w:rsidR="00DE15DB" w:rsidRPr="00DE15DB" w:rsidRDefault="00DE15DB" w:rsidP="00DE15DB"/>
    <w:tbl>
      <w:tblPr>
        <w:tblStyle w:val="TableGrid"/>
        <w:tblW w:w="0" w:type="auto"/>
        <w:tblLook w:val="04A0" w:firstRow="1" w:lastRow="0" w:firstColumn="1" w:lastColumn="0" w:noHBand="0" w:noVBand="1"/>
      </w:tblPr>
      <w:tblGrid>
        <w:gridCol w:w="864"/>
        <w:gridCol w:w="973"/>
        <w:gridCol w:w="8233"/>
      </w:tblGrid>
      <w:tr w:rsidR="009F7E78" w:rsidRPr="009F7E78" w14:paraId="4D50791C" w14:textId="77777777" w:rsidTr="001A0E7C">
        <w:trPr>
          <w:trHeight w:val="290"/>
        </w:trPr>
        <w:tc>
          <w:tcPr>
            <w:tcW w:w="1040" w:type="dxa"/>
            <w:shd w:val="clear" w:color="auto" w:fill="BFBFBF"/>
            <w:noWrap/>
            <w:hideMark/>
          </w:tcPr>
          <w:p w14:paraId="5AB0DD66"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Level</w:t>
            </w:r>
          </w:p>
        </w:tc>
        <w:tc>
          <w:tcPr>
            <w:tcW w:w="1180" w:type="dxa"/>
            <w:shd w:val="clear" w:color="auto" w:fill="BFBFBF"/>
            <w:noWrap/>
            <w:hideMark/>
          </w:tcPr>
          <w:p w14:paraId="4E2A8479"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FS AI RMF Id</w:t>
            </w:r>
          </w:p>
        </w:tc>
        <w:tc>
          <w:tcPr>
            <w:tcW w:w="10420" w:type="dxa"/>
            <w:shd w:val="clear" w:color="auto" w:fill="BFBFBF"/>
            <w:noWrap/>
            <w:hideMark/>
          </w:tcPr>
          <w:p w14:paraId="5028EE72"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FS AI RMF Control Objective</w:t>
            </w:r>
          </w:p>
        </w:tc>
      </w:tr>
      <w:tr w:rsidR="009F7E78" w:rsidRPr="009F7E78" w14:paraId="54D3108C" w14:textId="77777777" w:rsidTr="00F85994">
        <w:trPr>
          <w:trHeight w:val="290"/>
        </w:trPr>
        <w:tc>
          <w:tcPr>
            <w:tcW w:w="1040" w:type="dxa"/>
            <w:shd w:val="clear" w:color="auto" w:fill="00A2D4"/>
            <w:hideMark/>
          </w:tcPr>
          <w:p w14:paraId="2342FE04" w14:textId="77777777" w:rsidR="009F7E78" w:rsidRPr="00F85994" w:rsidRDefault="009F7E78" w:rsidP="009F7E78">
            <w:pPr>
              <w:rPr>
                <w:rFonts w:ascii="Aptos" w:eastAsia="Aptos" w:hAnsi="Aptos" w:cs="Times New Roman"/>
                <w:color w:val="FFFFFF" w:themeColor="background1"/>
                <w:kern w:val="2"/>
                <w:sz w:val="20"/>
                <w:szCs w:val="20"/>
                <w14:ligatures w14:val="standardContextual"/>
              </w:rPr>
            </w:pPr>
            <w:r w:rsidRPr="00F85994">
              <w:rPr>
                <w:rFonts w:ascii="Aptos" w:eastAsia="Aptos" w:hAnsi="Aptos" w:cs="Times New Roman"/>
                <w:color w:val="FFFFFF" w:themeColor="background1"/>
                <w:kern w:val="2"/>
                <w:sz w:val="20"/>
                <w:szCs w:val="20"/>
                <w14:ligatures w14:val="standardContextual"/>
              </w:rPr>
              <w:t>F</w:t>
            </w:r>
          </w:p>
        </w:tc>
        <w:tc>
          <w:tcPr>
            <w:tcW w:w="1180" w:type="dxa"/>
            <w:shd w:val="clear" w:color="auto" w:fill="00A2D4"/>
            <w:hideMark/>
          </w:tcPr>
          <w:p w14:paraId="5C17A6EF"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w:t>
            </w:r>
          </w:p>
        </w:tc>
        <w:tc>
          <w:tcPr>
            <w:tcW w:w="10420" w:type="dxa"/>
            <w:shd w:val="clear" w:color="auto" w:fill="00A2D4"/>
            <w:hideMark/>
          </w:tcPr>
          <w:p w14:paraId="126C039B"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GOVERN</w:t>
            </w:r>
          </w:p>
        </w:tc>
      </w:tr>
      <w:tr w:rsidR="009F7E78" w:rsidRPr="009F7E78" w14:paraId="2DCC2ABB" w14:textId="77777777" w:rsidTr="00F85994">
        <w:trPr>
          <w:trHeight w:val="870"/>
        </w:trPr>
        <w:tc>
          <w:tcPr>
            <w:tcW w:w="1040" w:type="dxa"/>
            <w:hideMark/>
          </w:tcPr>
          <w:p w14:paraId="402EB063"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w:t>
            </w:r>
          </w:p>
        </w:tc>
        <w:tc>
          <w:tcPr>
            <w:tcW w:w="1180" w:type="dxa"/>
            <w:shd w:val="clear" w:color="auto" w:fill="00A2D4"/>
            <w:hideMark/>
          </w:tcPr>
          <w:p w14:paraId="5A31A486"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GV-1</w:t>
            </w:r>
          </w:p>
        </w:tc>
        <w:tc>
          <w:tcPr>
            <w:tcW w:w="10420" w:type="dxa"/>
            <w:hideMark/>
          </w:tcPr>
          <w:p w14:paraId="3D818B5C"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Establishing Key Policies &amp; Processes:</w:t>
            </w:r>
            <w:r w:rsidRPr="009F7E78">
              <w:rPr>
                <w:rFonts w:ascii="Aptos" w:eastAsia="Aptos" w:hAnsi="Aptos" w:cs="Times New Roman"/>
                <w:color w:val="auto"/>
                <w:kern w:val="2"/>
                <w:sz w:val="20"/>
                <w:szCs w:val="20"/>
                <w14:ligatures w14:val="standardContextual"/>
              </w:rPr>
              <w:t xml:space="preserve"> Policies, processes, procedures, and practices across the organization related to the mapping, measuring, and managing of AI risks are in place, transparent, and implemented effectively.</w:t>
            </w:r>
          </w:p>
        </w:tc>
      </w:tr>
      <w:tr w:rsidR="009F7E78" w:rsidRPr="009F7E78" w14:paraId="44A44D18" w14:textId="77777777" w:rsidTr="00F85994">
        <w:trPr>
          <w:trHeight w:val="580"/>
        </w:trPr>
        <w:tc>
          <w:tcPr>
            <w:tcW w:w="1040" w:type="dxa"/>
            <w:hideMark/>
          </w:tcPr>
          <w:p w14:paraId="0C900767"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S</w:t>
            </w:r>
          </w:p>
        </w:tc>
        <w:tc>
          <w:tcPr>
            <w:tcW w:w="1180" w:type="dxa"/>
            <w:shd w:val="clear" w:color="auto" w:fill="00A2D4"/>
            <w:hideMark/>
          </w:tcPr>
          <w:p w14:paraId="0C78A821"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GV-1.1</w:t>
            </w:r>
          </w:p>
        </w:tc>
        <w:tc>
          <w:tcPr>
            <w:tcW w:w="10420" w:type="dxa"/>
            <w:hideMark/>
          </w:tcPr>
          <w:p w14:paraId="0BD6A5D3"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Legal and Regulatory Compliance:</w:t>
            </w:r>
            <w:r w:rsidRPr="009F7E78">
              <w:rPr>
                <w:rFonts w:ascii="Aptos" w:eastAsia="Aptos" w:hAnsi="Aptos" w:cs="Times New Roman"/>
                <w:color w:val="auto"/>
                <w:kern w:val="2"/>
                <w:sz w:val="20"/>
                <w:szCs w:val="20"/>
                <w14:ligatures w14:val="standardContextual"/>
              </w:rPr>
              <w:t xml:space="preserve"> Legal and regulatory requirements involving AI are understood, managed, and documented.</w:t>
            </w:r>
          </w:p>
        </w:tc>
      </w:tr>
      <w:tr w:rsidR="009F7E78" w:rsidRPr="009F7E78" w14:paraId="3FA70775" w14:textId="77777777" w:rsidTr="00F85994">
        <w:trPr>
          <w:trHeight w:val="1160"/>
        </w:trPr>
        <w:tc>
          <w:tcPr>
            <w:tcW w:w="1040" w:type="dxa"/>
            <w:hideMark/>
          </w:tcPr>
          <w:p w14:paraId="6E2E6975"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A2D4"/>
            <w:hideMark/>
          </w:tcPr>
          <w:p w14:paraId="0590A23F"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GV-1.1.1</w:t>
            </w:r>
          </w:p>
        </w:tc>
        <w:tc>
          <w:tcPr>
            <w:tcW w:w="10420" w:type="dxa"/>
            <w:hideMark/>
          </w:tcPr>
          <w:p w14:paraId="18ACFE5D"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 xml:space="preserve">AI Legal, Regulatory, and Policy Integration: </w:t>
            </w:r>
            <w:r w:rsidRPr="009F7E78">
              <w:rPr>
                <w:rFonts w:ascii="Aptos" w:eastAsia="Aptos" w:hAnsi="Aptos" w:cs="Times New Roman"/>
                <w:color w:val="auto"/>
                <w:kern w:val="2"/>
                <w:sz w:val="20"/>
                <w:szCs w:val="20"/>
                <w14:ligatures w14:val="standardContextual"/>
              </w:rPr>
              <w:t>The organization identifies, monitors, and integrates applicable laws, regulations, contractual obligations, and sector requirements into policies, procedures, and operations governing AI. This includes updating governance artifacts and aligning operational practices as requirements evolve.</w:t>
            </w:r>
          </w:p>
        </w:tc>
      </w:tr>
      <w:tr w:rsidR="009F7E78" w:rsidRPr="009F7E78" w14:paraId="4085BD2D" w14:textId="77777777" w:rsidTr="00F85994">
        <w:trPr>
          <w:trHeight w:val="870"/>
        </w:trPr>
        <w:tc>
          <w:tcPr>
            <w:tcW w:w="1040" w:type="dxa"/>
            <w:hideMark/>
          </w:tcPr>
          <w:p w14:paraId="05D5ECE6"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A2D4"/>
            <w:hideMark/>
          </w:tcPr>
          <w:p w14:paraId="7AEDDB6A"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GV-1.1.2</w:t>
            </w:r>
          </w:p>
        </w:tc>
        <w:tc>
          <w:tcPr>
            <w:tcW w:w="10420" w:type="dxa"/>
            <w:hideMark/>
          </w:tcPr>
          <w:p w14:paraId="120763A0"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AI Compliance Responsibilities Management:</w:t>
            </w:r>
            <w:r w:rsidRPr="009F7E78">
              <w:rPr>
                <w:rFonts w:ascii="Aptos" w:eastAsia="Aptos" w:hAnsi="Aptos" w:cs="Times New Roman"/>
                <w:color w:val="auto"/>
                <w:kern w:val="2"/>
                <w:sz w:val="20"/>
                <w:szCs w:val="20"/>
                <w14:ligatures w14:val="standardContextual"/>
              </w:rPr>
              <w:t xml:space="preserve"> The organization clearly assigns, documents, and regularly validates its compliance responsibilities for AI-related legal, regulatory, contractual requirements, and internal organizational AI policies.</w:t>
            </w:r>
          </w:p>
        </w:tc>
      </w:tr>
      <w:tr w:rsidR="009F7E78" w:rsidRPr="009F7E78" w14:paraId="60FD9774" w14:textId="77777777" w:rsidTr="00F85994">
        <w:trPr>
          <w:trHeight w:val="1740"/>
        </w:trPr>
        <w:tc>
          <w:tcPr>
            <w:tcW w:w="1040" w:type="dxa"/>
            <w:hideMark/>
          </w:tcPr>
          <w:p w14:paraId="65B74F32"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A2D4"/>
            <w:hideMark/>
          </w:tcPr>
          <w:p w14:paraId="446627ED"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GV-1.1.3</w:t>
            </w:r>
          </w:p>
        </w:tc>
        <w:tc>
          <w:tcPr>
            <w:tcW w:w="10420" w:type="dxa"/>
            <w:hideMark/>
          </w:tcPr>
          <w:p w14:paraId="1E16851E"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AI Compliance Validation Procedures:</w:t>
            </w:r>
            <w:r w:rsidRPr="009F7E78">
              <w:rPr>
                <w:rFonts w:ascii="Aptos" w:eastAsia="Aptos" w:hAnsi="Aptos" w:cs="Times New Roman"/>
                <w:color w:val="auto"/>
                <w:kern w:val="2"/>
                <w:sz w:val="20"/>
                <w:szCs w:val="20"/>
                <w14:ligatures w14:val="standardContextual"/>
              </w:rPr>
              <w:t xml:space="preserve"> The organization establishes and implements procedures to validate AI system compliance with applicable laws, regulations, and organizational policies that incorporate relevant industry standards and guidance. This includes routine audits, impact assessments, risk management activities, and documentation reviews at key stages of the AI lifecycle, with mechanisms to incorporate lessons learned and feedback into ongoing process improvements.</w:t>
            </w:r>
          </w:p>
        </w:tc>
      </w:tr>
      <w:tr w:rsidR="009F7E78" w:rsidRPr="009F7E78" w14:paraId="5B8C86E8" w14:textId="77777777" w:rsidTr="00F85994">
        <w:trPr>
          <w:trHeight w:val="1160"/>
        </w:trPr>
        <w:tc>
          <w:tcPr>
            <w:tcW w:w="1040" w:type="dxa"/>
            <w:hideMark/>
          </w:tcPr>
          <w:p w14:paraId="7BA828E2"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A2D4"/>
            <w:hideMark/>
          </w:tcPr>
          <w:p w14:paraId="7D356DF1"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GV-1.1.4</w:t>
            </w:r>
          </w:p>
        </w:tc>
        <w:tc>
          <w:tcPr>
            <w:tcW w:w="10420" w:type="dxa"/>
            <w:hideMark/>
          </w:tcPr>
          <w:p w14:paraId="05C7C2E5"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AI Compliance Documentation:</w:t>
            </w:r>
            <w:r w:rsidRPr="009F7E78">
              <w:rPr>
                <w:rFonts w:ascii="Aptos" w:eastAsia="Aptos" w:hAnsi="Aptos" w:cs="Times New Roman"/>
                <w:color w:val="auto"/>
                <w:kern w:val="2"/>
                <w:sz w:val="20"/>
                <w:szCs w:val="20"/>
                <w14:ligatures w14:val="standardContextual"/>
              </w:rPr>
              <w:t xml:space="preserve"> The organization maintains documentation to demonstrate how AI systems comply with applicable laws, regulations, and organizational policies. This documentation includes risk assessments, compliance reviews, audits, corrective actions, and other relevant information generated throughout the AI lifecycle.</w:t>
            </w:r>
          </w:p>
        </w:tc>
      </w:tr>
      <w:tr w:rsidR="009F7E78" w:rsidRPr="009F7E78" w14:paraId="70FB0FE4" w14:textId="77777777" w:rsidTr="00F85994">
        <w:trPr>
          <w:trHeight w:val="1450"/>
        </w:trPr>
        <w:tc>
          <w:tcPr>
            <w:tcW w:w="1040" w:type="dxa"/>
            <w:hideMark/>
          </w:tcPr>
          <w:p w14:paraId="39206991"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A2D4"/>
            <w:hideMark/>
          </w:tcPr>
          <w:p w14:paraId="2B7EC01C"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GV-1.1.5</w:t>
            </w:r>
          </w:p>
        </w:tc>
        <w:tc>
          <w:tcPr>
            <w:tcW w:w="10420" w:type="dxa"/>
            <w:hideMark/>
          </w:tcPr>
          <w:p w14:paraId="389CC33F"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Legal Feedback and Change Integration:</w:t>
            </w:r>
            <w:r w:rsidRPr="009F7E78">
              <w:rPr>
                <w:rFonts w:ascii="Aptos" w:eastAsia="Aptos" w:hAnsi="Aptos" w:cs="Times New Roman"/>
                <w:color w:val="auto"/>
                <w:kern w:val="2"/>
                <w:sz w:val="20"/>
                <w:szCs w:val="20"/>
                <w14:ligatures w14:val="standardContextual"/>
              </w:rPr>
              <w:t xml:space="preserve"> The organization establishes an ongoing improvement process with legal experts and relevant stakeholders to ensure that changes in laws and regulations are applied to the AI system, and that changes in the AI system are reviewed by legal for appropriate consideration and integration into risk management processes.</w:t>
            </w:r>
          </w:p>
        </w:tc>
      </w:tr>
      <w:tr w:rsidR="009F7E78" w:rsidRPr="009F7E78" w14:paraId="42A473BB" w14:textId="77777777" w:rsidTr="00F85994">
        <w:trPr>
          <w:trHeight w:val="1740"/>
        </w:trPr>
        <w:tc>
          <w:tcPr>
            <w:tcW w:w="1040" w:type="dxa"/>
            <w:hideMark/>
          </w:tcPr>
          <w:p w14:paraId="6A9D8D05"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A2D4"/>
            <w:hideMark/>
          </w:tcPr>
          <w:p w14:paraId="3937E7F0"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GV-1.1.6</w:t>
            </w:r>
          </w:p>
        </w:tc>
        <w:tc>
          <w:tcPr>
            <w:tcW w:w="10420" w:type="dxa"/>
            <w:hideMark/>
          </w:tcPr>
          <w:p w14:paraId="30C9A3FA"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Data Lifecycle and Retention:</w:t>
            </w:r>
            <w:r w:rsidRPr="009F7E78">
              <w:rPr>
                <w:rFonts w:ascii="Aptos" w:eastAsia="Aptos" w:hAnsi="Aptos" w:cs="Times New Roman"/>
                <w:color w:val="auto"/>
                <w:kern w:val="2"/>
                <w:sz w:val="20"/>
                <w:szCs w:val="20"/>
                <w14:ligatures w14:val="standardContextual"/>
              </w:rPr>
              <w:t xml:space="preserve"> The organization ensures that data retention policies, privacy requirements, and legal obligations governing data lifecycle management are integrated into its AI system lifecycle processes. It maintains records of data retention periods, manages data deletion or archiving in compliance with privacy norms, and verifies that training datasets adhere to these policies, especially when data subjects exercise their rights or when legal or privacy obligations change.</w:t>
            </w:r>
          </w:p>
        </w:tc>
      </w:tr>
      <w:tr w:rsidR="009F7E78" w:rsidRPr="009F7E78" w14:paraId="79BC4684" w14:textId="77777777" w:rsidTr="00F85994">
        <w:trPr>
          <w:trHeight w:val="580"/>
        </w:trPr>
        <w:tc>
          <w:tcPr>
            <w:tcW w:w="1040" w:type="dxa"/>
            <w:hideMark/>
          </w:tcPr>
          <w:p w14:paraId="39F89278"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lastRenderedPageBreak/>
              <w:t>S</w:t>
            </w:r>
          </w:p>
        </w:tc>
        <w:tc>
          <w:tcPr>
            <w:tcW w:w="1180" w:type="dxa"/>
            <w:shd w:val="clear" w:color="auto" w:fill="00A2D4"/>
            <w:hideMark/>
          </w:tcPr>
          <w:p w14:paraId="1017CEA7"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GV-1.2</w:t>
            </w:r>
          </w:p>
        </w:tc>
        <w:tc>
          <w:tcPr>
            <w:tcW w:w="10420" w:type="dxa"/>
            <w:hideMark/>
          </w:tcPr>
          <w:p w14:paraId="7C5F93F6"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Defining Trustworthy AI Policies:</w:t>
            </w:r>
            <w:r w:rsidRPr="009F7E78">
              <w:rPr>
                <w:rFonts w:ascii="Aptos" w:eastAsia="Aptos" w:hAnsi="Aptos" w:cs="Times New Roman"/>
                <w:color w:val="auto"/>
                <w:kern w:val="2"/>
                <w:sz w:val="20"/>
                <w:szCs w:val="20"/>
                <w14:ligatures w14:val="standardContextual"/>
              </w:rPr>
              <w:t xml:space="preserve"> The characteristics of trustworthy AI are integrated into organizational policies, processes, procedures, and practices.</w:t>
            </w:r>
          </w:p>
        </w:tc>
      </w:tr>
      <w:tr w:rsidR="009F7E78" w:rsidRPr="009F7E78" w14:paraId="6BC7A194" w14:textId="77777777" w:rsidTr="00F85994">
        <w:trPr>
          <w:trHeight w:val="870"/>
        </w:trPr>
        <w:tc>
          <w:tcPr>
            <w:tcW w:w="1040" w:type="dxa"/>
            <w:hideMark/>
          </w:tcPr>
          <w:p w14:paraId="46EA236C"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A2D4"/>
            <w:hideMark/>
          </w:tcPr>
          <w:p w14:paraId="1F5DCE9D"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GV-1.2.1</w:t>
            </w:r>
          </w:p>
        </w:tc>
        <w:tc>
          <w:tcPr>
            <w:tcW w:w="10420" w:type="dxa"/>
            <w:hideMark/>
          </w:tcPr>
          <w:p w14:paraId="6CCC117C"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AI Principles and Policy Integration:</w:t>
            </w:r>
            <w:r w:rsidRPr="009F7E78">
              <w:rPr>
                <w:rFonts w:ascii="Aptos" w:eastAsia="Aptos" w:hAnsi="Aptos" w:cs="Times New Roman"/>
                <w:color w:val="auto"/>
                <w:kern w:val="2"/>
                <w:sz w:val="20"/>
                <w:szCs w:val="20"/>
                <w14:ligatures w14:val="standardContextual"/>
              </w:rPr>
              <w:t xml:space="preserve"> The organization defines and documents its own AI Trustworthy Principles, which are then integrated into relevant policies, processes, and practices across key functions (e.g., HR, IT, legal, compliance).</w:t>
            </w:r>
          </w:p>
        </w:tc>
      </w:tr>
      <w:tr w:rsidR="009F7E78" w:rsidRPr="009F7E78" w14:paraId="0D35922A" w14:textId="77777777" w:rsidTr="00F85994">
        <w:trPr>
          <w:trHeight w:val="1450"/>
        </w:trPr>
        <w:tc>
          <w:tcPr>
            <w:tcW w:w="1040" w:type="dxa"/>
            <w:hideMark/>
          </w:tcPr>
          <w:p w14:paraId="648E9B62"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A2D4"/>
            <w:hideMark/>
          </w:tcPr>
          <w:p w14:paraId="4DEBD8BD"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GV-1.2.2</w:t>
            </w:r>
          </w:p>
        </w:tc>
        <w:tc>
          <w:tcPr>
            <w:tcW w:w="10420" w:type="dxa"/>
            <w:hideMark/>
          </w:tcPr>
          <w:p w14:paraId="6BE6B834"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AI Terminology and Scope Glossary:</w:t>
            </w:r>
            <w:r w:rsidRPr="009F7E78">
              <w:rPr>
                <w:rFonts w:ascii="Aptos" w:eastAsia="Aptos" w:hAnsi="Aptos" w:cs="Times New Roman"/>
                <w:color w:val="auto"/>
                <w:kern w:val="2"/>
                <w:sz w:val="20"/>
                <w:szCs w:val="20"/>
                <w14:ligatures w14:val="standardContextual"/>
              </w:rPr>
              <w:t xml:space="preserve"> The organization establishes, maintains, and periodically updates a glossary of AI-related terms and concepts and clearly defines the scope, purpose, and intended/acceptable uses of its AI systems. This information is referenced and reflected consistently across organizational policies, standards, other relevant documentation, and training programs.</w:t>
            </w:r>
          </w:p>
        </w:tc>
      </w:tr>
      <w:tr w:rsidR="009F7E78" w:rsidRPr="009F7E78" w14:paraId="560B4C1A" w14:textId="77777777" w:rsidTr="00F85994">
        <w:trPr>
          <w:trHeight w:val="2030"/>
        </w:trPr>
        <w:tc>
          <w:tcPr>
            <w:tcW w:w="1040" w:type="dxa"/>
            <w:hideMark/>
          </w:tcPr>
          <w:p w14:paraId="5B34FEB1"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A2D4"/>
            <w:hideMark/>
          </w:tcPr>
          <w:p w14:paraId="1B1BB74D"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GV-1.2.3</w:t>
            </w:r>
          </w:p>
        </w:tc>
        <w:tc>
          <w:tcPr>
            <w:tcW w:w="10420" w:type="dxa"/>
            <w:hideMark/>
          </w:tcPr>
          <w:p w14:paraId="1153C723"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AI Acceptable Use Policy:</w:t>
            </w:r>
            <w:r w:rsidRPr="009F7E78">
              <w:rPr>
                <w:rFonts w:ascii="Aptos" w:eastAsia="Aptos" w:hAnsi="Aptos" w:cs="Times New Roman"/>
                <w:color w:val="auto"/>
                <w:kern w:val="2"/>
                <w:sz w:val="20"/>
                <w:szCs w:val="20"/>
                <w14:ligatures w14:val="standardContextual"/>
              </w:rPr>
              <w:t xml:space="preserve"> The organization develops and maintains an enterprise-level Acceptable AI Use Policy that outlines the types of AI applications the organization is willing or unwilling to adopt based on its risk appetite and tolerance. This policy is communicated clearly across the organization and, where applicable, supplemented by individual acceptable use guidelines or standards for employees, third parties, and other relevant stakeholders. Periodic reviews ensure alignment with evolving risk considerations and organizational objectives.</w:t>
            </w:r>
          </w:p>
        </w:tc>
      </w:tr>
      <w:tr w:rsidR="009F7E78" w:rsidRPr="009F7E78" w14:paraId="62C76521" w14:textId="77777777" w:rsidTr="00F85994">
        <w:trPr>
          <w:trHeight w:val="1740"/>
        </w:trPr>
        <w:tc>
          <w:tcPr>
            <w:tcW w:w="1040" w:type="dxa"/>
            <w:hideMark/>
          </w:tcPr>
          <w:p w14:paraId="0A7358BE"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A2D4"/>
            <w:hideMark/>
          </w:tcPr>
          <w:p w14:paraId="06201598"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GV-1.2.4</w:t>
            </w:r>
          </w:p>
        </w:tc>
        <w:tc>
          <w:tcPr>
            <w:tcW w:w="10420" w:type="dxa"/>
            <w:hideMark/>
          </w:tcPr>
          <w:p w14:paraId="17E90DE9"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AI   Trustworthy Principles Training:</w:t>
            </w:r>
            <w:r w:rsidRPr="009F7E78">
              <w:rPr>
                <w:rFonts w:ascii="Aptos" w:eastAsia="Aptos" w:hAnsi="Aptos" w:cs="Times New Roman"/>
                <w:color w:val="auto"/>
                <w:kern w:val="2"/>
                <w:sz w:val="20"/>
                <w:szCs w:val="20"/>
                <w14:ligatures w14:val="standardContextual"/>
              </w:rPr>
              <w:t xml:space="preserve"> The organization regularly offers tailored training programs to educate relevant staff, including those involved in AI system design, development, deployment, and other related roles, on its AI Trustworthy Principles. These principles encompass legal and regulatory considerations as well as their connection to organizational values. The training programs are regularly reviewed and updated as needed to ensure alignment with organizational objectives and mission.</w:t>
            </w:r>
          </w:p>
        </w:tc>
      </w:tr>
      <w:tr w:rsidR="009F7E78" w:rsidRPr="009F7E78" w14:paraId="2BFD3A03" w14:textId="77777777" w:rsidTr="00F85994">
        <w:trPr>
          <w:trHeight w:val="2030"/>
        </w:trPr>
        <w:tc>
          <w:tcPr>
            <w:tcW w:w="1040" w:type="dxa"/>
            <w:hideMark/>
          </w:tcPr>
          <w:p w14:paraId="167F99C1"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A2D4"/>
            <w:hideMark/>
          </w:tcPr>
          <w:p w14:paraId="383A30C5"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GV-1.2.5</w:t>
            </w:r>
          </w:p>
        </w:tc>
        <w:tc>
          <w:tcPr>
            <w:tcW w:w="10420" w:type="dxa"/>
            <w:hideMark/>
          </w:tcPr>
          <w:p w14:paraId="2B6DBD20"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AI Governance and Risk Standards:</w:t>
            </w:r>
            <w:r w:rsidRPr="009F7E78">
              <w:rPr>
                <w:rFonts w:ascii="Aptos" w:eastAsia="Aptos" w:hAnsi="Aptos" w:cs="Times New Roman"/>
                <w:color w:val="auto"/>
                <w:kern w:val="2"/>
                <w:sz w:val="20"/>
                <w:szCs w:val="20"/>
                <w14:ligatures w14:val="standardContextual"/>
              </w:rPr>
              <w:t xml:space="preserve"> The organization's governance policies, risk controls, model testing and validation processes, as well as compliance and enterprise risk management (ERM) frameworks, are updated to include AI-specific considerations. These updates address unique AI system implications (e.g., data quality, provenance, secure handling) throughout the AI lifecycle and enhance the identification, assessment, management, and monitoring of AI risks in alignment with the organization's AI Trustworthy Principles and risk appetite and tolerance.</w:t>
            </w:r>
          </w:p>
        </w:tc>
      </w:tr>
      <w:tr w:rsidR="009F7E78" w:rsidRPr="009F7E78" w14:paraId="158D931E" w14:textId="77777777" w:rsidTr="00F85994">
        <w:trPr>
          <w:trHeight w:val="1740"/>
        </w:trPr>
        <w:tc>
          <w:tcPr>
            <w:tcW w:w="1040" w:type="dxa"/>
            <w:hideMark/>
          </w:tcPr>
          <w:p w14:paraId="2CA74036"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A2D4"/>
            <w:hideMark/>
          </w:tcPr>
          <w:p w14:paraId="27571729"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GV-1.2.6</w:t>
            </w:r>
          </w:p>
        </w:tc>
        <w:tc>
          <w:tcPr>
            <w:tcW w:w="10420" w:type="dxa"/>
            <w:hideMark/>
          </w:tcPr>
          <w:p w14:paraId="53203491"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AI Model Standards and Validation:</w:t>
            </w:r>
            <w:r w:rsidRPr="009F7E78">
              <w:rPr>
                <w:rFonts w:ascii="Aptos" w:eastAsia="Aptos" w:hAnsi="Aptos" w:cs="Times New Roman"/>
                <w:color w:val="auto"/>
                <w:kern w:val="2"/>
                <w:sz w:val="20"/>
                <w:szCs w:val="20"/>
                <w14:ligatures w14:val="standardContextual"/>
              </w:rPr>
              <w:t xml:space="preserve"> The organization sets standards for experimental design, data quality, and model training, which include documenting assumptions, methods, testing outcomes, data lineage, model versioning, and performance monitoring. These standards also outline processes for regular review, validation, and updates, ensuring models align with the organization's AI Trustworthy Principles throughout their lifecycle.</w:t>
            </w:r>
          </w:p>
        </w:tc>
      </w:tr>
      <w:tr w:rsidR="009F7E78" w:rsidRPr="009F7E78" w14:paraId="07DB7676" w14:textId="77777777" w:rsidTr="00F85994">
        <w:trPr>
          <w:trHeight w:val="870"/>
        </w:trPr>
        <w:tc>
          <w:tcPr>
            <w:tcW w:w="1040" w:type="dxa"/>
            <w:hideMark/>
          </w:tcPr>
          <w:p w14:paraId="7351A3B6"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S</w:t>
            </w:r>
          </w:p>
        </w:tc>
        <w:tc>
          <w:tcPr>
            <w:tcW w:w="1180" w:type="dxa"/>
            <w:shd w:val="clear" w:color="auto" w:fill="00A2D4"/>
            <w:hideMark/>
          </w:tcPr>
          <w:p w14:paraId="1E0277B4"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GV-1.3</w:t>
            </w:r>
          </w:p>
        </w:tc>
        <w:tc>
          <w:tcPr>
            <w:tcW w:w="10420" w:type="dxa"/>
            <w:hideMark/>
          </w:tcPr>
          <w:p w14:paraId="5FB6EE29"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Establishing Risk Management Processes:</w:t>
            </w:r>
            <w:r w:rsidRPr="009F7E78">
              <w:rPr>
                <w:rFonts w:ascii="Aptos" w:eastAsia="Aptos" w:hAnsi="Aptos" w:cs="Times New Roman"/>
                <w:color w:val="auto"/>
                <w:kern w:val="2"/>
                <w:sz w:val="20"/>
                <w:szCs w:val="20"/>
                <w14:ligatures w14:val="standardContextual"/>
              </w:rPr>
              <w:t xml:space="preserve"> Processes, procedures, and practices are in place to determine the needed level of risk management activities based on the organization’s risk tolerance.</w:t>
            </w:r>
          </w:p>
        </w:tc>
      </w:tr>
      <w:tr w:rsidR="009F7E78" w:rsidRPr="009F7E78" w14:paraId="046999AC" w14:textId="77777777" w:rsidTr="00F85994">
        <w:trPr>
          <w:trHeight w:val="1160"/>
        </w:trPr>
        <w:tc>
          <w:tcPr>
            <w:tcW w:w="1040" w:type="dxa"/>
            <w:hideMark/>
          </w:tcPr>
          <w:p w14:paraId="095C3EFF"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lastRenderedPageBreak/>
              <w:t>CO</w:t>
            </w:r>
          </w:p>
        </w:tc>
        <w:tc>
          <w:tcPr>
            <w:tcW w:w="1180" w:type="dxa"/>
            <w:shd w:val="clear" w:color="auto" w:fill="00A2D4"/>
            <w:hideMark/>
          </w:tcPr>
          <w:p w14:paraId="32E983F8"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GV-1.3.1</w:t>
            </w:r>
          </w:p>
        </w:tc>
        <w:tc>
          <w:tcPr>
            <w:tcW w:w="10420" w:type="dxa"/>
            <w:hideMark/>
          </w:tcPr>
          <w:p w14:paraId="437897F0"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AI Risk Assessment Models:</w:t>
            </w:r>
            <w:r w:rsidRPr="009F7E78">
              <w:rPr>
                <w:rFonts w:ascii="Aptos" w:eastAsia="Aptos" w:hAnsi="Aptos" w:cs="Times New Roman"/>
                <w:color w:val="auto"/>
                <w:kern w:val="2"/>
                <w:sz w:val="20"/>
                <w:szCs w:val="20"/>
                <w14:ligatures w14:val="standardContextual"/>
              </w:rPr>
              <w:t xml:space="preserve"> The organization updates its risk assessment methods, consistent with those in ERM and Model Risk Management, to address the unique risks of AI systems during development, deployment, and operation and evaluate the impact and likelihood of AI-specific risks consistently for a unified view.</w:t>
            </w:r>
          </w:p>
        </w:tc>
      </w:tr>
      <w:tr w:rsidR="009F7E78" w:rsidRPr="009F7E78" w14:paraId="13427403" w14:textId="77777777" w:rsidTr="00F85994">
        <w:trPr>
          <w:trHeight w:val="1160"/>
        </w:trPr>
        <w:tc>
          <w:tcPr>
            <w:tcW w:w="1040" w:type="dxa"/>
            <w:hideMark/>
          </w:tcPr>
          <w:p w14:paraId="623919E6"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A2D4"/>
            <w:hideMark/>
          </w:tcPr>
          <w:p w14:paraId="43A37228"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GV-1.3.2</w:t>
            </w:r>
          </w:p>
        </w:tc>
        <w:tc>
          <w:tcPr>
            <w:tcW w:w="10420" w:type="dxa"/>
            <w:hideMark/>
          </w:tcPr>
          <w:p w14:paraId="705F4E0E"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AI Risk Monitoring and Escalation:</w:t>
            </w:r>
            <w:r w:rsidRPr="009F7E78">
              <w:rPr>
                <w:rFonts w:ascii="Aptos" w:eastAsia="Aptos" w:hAnsi="Aptos" w:cs="Times New Roman"/>
                <w:color w:val="auto"/>
                <w:kern w:val="2"/>
                <w:sz w:val="20"/>
                <w:szCs w:val="20"/>
                <w14:ligatures w14:val="standardContextual"/>
              </w:rPr>
              <w:t xml:space="preserve"> The organization integrates AI-specific considerations into its monitoring, reporting, and escalation processes, aligned with its risk criteria, capacity, and appetite. It establishes or adapts practices based on the AI system’s risk profile to provide effective oversight throughout the AI lifecycle.</w:t>
            </w:r>
          </w:p>
        </w:tc>
      </w:tr>
      <w:tr w:rsidR="009F7E78" w:rsidRPr="009F7E78" w14:paraId="3ACB5082" w14:textId="77777777" w:rsidTr="00F85994">
        <w:trPr>
          <w:trHeight w:val="1450"/>
        </w:trPr>
        <w:tc>
          <w:tcPr>
            <w:tcW w:w="1040" w:type="dxa"/>
            <w:hideMark/>
          </w:tcPr>
          <w:p w14:paraId="7769538E"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A2D4"/>
            <w:hideMark/>
          </w:tcPr>
          <w:p w14:paraId="1EB75ED5"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GV-1.3.3</w:t>
            </w:r>
          </w:p>
        </w:tc>
        <w:tc>
          <w:tcPr>
            <w:tcW w:w="10420" w:type="dxa"/>
            <w:hideMark/>
          </w:tcPr>
          <w:p w14:paraId="7BBDC8BF"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AI Impact Measurement Policies:</w:t>
            </w:r>
            <w:r w:rsidRPr="009F7E78">
              <w:rPr>
                <w:rFonts w:ascii="Aptos" w:eastAsia="Aptos" w:hAnsi="Aptos" w:cs="Times New Roman"/>
                <w:color w:val="auto"/>
                <w:kern w:val="2"/>
                <w:sz w:val="20"/>
                <w:szCs w:val="20"/>
                <w14:ligatures w14:val="standardContextual"/>
              </w:rPr>
              <w:t xml:space="preserve"> The organization’s policies describe methods for regularly measuring AI system impact (e.g., outcomes analysis, impact assessments) and impact at key stages of the AI lifecycle. Assessments are triggered by system changes to better identify and evaluate potential risks and effects on stakeholders, business processes, applications, and broader systems.</w:t>
            </w:r>
          </w:p>
        </w:tc>
      </w:tr>
      <w:tr w:rsidR="009F7E78" w:rsidRPr="009F7E78" w14:paraId="6BD43F4A" w14:textId="77777777" w:rsidTr="00F85994">
        <w:trPr>
          <w:trHeight w:val="2320"/>
        </w:trPr>
        <w:tc>
          <w:tcPr>
            <w:tcW w:w="1040" w:type="dxa"/>
            <w:hideMark/>
          </w:tcPr>
          <w:p w14:paraId="24DC4E4A"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A2D4"/>
            <w:hideMark/>
          </w:tcPr>
          <w:p w14:paraId="32B4362A"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GV-1.3.4</w:t>
            </w:r>
          </w:p>
        </w:tc>
        <w:tc>
          <w:tcPr>
            <w:tcW w:w="10420" w:type="dxa"/>
            <w:hideMark/>
          </w:tcPr>
          <w:p w14:paraId="468EB576"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AI Use Risk Acceptance and Rejection Framework:</w:t>
            </w:r>
            <w:r w:rsidRPr="009F7E78">
              <w:rPr>
                <w:rFonts w:ascii="Aptos" w:eastAsia="Aptos" w:hAnsi="Aptos" w:cs="Times New Roman"/>
                <w:color w:val="auto"/>
                <w:kern w:val="2"/>
                <w:sz w:val="20"/>
                <w:szCs w:val="20"/>
                <w14:ligatures w14:val="standardContextual"/>
              </w:rPr>
              <w:t xml:space="preserve"> The organization has clear policies and decision-making processes, informed by executive leadership, to ensure that AI system use aligns with its defined risk tolerance. These policies outline criteria for identifying and rejecting AI uses that exceed acceptable risk levels as determined by the organization's risk assessment. Decisions to reject an AI system are based on a thorough evaluation of potential risks and impacts, with documentation of the rationale. Rejected uses are reviewed periodically to ensure the organization's risk tolerance remains appropriate and aligned with its overall risk management strategy.</w:t>
            </w:r>
          </w:p>
        </w:tc>
      </w:tr>
      <w:tr w:rsidR="009F7E78" w:rsidRPr="009F7E78" w14:paraId="705DC811" w14:textId="77777777" w:rsidTr="00F85994">
        <w:trPr>
          <w:trHeight w:val="870"/>
        </w:trPr>
        <w:tc>
          <w:tcPr>
            <w:tcW w:w="1040" w:type="dxa"/>
            <w:hideMark/>
          </w:tcPr>
          <w:p w14:paraId="488CE867"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S</w:t>
            </w:r>
          </w:p>
        </w:tc>
        <w:tc>
          <w:tcPr>
            <w:tcW w:w="1180" w:type="dxa"/>
            <w:shd w:val="clear" w:color="auto" w:fill="00A2D4"/>
            <w:hideMark/>
          </w:tcPr>
          <w:p w14:paraId="60BC8E42"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GV-1.4</w:t>
            </w:r>
          </w:p>
        </w:tc>
        <w:tc>
          <w:tcPr>
            <w:tcW w:w="10420" w:type="dxa"/>
            <w:hideMark/>
          </w:tcPr>
          <w:p w14:paraId="3CAA67D2"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Establishing Transparency and Documentation Processes:</w:t>
            </w:r>
            <w:r w:rsidRPr="009F7E78">
              <w:rPr>
                <w:rFonts w:ascii="Aptos" w:eastAsia="Aptos" w:hAnsi="Aptos" w:cs="Times New Roman"/>
                <w:color w:val="auto"/>
                <w:kern w:val="2"/>
                <w:sz w:val="20"/>
                <w:szCs w:val="20"/>
                <w14:ligatures w14:val="standardContextual"/>
              </w:rPr>
              <w:t xml:space="preserve"> The risk management process and its outcomes are established through transparent policies, procedures, and other controls based on organizational risk priorities.</w:t>
            </w:r>
          </w:p>
        </w:tc>
      </w:tr>
      <w:tr w:rsidR="009F7E78" w:rsidRPr="009F7E78" w14:paraId="284ED184" w14:textId="77777777" w:rsidTr="00F85994">
        <w:trPr>
          <w:trHeight w:val="2320"/>
        </w:trPr>
        <w:tc>
          <w:tcPr>
            <w:tcW w:w="1040" w:type="dxa"/>
            <w:hideMark/>
          </w:tcPr>
          <w:p w14:paraId="58D119C7"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A2D4"/>
            <w:hideMark/>
          </w:tcPr>
          <w:p w14:paraId="68D6CCD2"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GV-1.4.1</w:t>
            </w:r>
          </w:p>
        </w:tc>
        <w:tc>
          <w:tcPr>
            <w:tcW w:w="10420" w:type="dxa"/>
            <w:hideMark/>
          </w:tcPr>
          <w:p w14:paraId="137C72DA"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AI Risk Management Framework:</w:t>
            </w:r>
            <w:r w:rsidRPr="009F7E78">
              <w:rPr>
                <w:rFonts w:ascii="Aptos" w:eastAsia="Aptos" w:hAnsi="Aptos" w:cs="Times New Roman"/>
                <w:color w:val="auto"/>
                <w:kern w:val="2"/>
                <w:sz w:val="20"/>
                <w:szCs w:val="20"/>
                <w14:ligatures w14:val="standardContextual"/>
              </w:rPr>
              <w:t xml:space="preserve"> The organization establishes policies and documentation practices for AI risk management processes, ensuring transparency and alignment with organizational risk priorities. These policies acknowledge the reality of automatically generated or AI-generated documentation, providing guidance on maintaining accuracy, verifiability, and accountability. They specify roles, responsibilities, and mechanisms for oversight and escalation throughout the AI lifecycle, supported by routine reviews and performance metrics to ensure effective management and continuous improvement.</w:t>
            </w:r>
          </w:p>
        </w:tc>
      </w:tr>
      <w:tr w:rsidR="009F7E78" w:rsidRPr="009F7E78" w14:paraId="55097C88" w14:textId="77777777" w:rsidTr="00F85994">
        <w:trPr>
          <w:trHeight w:val="2030"/>
        </w:trPr>
        <w:tc>
          <w:tcPr>
            <w:tcW w:w="1040" w:type="dxa"/>
            <w:hideMark/>
          </w:tcPr>
          <w:p w14:paraId="72C870E5"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A2D4"/>
            <w:hideMark/>
          </w:tcPr>
          <w:p w14:paraId="0E9FE706"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GV-1.4.2</w:t>
            </w:r>
          </w:p>
        </w:tc>
        <w:tc>
          <w:tcPr>
            <w:tcW w:w="10420" w:type="dxa"/>
            <w:hideMark/>
          </w:tcPr>
          <w:p w14:paraId="276E7EF6"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AI Risk Documentation Standards:</w:t>
            </w:r>
            <w:r w:rsidRPr="009F7E78">
              <w:rPr>
                <w:rFonts w:ascii="Aptos" w:eastAsia="Aptos" w:hAnsi="Aptos" w:cs="Times New Roman"/>
                <w:color w:val="auto"/>
                <w:kern w:val="2"/>
                <w:sz w:val="20"/>
                <w:szCs w:val="20"/>
                <w14:ligatures w14:val="standardContextual"/>
              </w:rPr>
              <w:t xml:space="preserve"> The organization establishes documentation requirements in its AI risk management policies and procedures, covering AI system design and implementation, model development (including model type, training data sources and selection criteria, assumptions, and limitations), the justification and rationale of key decisions, the acceptable use of proxies, testing, evaluation, validation, and risk mitigation processes (including methodologies and outcomes), and regular monitoring and change management activities.</w:t>
            </w:r>
          </w:p>
        </w:tc>
      </w:tr>
      <w:tr w:rsidR="009F7E78" w:rsidRPr="009F7E78" w14:paraId="5BEC47A5" w14:textId="77777777" w:rsidTr="00F85994">
        <w:trPr>
          <w:trHeight w:val="1740"/>
        </w:trPr>
        <w:tc>
          <w:tcPr>
            <w:tcW w:w="1040" w:type="dxa"/>
            <w:hideMark/>
          </w:tcPr>
          <w:p w14:paraId="67FB4D16"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lastRenderedPageBreak/>
              <w:t>CO</w:t>
            </w:r>
          </w:p>
        </w:tc>
        <w:tc>
          <w:tcPr>
            <w:tcW w:w="1180" w:type="dxa"/>
            <w:shd w:val="clear" w:color="auto" w:fill="00A2D4"/>
            <w:hideMark/>
          </w:tcPr>
          <w:p w14:paraId="2EC94379"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GV-1.4.3</w:t>
            </w:r>
          </w:p>
        </w:tc>
        <w:tc>
          <w:tcPr>
            <w:tcW w:w="10420" w:type="dxa"/>
            <w:hideMark/>
          </w:tcPr>
          <w:p w14:paraId="7A2E43CF"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AI Documentation Repository and Access:</w:t>
            </w:r>
            <w:r w:rsidRPr="009F7E78">
              <w:rPr>
                <w:rFonts w:ascii="Aptos" w:eastAsia="Aptos" w:hAnsi="Aptos" w:cs="Times New Roman"/>
                <w:color w:val="auto"/>
                <w:kern w:val="2"/>
                <w:sz w:val="20"/>
                <w:szCs w:val="20"/>
                <w14:ligatures w14:val="standardContextual"/>
              </w:rPr>
              <w:t xml:space="preserve"> The organization maintains a centralized and accessible repository of AI system documentation, structured to provide relevant AI stakeholders with appropriate access based on their roles and the system’s risk classification. Mechanisms are in place to regularly review the completeness and accuracy of documentation and to maintain readily available information for oversight, audit, and ongoing risk management.</w:t>
            </w:r>
          </w:p>
        </w:tc>
      </w:tr>
      <w:tr w:rsidR="009F7E78" w:rsidRPr="009F7E78" w14:paraId="0868C6FC" w14:textId="77777777" w:rsidTr="00F85994">
        <w:trPr>
          <w:trHeight w:val="870"/>
        </w:trPr>
        <w:tc>
          <w:tcPr>
            <w:tcW w:w="1040" w:type="dxa"/>
            <w:hideMark/>
          </w:tcPr>
          <w:p w14:paraId="12857111"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S</w:t>
            </w:r>
          </w:p>
        </w:tc>
        <w:tc>
          <w:tcPr>
            <w:tcW w:w="1180" w:type="dxa"/>
            <w:shd w:val="clear" w:color="auto" w:fill="00A2D4"/>
            <w:hideMark/>
          </w:tcPr>
          <w:p w14:paraId="244F50C6"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GV-1.5</w:t>
            </w:r>
          </w:p>
        </w:tc>
        <w:tc>
          <w:tcPr>
            <w:tcW w:w="10420" w:type="dxa"/>
            <w:hideMark/>
          </w:tcPr>
          <w:p w14:paraId="11DA8D3B"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Establishing Monitoring and Review Processes:</w:t>
            </w:r>
            <w:r w:rsidRPr="009F7E78">
              <w:rPr>
                <w:rFonts w:ascii="Aptos" w:eastAsia="Aptos" w:hAnsi="Aptos" w:cs="Times New Roman"/>
                <w:color w:val="auto"/>
                <w:kern w:val="2"/>
                <w:sz w:val="20"/>
                <w:szCs w:val="20"/>
                <w14:ligatures w14:val="standardContextual"/>
              </w:rPr>
              <w:t xml:space="preserve"> Ongoing monitoring and periodic review of the risk management process and its outcomes are planned and organizational roles and responsibilities clearly defined, including determining the frequency of periodic review.</w:t>
            </w:r>
          </w:p>
        </w:tc>
      </w:tr>
      <w:tr w:rsidR="009F7E78" w:rsidRPr="009F7E78" w14:paraId="7E117D0C" w14:textId="77777777" w:rsidTr="00F85994">
        <w:trPr>
          <w:trHeight w:val="1740"/>
        </w:trPr>
        <w:tc>
          <w:tcPr>
            <w:tcW w:w="1040" w:type="dxa"/>
            <w:hideMark/>
          </w:tcPr>
          <w:p w14:paraId="36A66E04"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A2D4"/>
            <w:hideMark/>
          </w:tcPr>
          <w:p w14:paraId="29D75956"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GV-1.5.1</w:t>
            </w:r>
          </w:p>
        </w:tc>
        <w:tc>
          <w:tcPr>
            <w:tcW w:w="10420" w:type="dxa"/>
            <w:hideMark/>
          </w:tcPr>
          <w:p w14:paraId="458AEF77"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AI Performance and Risk Monitoring:</w:t>
            </w:r>
            <w:r w:rsidRPr="009F7E78">
              <w:rPr>
                <w:rFonts w:ascii="Aptos" w:eastAsia="Aptos" w:hAnsi="Aptos" w:cs="Times New Roman"/>
                <w:color w:val="auto"/>
                <w:kern w:val="2"/>
                <w:sz w:val="20"/>
                <w:szCs w:val="20"/>
                <w14:ligatures w14:val="standardContextual"/>
              </w:rPr>
              <w:t xml:space="preserve"> The organization documents its approach for monitoring its existing AI systems for performance and risk issues (including key performance indicators, security events, and other relevant metrics), even if AI is not yet widely adopted. Key personnel are assigned responsibility for monitoring activities, with clearly defined roles, escalation procedures, and reporting mechanisms to provide accountability and timely issue resolution.</w:t>
            </w:r>
          </w:p>
        </w:tc>
      </w:tr>
      <w:tr w:rsidR="009F7E78" w:rsidRPr="009F7E78" w14:paraId="4565A96F" w14:textId="77777777" w:rsidTr="00F85994">
        <w:trPr>
          <w:trHeight w:val="1450"/>
        </w:trPr>
        <w:tc>
          <w:tcPr>
            <w:tcW w:w="1040" w:type="dxa"/>
            <w:hideMark/>
          </w:tcPr>
          <w:p w14:paraId="7FF726DF"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A2D4"/>
            <w:hideMark/>
          </w:tcPr>
          <w:p w14:paraId="479B4068"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GV-1.5.2</w:t>
            </w:r>
          </w:p>
        </w:tc>
        <w:tc>
          <w:tcPr>
            <w:tcW w:w="10420" w:type="dxa"/>
            <w:hideMark/>
          </w:tcPr>
          <w:p w14:paraId="2A02B850"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Periodic AI Risk Management Process Review:</w:t>
            </w:r>
            <w:r w:rsidRPr="009F7E78">
              <w:rPr>
                <w:rFonts w:ascii="Aptos" w:eastAsia="Aptos" w:hAnsi="Aptos" w:cs="Times New Roman"/>
                <w:color w:val="auto"/>
                <w:kern w:val="2"/>
                <w:sz w:val="20"/>
                <w:szCs w:val="20"/>
                <w14:ligatures w14:val="standardContextual"/>
              </w:rPr>
              <w:t xml:space="preserve"> The organization conducts periodic reviews of its AI risk management processes, with frequency and scope based on AI adoption, system risk, and technological change. These reviews include assessment by internal audit or third-line functions and incorporate insights from monitoring activities and incident analyses to drive continuous process and control enhancements.</w:t>
            </w:r>
          </w:p>
        </w:tc>
      </w:tr>
      <w:tr w:rsidR="009F7E78" w:rsidRPr="009F7E78" w14:paraId="4639A06D" w14:textId="77777777" w:rsidTr="00F85994">
        <w:trPr>
          <w:trHeight w:val="1450"/>
        </w:trPr>
        <w:tc>
          <w:tcPr>
            <w:tcW w:w="1040" w:type="dxa"/>
            <w:hideMark/>
          </w:tcPr>
          <w:p w14:paraId="6821CF07"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A2D4"/>
            <w:hideMark/>
          </w:tcPr>
          <w:p w14:paraId="74103939"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GV-1.5.3</w:t>
            </w:r>
          </w:p>
        </w:tc>
        <w:tc>
          <w:tcPr>
            <w:tcW w:w="10420" w:type="dxa"/>
            <w:hideMark/>
          </w:tcPr>
          <w:p w14:paraId="2D703F50"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AI Risk Reporting and Oversight:</w:t>
            </w:r>
            <w:r w:rsidRPr="009F7E78">
              <w:rPr>
                <w:rFonts w:ascii="Aptos" w:eastAsia="Aptos" w:hAnsi="Aptos" w:cs="Times New Roman"/>
                <w:color w:val="auto"/>
                <w:kern w:val="2"/>
                <w:sz w:val="20"/>
                <w:szCs w:val="20"/>
                <w14:ligatures w14:val="standardContextual"/>
              </w:rPr>
              <w:t xml:space="preserve"> The organization’s senior leadership is regularly informed of AI system performance, risks, and risk management review outcomes through defined reporting mechanisms (e.g., reports, dashboards). This oversight aligns AI risk management with overall organizational strategy and risk appetite, enabling timely decisions and prioritized resource allocation.</w:t>
            </w:r>
          </w:p>
        </w:tc>
      </w:tr>
      <w:tr w:rsidR="009F7E78" w:rsidRPr="009F7E78" w14:paraId="3A02FBD4" w14:textId="77777777" w:rsidTr="00F85994">
        <w:trPr>
          <w:trHeight w:val="1450"/>
        </w:trPr>
        <w:tc>
          <w:tcPr>
            <w:tcW w:w="1040" w:type="dxa"/>
            <w:hideMark/>
          </w:tcPr>
          <w:p w14:paraId="2BCC5090"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A2D4"/>
            <w:hideMark/>
          </w:tcPr>
          <w:p w14:paraId="583B6B6B"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GV-1.5.4</w:t>
            </w:r>
          </w:p>
        </w:tc>
        <w:tc>
          <w:tcPr>
            <w:tcW w:w="10420" w:type="dxa"/>
            <w:hideMark/>
          </w:tcPr>
          <w:p w14:paraId="7A94D02B"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Independent AI Risk Management Process Assessment:</w:t>
            </w:r>
            <w:r w:rsidRPr="009F7E78">
              <w:rPr>
                <w:rFonts w:ascii="Aptos" w:eastAsia="Aptos" w:hAnsi="Aptos" w:cs="Times New Roman"/>
                <w:color w:val="auto"/>
                <w:kern w:val="2"/>
                <w:sz w:val="20"/>
                <w:szCs w:val="20"/>
                <w14:ligatures w14:val="standardContextual"/>
              </w:rPr>
              <w:t xml:space="preserve"> The organization utilizes qualified, independent parties (e.g., audit, compliance functions, third parties) to conduct regular, independent assessments of the organization’s AI risk management processes to identify gaps, drive improvements, and optimize the organization's AI risk management capabilities.</w:t>
            </w:r>
          </w:p>
        </w:tc>
      </w:tr>
      <w:tr w:rsidR="009F7E78" w:rsidRPr="009F7E78" w14:paraId="0F6DB3A5" w14:textId="77777777" w:rsidTr="00F85994">
        <w:trPr>
          <w:trHeight w:val="580"/>
        </w:trPr>
        <w:tc>
          <w:tcPr>
            <w:tcW w:w="1040" w:type="dxa"/>
            <w:hideMark/>
          </w:tcPr>
          <w:p w14:paraId="1F83D7BF"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S</w:t>
            </w:r>
          </w:p>
        </w:tc>
        <w:tc>
          <w:tcPr>
            <w:tcW w:w="1180" w:type="dxa"/>
            <w:shd w:val="clear" w:color="auto" w:fill="00A2D4"/>
            <w:hideMark/>
          </w:tcPr>
          <w:p w14:paraId="1FF88B29"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GV-1.6</w:t>
            </w:r>
          </w:p>
        </w:tc>
        <w:tc>
          <w:tcPr>
            <w:tcW w:w="10420" w:type="dxa"/>
            <w:hideMark/>
          </w:tcPr>
          <w:p w14:paraId="1CFF7665"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Building the AI Inventory:</w:t>
            </w:r>
            <w:r w:rsidRPr="009F7E78">
              <w:rPr>
                <w:rFonts w:ascii="Aptos" w:eastAsia="Aptos" w:hAnsi="Aptos" w:cs="Times New Roman"/>
                <w:color w:val="auto"/>
                <w:kern w:val="2"/>
                <w:sz w:val="20"/>
                <w:szCs w:val="20"/>
                <w14:ligatures w14:val="standardContextual"/>
              </w:rPr>
              <w:t xml:space="preserve"> Mechanisms are in place to inventory AI systems and are resourced according to organizational risk priorities.</w:t>
            </w:r>
          </w:p>
        </w:tc>
      </w:tr>
      <w:tr w:rsidR="009F7E78" w:rsidRPr="009F7E78" w14:paraId="50E18EF6" w14:textId="77777777" w:rsidTr="00F85994">
        <w:trPr>
          <w:trHeight w:val="2320"/>
        </w:trPr>
        <w:tc>
          <w:tcPr>
            <w:tcW w:w="1040" w:type="dxa"/>
            <w:hideMark/>
          </w:tcPr>
          <w:p w14:paraId="7E918832"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A2D4"/>
            <w:hideMark/>
          </w:tcPr>
          <w:p w14:paraId="3022DC67"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GV-1.6.1</w:t>
            </w:r>
          </w:p>
        </w:tc>
        <w:tc>
          <w:tcPr>
            <w:tcW w:w="10420" w:type="dxa"/>
            <w:hideMark/>
          </w:tcPr>
          <w:p w14:paraId="446E272C"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AI Inventory Management:</w:t>
            </w:r>
            <w:r w:rsidRPr="009F7E78">
              <w:rPr>
                <w:rFonts w:ascii="Aptos" w:eastAsia="Aptos" w:hAnsi="Aptos" w:cs="Times New Roman"/>
                <w:color w:val="auto"/>
                <w:kern w:val="2"/>
                <w:sz w:val="20"/>
                <w:szCs w:val="20"/>
                <w14:ligatures w14:val="standardContextual"/>
              </w:rPr>
              <w:t xml:space="preserve"> The organization maintains a regularly updated inventory of its AI systems, including purpose, data sources, responsible personnel, risk ratings, criticality, dependencies, compliance requirements, and decommissioning attributes (e.g., sunset dates, archival procedures, data retention policies). This inventory is regularly updated as new systems are developed, acquired, or retired, enabling the organization to have a current and accurate understanding of its AI landscape, including the lifecycle management of its AI systems. Inventory processes are regularly reviewed to incorporate lessons learned and feedback from operational monitoring.</w:t>
            </w:r>
          </w:p>
        </w:tc>
      </w:tr>
      <w:tr w:rsidR="009F7E78" w:rsidRPr="009F7E78" w14:paraId="704298B1" w14:textId="77777777" w:rsidTr="00F85994">
        <w:trPr>
          <w:trHeight w:val="1740"/>
        </w:trPr>
        <w:tc>
          <w:tcPr>
            <w:tcW w:w="1040" w:type="dxa"/>
            <w:hideMark/>
          </w:tcPr>
          <w:p w14:paraId="7836543F"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lastRenderedPageBreak/>
              <w:t>CO</w:t>
            </w:r>
          </w:p>
        </w:tc>
        <w:tc>
          <w:tcPr>
            <w:tcW w:w="1180" w:type="dxa"/>
            <w:shd w:val="clear" w:color="auto" w:fill="00A2D4"/>
            <w:hideMark/>
          </w:tcPr>
          <w:p w14:paraId="574AEFC5"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GV-1.6.2</w:t>
            </w:r>
          </w:p>
        </w:tc>
        <w:tc>
          <w:tcPr>
            <w:tcW w:w="10420" w:type="dxa"/>
            <w:hideMark/>
          </w:tcPr>
          <w:p w14:paraId="70DD2E35"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AI Inventory and Data Integration:</w:t>
            </w:r>
            <w:r w:rsidRPr="009F7E78">
              <w:rPr>
                <w:rFonts w:ascii="Aptos" w:eastAsia="Aptos" w:hAnsi="Aptos" w:cs="Times New Roman"/>
                <w:color w:val="auto"/>
                <w:kern w:val="2"/>
                <w:sz w:val="20"/>
                <w:szCs w:val="20"/>
                <w14:ligatures w14:val="standardContextual"/>
              </w:rPr>
              <w:t xml:space="preserve"> The organization integrates the AI system inventory with its technology management and data governance processes to drive consistency and enable cross-functional collaboration. The inventory informs risk management prioritization (e.g., risk assessment documentation, monitoring and mitigation plans, meeting minutes and/or decision logs), with high-risk and mission-critical systems subject to enhanced oversight, control, and reporting.</w:t>
            </w:r>
          </w:p>
        </w:tc>
      </w:tr>
      <w:tr w:rsidR="009F7E78" w:rsidRPr="009F7E78" w14:paraId="145866D3" w14:textId="77777777" w:rsidTr="00F85994">
        <w:trPr>
          <w:trHeight w:val="2030"/>
        </w:trPr>
        <w:tc>
          <w:tcPr>
            <w:tcW w:w="1040" w:type="dxa"/>
            <w:hideMark/>
          </w:tcPr>
          <w:p w14:paraId="45E8BECE"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A2D4"/>
            <w:hideMark/>
          </w:tcPr>
          <w:p w14:paraId="0CECAC19"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GV-1.6.3</w:t>
            </w:r>
          </w:p>
        </w:tc>
        <w:tc>
          <w:tcPr>
            <w:tcW w:w="10420" w:type="dxa"/>
            <w:hideMark/>
          </w:tcPr>
          <w:p w14:paraId="6E92E497"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AI Inventory Integration for Purchased and Shadow Systems:</w:t>
            </w:r>
            <w:r w:rsidRPr="009F7E78">
              <w:rPr>
                <w:rFonts w:ascii="Aptos" w:eastAsia="Aptos" w:hAnsi="Aptos" w:cs="Times New Roman"/>
                <w:color w:val="auto"/>
                <w:kern w:val="2"/>
                <w:sz w:val="20"/>
                <w:szCs w:val="20"/>
                <w14:ligatures w14:val="standardContextual"/>
              </w:rPr>
              <w:t xml:space="preserve"> The organization establishes practices to ensure that AI systems used in purchased products and Shadow IT are identified, documented, and incorporated into its inventory and risk management processes. Procurement procedures require vendors and internal teams to disclose AI components, which are then evaluated for compliance, security, and alignment with organizational risk standards. All such AI systems are tracked throughout their lifecycle to prevent unmanaged risks and gaps.</w:t>
            </w:r>
          </w:p>
        </w:tc>
      </w:tr>
      <w:tr w:rsidR="009F7E78" w:rsidRPr="009F7E78" w14:paraId="7CF16109" w14:textId="77777777" w:rsidTr="00F85994">
        <w:trPr>
          <w:trHeight w:val="1160"/>
        </w:trPr>
        <w:tc>
          <w:tcPr>
            <w:tcW w:w="1040" w:type="dxa"/>
            <w:hideMark/>
          </w:tcPr>
          <w:p w14:paraId="1E6D6AC5"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A2D4"/>
            <w:hideMark/>
          </w:tcPr>
          <w:p w14:paraId="66A5D14B"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GV-1.6.4</w:t>
            </w:r>
          </w:p>
        </w:tc>
        <w:tc>
          <w:tcPr>
            <w:tcW w:w="10420" w:type="dxa"/>
            <w:hideMark/>
          </w:tcPr>
          <w:p w14:paraId="025B2043"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Risk-Based Inventory Resources:</w:t>
            </w:r>
            <w:r w:rsidRPr="009F7E78">
              <w:rPr>
                <w:rFonts w:ascii="Aptos" w:eastAsia="Aptos" w:hAnsi="Aptos" w:cs="Times New Roman"/>
                <w:color w:val="auto"/>
                <w:kern w:val="2"/>
                <w:sz w:val="20"/>
                <w:szCs w:val="20"/>
                <w14:ligatures w14:val="standardContextual"/>
              </w:rPr>
              <w:t xml:space="preserve"> The organization allocates and sustains resources to create, maintain, and govern the AI Inventory proportionate to the risk of each AI system or activity, ensuring higher-risk entries receive deeper classification, documentation, validation, and oversight throughout their lifecycle.</w:t>
            </w:r>
          </w:p>
        </w:tc>
      </w:tr>
      <w:tr w:rsidR="009F7E78" w:rsidRPr="009F7E78" w14:paraId="543626A0" w14:textId="77777777" w:rsidTr="00F85994">
        <w:trPr>
          <w:trHeight w:val="1160"/>
        </w:trPr>
        <w:tc>
          <w:tcPr>
            <w:tcW w:w="1040" w:type="dxa"/>
            <w:hideMark/>
          </w:tcPr>
          <w:p w14:paraId="5324870A"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A2D4"/>
            <w:hideMark/>
          </w:tcPr>
          <w:p w14:paraId="3B5D6346"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GV-1.6.5</w:t>
            </w:r>
          </w:p>
        </w:tc>
        <w:tc>
          <w:tcPr>
            <w:tcW w:w="10420" w:type="dxa"/>
            <w:hideMark/>
          </w:tcPr>
          <w:p w14:paraId="08B649B4"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AI Inventory Risk Analysis:</w:t>
            </w:r>
            <w:r w:rsidRPr="009F7E78">
              <w:rPr>
                <w:rFonts w:ascii="Aptos" w:eastAsia="Aptos" w:hAnsi="Aptos" w:cs="Times New Roman"/>
                <w:color w:val="auto"/>
                <w:kern w:val="2"/>
                <w:sz w:val="20"/>
                <w:szCs w:val="20"/>
                <w14:ligatures w14:val="standardContextual"/>
              </w:rPr>
              <w:t xml:space="preserve"> The organization analyzes inventory data to identify common risk patterns, interdependence, and potential cascading effects across AI systems. This portfolio-level risk analysis enables enterprise-wide risk mitigation strategies, optimal resource allocation, and overall risk management effectiveness.</w:t>
            </w:r>
          </w:p>
        </w:tc>
      </w:tr>
      <w:tr w:rsidR="009F7E78" w:rsidRPr="009F7E78" w14:paraId="47252597" w14:textId="77777777" w:rsidTr="00F85994">
        <w:trPr>
          <w:trHeight w:val="580"/>
        </w:trPr>
        <w:tc>
          <w:tcPr>
            <w:tcW w:w="1040" w:type="dxa"/>
            <w:hideMark/>
          </w:tcPr>
          <w:p w14:paraId="3C74B6B8"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A2D4"/>
            <w:hideMark/>
          </w:tcPr>
          <w:p w14:paraId="64928E94"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GV-1.6.6</w:t>
            </w:r>
          </w:p>
        </w:tc>
        <w:tc>
          <w:tcPr>
            <w:tcW w:w="10420" w:type="dxa"/>
            <w:hideMark/>
          </w:tcPr>
          <w:p w14:paraId="6574A685"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AI Inventory Audits:</w:t>
            </w:r>
            <w:r w:rsidRPr="009F7E78">
              <w:rPr>
                <w:rFonts w:ascii="Aptos" w:eastAsia="Aptos" w:hAnsi="Aptos" w:cs="Times New Roman"/>
                <w:color w:val="auto"/>
                <w:kern w:val="2"/>
                <w:sz w:val="20"/>
                <w:szCs w:val="20"/>
                <w14:ligatures w14:val="standardContextual"/>
              </w:rPr>
              <w:t xml:space="preserve"> The organization conducts regular audits of the AI system inventory to verify completeness, accuracy, and timeliness.</w:t>
            </w:r>
          </w:p>
        </w:tc>
      </w:tr>
      <w:tr w:rsidR="009F7E78" w:rsidRPr="009F7E78" w14:paraId="0FF5AB3E" w14:textId="77777777" w:rsidTr="00F85994">
        <w:trPr>
          <w:trHeight w:val="870"/>
        </w:trPr>
        <w:tc>
          <w:tcPr>
            <w:tcW w:w="1040" w:type="dxa"/>
            <w:hideMark/>
          </w:tcPr>
          <w:p w14:paraId="771FF38F"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S</w:t>
            </w:r>
          </w:p>
        </w:tc>
        <w:tc>
          <w:tcPr>
            <w:tcW w:w="1180" w:type="dxa"/>
            <w:shd w:val="clear" w:color="auto" w:fill="00A2D4"/>
            <w:hideMark/>
          </w:tcPr>
          <w:p w14:paraId="1FCFAFC2"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GV-1.7</w:t>
            </w:r>
          </w:p>
        </w:tc>
        <w:tc>
          <w:tcPr>
            <w:tcW w:w="10420" w:type="dxa"/>
            <w:hideMark/>
          </w:tcPr>
          <w:p w14:paraId="7D967439"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Establishing Decommissioning Processes:</w:t>
            </w:r>
            <w:r w:rsidRPr="009F7E78">
              <w:rPr>
                <w:rFonts w:ascii="Aptos" w:eastAsia="Aptos" w:hAnsi="Aptos" w:cs="Times New Roman"/>
                <w:color w:val="auto"/>
                <w:kern w:val="2"/>
                <w:sz w:val="20"/>
                <w:szCs w:val="20"/>
                <w14:ligatures w14:val="standardContextual"/>
              </w:rPr>
              <w:t xml:space="preserve"> Processes and procedures are in place for decommissioning and phasing out AI systems safely and in a manner that does not increase risks or decrease the organization’s trustworthiness.</w:t>
            </w:r>
          </w:p>
        </w:tc>
      </w:tr>
      <w:tr w:rsidR="009F7E78" w:rsidRPr="009F7E78" w14:paraId="6CB7413E" w14:textId="77777777" w:rsidTr="00F85994">
        <w:trPr>
          <w:trHeight w:val="2610"/>
        </w:trPr>
        <w:tc>
          <w:tcPr>
            <w:tcW w:w="1040" w:type="dxa"/>
            <w:hideMark/>
          </w:tcPr>
          <w:p w14:paraId="5EB718CD"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A2D4"/>
            <w:hideMark/>
          </w:tcPr>
          <w:p w14:paraId="313F61EA"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GV-1.7.1</w:t>
            </w:r>
          </w:p>
        </w:tc>
        <w:tc>
          <w:tcPr>
            <w:tcW w:w="10420" w:type="dxa"/>
            <w:hideMark/>
          </w:tcPr>
          <w:p w14:paraId="679C27FF"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AI System Decommissioning Policies and Impact Procedures:</w:t>
            </w:r>
            <w:r w:rsidRPr="009F7E78">
              <w:rPr>
                <w:rFonts w:ascii="Aptos" w:eastAsia="Aptos" w:hAnsi="Aptos" w:cs="Times New Roman"/>
                <w:color w:val="auto"/>
                <w:kern w:val="2"/>
                <w:sz w:val="20"/>
                <w:szCs w:val="20"/>
                <w14:ligatures w14:val="standardContextual"/>
              </w:rPr>
              <w:t xml:space="preserve"> The organization establishes and follows comprehensive policies and procedures for decommissioning AI systems. These explicitly define criteria for retirement based on AI-specific factors (e.g., performance, data quality, regulatory compliance, strategic alignment, and risk tolerance). The decommissioning process incorporates thorough impact assessments to identify and mitigate potential risks such as data loss, operational disruption, and reputational damage. It ensures adequate resources for system transition or replacement, including for critical or revenue-generating systems, and includes provisions for rapid decommissioning in emergencies, supported by automated tools for timely decision-making.</w:t>
            </w:r>
          </w:p>
        </w:tc>
      </w:tr>
      <w:tr w:rsidR="009F7E78" w:rsidRPr="009F7E78" w14:paraId="23C1249B" w14:textId="77777777" w:rsidTr="00F85994">
        <w:trPr>
          <w:trHeight w:val="870"/>
        </w:trPr>
        <w:tc>
          <w:tcPr>
            <w:tcW w:w="1040" w:type="dxa"/>
            <w:hideMark/>
          </w:tcPr>
          <w:p w14:paraId="4D4EDF09"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w:t>
            </w:r>
          </w:p>
        </w:tc>
        <w:tc>
          <w:tcPr>
            <w:tcW w:w="1180" w:type="dxa"/>
            <w:shd w:val="clear" w:color="auto" w:fill="00A2D4"/>
            <w:hideMark/>
          </w:tcPr>
          <w:p w14:paraId="65CF2B51"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GV-2</w:t>
            </w:r>
          </w:p>
        </w:tc>
        <w:tc>
          <w:tcPr>
            <w:tcW w:w="10420" w:type="dxa"/>
            <w:hideMark/>
          </w:tcPr>
          <w:p w14:paraId="57BDB477"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Defining Roles and Responsibilities:</w:t>
            </w:r>
            <w:r w:rsidRPr="009F7E78">
              <w:rPr>
                <w:rFonts w:ascii="Aptos" w:eastAsia="Aptos" w:hAnsi="Aptos" w:cs="Times New Roman"/>
                <w:color w:val="auto"/>
                <w:kern w:val="2"/>
                <w:sz w:val="20"/>
                <w:szCs w:val="20"/>
                <w14:ligatures w14:val="standardContextual"/>
              </w:rPr>
              <w:t xml:space="preserve"> Accountability structures are in place so that the appropriate teams and individuals are empowered, responsible, and trained for mapping, measuring, and managing AI risks.</w:t>
            </w:r>
          </w:p>
        </w:tc>
      </w:tr>
      <w:tr w:rsidR="009F7E78" w:rsidRPr="009F7E78" w14:paraId="29E5FABD" w14:textId="77777777" w:rsidTr="00F85994">
        <w:trPr>
          <w:trHeight w:val="870"/>
        </w:trPr>
        <w:tc>
          <w:tcPr>
            <w:tcW w:w="1040" w:type="dxa"/>
            <w:hideMark/>
          </w:tcPr>
          <w:p w14:paraId="43A60CF3"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S</w:t>
            </w:r>
          </w:p>
        </w:tc>
        <w:tc>
          <w:tcPr>
            <w:tcW w:w="1180" w:type="dxa"/>
            <w:shd w:val="clear" w:color="auto" w:fill="00A2D4"/>
            <w:hideMark/>
          </w:tcPr>
          <w:p w14:paraId="544B9A6C"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GV-2.1</w:t>
            </w:r>
          </w:p>
        </w:tc>
        <w:tc>
          <w:tcPr>
            <w:tcW w:w="10420" w:type="dxa"/>
            <w:hideMark/>
          </w:tcPr>
          <w:p w14:paraId="736FFA65"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Establishing and Communicating Roles and Responsibilities:</w:t>
            </w:r>
            <w:r w:rsidRPr="009F7E78">
              <w:rPr>
                <w:rFonts w:ascii="Aptos" w:eastAsia="Aptos" w:hAnsi="Aptos" w:cs="Times New Roman"/>
                <w:color w:val="auto"/>
                <w:kern w:val="2"/>
                <w:sz w:val="20"/>
                <w:szCs w:val="20"/>
                <w14:ligatures w14:val="standardContextual"/>
              </w:rPr>
              <w:t xml:space="preserve"> Roles and responsibilities and lines of communication related to mapping, measuring, and managing AI risks are documented and are clear to individuals and teams throughout the organization.</w:t>
            </w:r>
          </w:p>
        </w:tc>
      </w:tr>
      <w:tr w:rsidR="009F7E78" w:rsidRPr="009F7E78" w14:paraId="6A074FA3" w14:textId="77777777" w:rsidTr="00F85994">
        <w:trPr>
          <w:trHeight w:val="2320"/>
        </w:trPr>
        <w:tc>
          <w:tcPr>
            <w:tcW w:w="1040" w:type="dxa"/>
            <w:hideMark/>
          </w:tcPr>
          <w:p w14:paraId="76D0FCD9"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lastRenderedPageBreak/>
              <w:t>CO</w:t>
            </w:r>
          </w:p>
        </w:tc>
        <w:tc>
          <w:tcPr>
            <w:tcW w:w="1180" w:type="dxa"/>
            <w:shd w:val="clear" w:color="auto" w:fill="00A2D4"/>
            <w:hideMark/>
          </w:tcPr>
          <w:p w14:paraId="4A810904"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GV-2.1.1</w:t>
            </w:r>
          </w:p>
        </w:tc>
        <w:tc>
          <w:tcPr>
            <w:tcW w:w="10420" w:type="dxa"/>
            <w:hideMark/>
          </w:tcPr>
          <w:p w14:paraId="5343C5C7"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AI Risk Management Roles and Responsibilities:</w:t>
            </w:r>
            <w:r w:rsidRPr="009F7E78">
              <w:rPr>
                <w:rFonts w:ascii="Aptos" w:eastAsia="Aptos" w:hAnsi="Aptos" w:cs="Times New Roman"/>
                <w:color w:val="auto"/>
                <w:kern w:val="2"/>
                <w:sz w:val="20"/>
                <w:szCs w:val="20"/>
                <w14:ligatures w14:val="standardContextual"/>
              </w:rPr>
              <w:t xml:space="preserve"> The organization defines and documents key AI risk management roles and responsibilities (e.g., AI system owners, developers, data scientists, risk managers, independent validation, additional second and third line personnel), across levels and functions. It establishes clear expectations, organizational structures for independent oversight, decision-making authority, escalation, and accountability, ensuring a structured, transparent, and accountable approach to AI risk management that aligns with existing organizational practices, industry best practices, and regulatory expectations.</w:t>
            </w:r>
          </w:p>
        </w:tc>
      </w:tr>
      <w:tr w:rsidR="009F7E78" w:rsidRPr="009F7E78" w14:paraId="6445B198" w14:textId="77777777" w:rsidTr="00F85994">
        <w:trPr>
          <w:trHeight w:val="1160"/>
        </w:trPr>
        <w:tc>
          <w:tcPr>
            <w:tcW w:w="1040" w:type="dxa"/>
            <w:hideMark/>
          </w:tcPr>
          <w:p w14:paraId="35871315"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A2D4"/>
            <w:hideMark/>
          </w:tcPr>
          <w:p w14:paraId="19F3D191"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GV-2.1.2</w:t>
            </w:r>
          </w:p>
        </w:tc>
        <w:tc>
          <w:tcPr>
            <w:tcW w:w="10420" w:type="dxa"/>
            <w:hideMark/>
          </w:tcPr>
          <w:p w14:paraId="39BB5F59"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AI Risk Communication and Escalation:</w:t>
            </w:r>
            <w:r w:rsidRPr="009F7E78">
              <w:rPr>
                <w:rFonts w:ascii="Aptos" w:eastAsia="Aptos" w:hAnsi="Aptos" w:cs="Times New Roman"/>
                <w:color w:val="auto"/>
                <w:kern w:val="2"/>
                <w:sz w:val="20"/>
                <w:szCs w:val="20"/>
                <w14:ligatures w14:val="standardContextual"/>
              </w:rPr>
              <w:t xml:space="preserve"> The organization establishes clear communication channels, escalation procedures, reporting lines, and decision-making authority for AI risk management, so stakeholders know whom to contact, collaborate with, and rely on for authorized decisions related to AI risks.</w:t>
            </w:r>
          </w:p>
        </w:tc>
      </w:tr>
      <w:tr w:rsidR="009F7E78" w:rsidRPr="009F7E78" w14:paraId="18A09EE0" w14:textId="77777777" w:rsidTr="00F85994">
        <w:trPr>
          <w:trHeight w:val="1160"/>
        </w:trPr>
        <w:tc>
          <w:tcPr>
            <w:tcW w:w="1040" w:type="dxa"/>
            <w:hideMark/>
          </w:tcPr>
          <w:p w14:paraId="60BB135F"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A2D4"/>
            <w:hideMark/>
          </w:tcPr>
          <w:p w14:paraId="03E306B9"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GV-2.1.3</w:t>
            </w:r>
          </w:p>
        </w:tc>
        <w:tc>
          <w:tcPr>
            <w:tcW w:w="10420" w:type="dxa"/>
            <w:hideMark/>
          </w:tcPr>
          <w:p w14:paraId="37858734"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Roles and Processes Review/Update:</w:t>
            </w:r>
            <w:r w:rsidRPr="009F7E78">
              <w:rPr>
                <w:rFonts w:ascii="Aptos" w:eastAsia="Aptos" w:hAnsi="Aptos" w:cs="Times New Roman"/>
                <w:color w:val="auto"/>
                <w:kern w:val="2"/>
                <w:sz w:val="20"/>
                <w:szCs w:val="20"/>
                <w14:ligatures w14:val="standardContextual"/>
              </w:rPr>
              <w:t xml:space="preserve"> The organization regularly reviews and updates roles, responsibilities, and communication lines to align with its evolving AI strategy, risk landscape, and industry best practices, utilizing stakeholder consultations and gap analysis.</w:t>
            </w:r>
          </w:p>
        </w:tc>
      </w:tr>
      <w:tr w:rsidR="009F7E78" w:rsidRPr="009F7E78" w14:paraId="6BBAB957" w14:textId="77777777" w:rsidTr="00F85994">
        <w:trPr>
          <w:trHeight w:val="1160"/>
        </w:trPr>
        <w:tc>
          <w:tcPr>
            <w:tcW w:w="1040" w:type="dxa"/>
            <w:hideMark/>
          </w:tcPr>
          <w:p w14:paraId="64FBA7B4"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A2D4"/>
            <w:hideMark/>
          </w:tcPr>
          <w:p w14:paraId="255D844D"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GV-2.1.4</w:t>
            </w:r>
          </w:p>
        </w:tc>
        <w:tc>
          <w:tcPr>
            <w:tcW w:w="10420" w:type="dxa"/>
            <w:hideMark/>
          </w:tcPr>
          <w:p w14:paraId="0FA944A2"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AI Risk Roles in Job and Performance:</w:t>
            </w:r>
            <w:r w:rsidRPr="009F7E78">
              <w:rPr>
                <w:rFonts w:ascii="Aptos" w:eastAsia="Aptos" w:hAnsi="Aptos" w:cs="Times New Roman"/>
                <w:color w:val="auto"/>
                <w:kern w:val="2"/>
                <w:sz w:val="20"/>
                <w:szCs w:val="20"/>
                <w14:ligatures w14:val="standardContextual"/>
              </w:rPr>
              <w:t xml:space="preserve"> The organization embeds AI risk management roles into job descriptions, performance goals, and career development paths, providing relevant personnel with necessary training and support. Additionally, the organization evaluates their performance in these areas.</w:t>
            </w:r>
          </w:p>
        </w:tc>
      </w:tr>
      <w:tr w:rsidR="009F7E78" w:rsidRPr="009F7E78" w14:paraId="41056248" w14:textId="77777777" w:rsidTr="00F85994">
        <w:trPr>
          <w:trHeight w:val="870"/>
        </w:trPr>
        <w:tc>
          <w:tcPr>
            <w:tcW w:w="1040" w:type="dxa"/>
            <w:hideMark/>
          </w:tcPr>
          <w:p w14:paraId="75652B2C"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S</w:t>
            </w:r>
          </w:p>
        </w:tc>
        <w:tc>
          <w:tcPr>
            <w:tcW w:w="1180" w:type="dxa"/>
            <w:shd w:val="clear" w:color="auto" w:fill="00A2D4"/>
            <w:hideMark/>
          </w:tcPr>
          <w:p w14:paraId="45363ED4"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GV-2.2</w:t>
            </w:r>
          </w:p>
        </w:tc>
        <w:tc>
          <w:tcPr>
            <w:tcW w:w="10420" w:type="dxa"/>
            <w:hideMark/>
          </w:tcPr>
          <w:p w14:paraId="4D1530FE"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Training for AI Risk Management:</w:t>
            </w:r>
            <w:r w:rsidRPr="009F7E78">
              <w:rPr>
                <w:rFonts w:ascii="Aptos" w:eastAsia="Aptos" w:hAnsi="Aptos" w:cs="Times New Roman"/>
                <w:color w:val="auto"/>
                <w:kern w:val="2"/>
                <w:sz w:val="20"/>
                <w:szCs w:val="20"/>
                <w14:ligatures w14:val="standardContextual"/>
              </w:rPr>
              <w:t xml:space="preserve"> The organization’s personnel and partners receive AI risk management training to enable them to perform their duties and responsibilities consistent with related policies, procedures, and agreements.</w:t>
            </w:r>
          </w:p>
        </w:tc>
      </w:tr>
      <w:tr w:rsidR="009F7E78" w:rsidRPr="009F7E78" w14:paraId="39903E98" w14:textId="77777777" w:rsidTr="00F85994">
        <w:trPr>
          <w:trHeight w:val="1740"/>
        </w:trPr>
        <w:tc>
          <w:tcPr>
            <w:tcW w:w="1040" w:type="dxa"/>
            <w:hideMark/>
          </w:tcPr>
          <w:p w14:paraId="06982E1D"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A2D4"/>
            <w:hideMark/>
          </w:tcPr>
          <w:p w14:paraId="172DCCBA"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GV-2.2.1</w:t>
            </w:r>
          </w:p>
        </w:tc>
        <w:tc>
          <w:tcPr>
            <w:tcW w:w="10420" w:type="dxa"/>
            <w:hideMark/>
          </w:tcPr>
          <w:p w14:paraId="5313CC44"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AI Risk Management Training and Policies:</w:t>
            </w:r>
            <w:r w:rsidRPr="009F7E78">
              <w:rPr>
                <w:rFonts w:ascii="Aptos" w:eastAsia="Aptos" w:hAnsi="Aptos" w:cs="Times New Roman"/>
                <w:color w:val="auto"/>
                <w:kern w:val="2"/>
                <w:sz w:val="20"/>
                <w:szCs w:val="20"/>
                <w14:ligatures w14:val="standardContextual"/>
              </w:rPr>
              <w:t xml:space="preserve"> The organization provides role-specific AI risk management training to all personnel involved in AI system development, deployment, or use, including executives, decision-makers, and technical staff. This training covers relevant trustworthiness principles, policies, procedures, legal and regulatory requirements, and industry best practices. It emphasizes understanding AI assumptions, limitations, and risks, fostering an informed approach to AI adoption and oversight.</w:t>
            </w:r>
          </w:p>
        </w:tc>
      </w:tr>
      <w:tr w:rsidR="009F7E78" w:rsidRPr="009F7E78" w14:paraId="0D19805F" w14:textId="77777777" w:rsidTr="00F85994">
        <w:trPr>
          <w:trHeight w:val="2610"/>
        </w:trPr>
        <w:tc>
          <w:tcPr>
            <w:tcW w:w="1040" w:type="dxa"/>
            <w:hideMark/>
          </w:tcPr>
          <w:p w14:paraId="6DBE2AA7"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A2D4"/>
            <w:hideMark/>
          </w:tcPr>
          <w:p w14:paraId="337735EA"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GV-2.2.2</w:t>
            </w:r>
          </w:p>
        </w:tc>
        <w:tc>
          <w:tcPr>
            <w:tcW w:w="10420" w:type="dxa"/>
            <w:hideMark/>
          </w:tcPr>
          <w:p w14:paraId="7F5C258D"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Mandatory AI Risk Management Training:</w:t>
            </w:r>
            <w:r w:rsidRPr="009F7E78">
              <w:rPr>
                <w:rFonts w:ascii="Aptos" w:eastAsia="Aptos" w:hAnsi="Aptos" w:cs="Times New Roman"/>
                <w:color w:val="auto"/>
                <w:kern w:val="2"/>
                <w:sz w:val="20"/>
                <w:szCs w:val="20"/>
                <w14:ligatures w14:val="standardContextual"/>
              </w:rPr>
              <w:t xml:space="preserve"> The organization provides role-specific AI risk management training to all personnel involved in AI system development, deployment, or use, including new hires and those transitioning into AI roles. This training covers relevant trustworthiness principles, policies, and legal and regulatory requirements. It emphasizes understanding AI assumptions, limitations, risks, and content provenance, with content lineage and provenance information integrated as a key subcomponent to enhance comprehension of data origin, integrity, and traceability throughout the AI lifecycle. The program incorporates theoretical concepts, practical exercises, and case studies to ensure effective application of knowledge across organizational roles.</w:t>
            </w:r>
          </w:p>
        </w:tc>
      </w:tr>
      <w:tr w:rsidR="009F7E78" w:rsidRPr="009F7E78" w14:paraId="216C952A" w14:textId="77777777" w:rsidTr="00F85994">
        <w:trPr>
          <w:trHeight w:val="1740"/>
        </w:trPr>
        <w:tc>
          <w:tcPr>
            <w:tcW w:w="1040" w:type="dxa"/>
            <w:hideMark/>
          </w:tcPr>
          <w:p w14:paraId="265E7097"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lastRenderedPageBreak/>
              <w:t>CO</w:t>
            </w:r>
          </w:p>
        </w:tc>
        <w:tc>
          <w:tcPr>
            <w:tcW w:w="1180" w:type="dxa"/>
            <w:shd w:val="clear" w:color="auto" w:fill="00A2D4"/>
            <w:hideMark/>
          </w:tcPr>
          <w:p w14:paraId="10120D8D"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GV-2.2.3</w:t>
            </w:r>
          </w:p>
        </w:tc>
        <w:tc>
          <w:tcPr>
            <w:tcW w:w="10420" w:type="dxa"/>
            <w:hideMark/>
          </w:tcPr>
          <w:p w14:paraId="1F9E92A5"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AI Training Effectiveness Evaluation:</w:t>
            </w:r>
            <w:r w:rsidRPr="009F7E78">
              <w:rPr>
                <w:rFonts w:ascii="Aptos" w:eastAsia="Aptos" w:hAnsi="Aptos" w:cs="Times New Roman"/>
                <w:color w:val="auto"/>
                <w:kern w:val="2"/>
                <w:sz w:val="20"/>
                <w:szCs w:val="20"/>
                <w14:ligatures w14:val="standardContextual"/>
              </w:rPr>
              <w:t xml:space="preserve"> The organization regularly evaluates the effectiveness of AI risk management training using assessments, employee feedback, and performance metrics. Evaluation results drive insights from monitoring activities and incident management to identify gaps and lessons learned. These findings inform updates to training content, delivery methods, and the overall training program to ensure continued relevance, effectiveness, and alignment with best practices and organizational needs.</w:t>
            </w:r>
          </w:p>
        </w:tc>
      </w:tr>
      <w:tr w:rsidR="009F7E78" w:rsidRPr="009F7E78" w14:paraId="003BD78C" w14:textId="77777777" w:rsidTr="00F85994">
        <w:trPr>
          <w:trHeight w:val="1740"/>
        </w:trPr>
        <w:tc>
          <w:tcPr>
            <w:tcW w:w="1040" w:type="dxa"/>
            <w:hideMark/>
          </w:tcPr>
          <w:p w14:paraId="5DA34233"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A2D4"/>
            <w:hideMark/>
          </w:tcPr>
          <w:p w14:paraId="5B2F857A"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GV-2.2.4</w:t>
            </w:r>
          </w:p>
        </w:tc>
        <w:tc>
          <w:tcPr>
            <w:tcW w:w="10420" w:type="dxa"/>
            <w:hideMark/>
          </w:tcPr>
          <w:p w14:paraId="49208930"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Advanced AI Risk Certification Programs:</w:t>
            </w:r>
            <w:r w:rsidRPr="009F7E78">
              <w:rPr>
                <w:rFonts w:ascii="Aptos" w:eastAsia="Aptos" w:hAnsi="Aptos" w:cs="Times New Roman"/>
                <w:color w:val="auto"/>
                <w:kern w:val="2"/>
                <w:sz w:val="20"/>
                <w:szCs w:val="20"/>
                <w14:ligatures w14:val="standardContextual"/>
              </w:rPr>
              <w:t xml:space="preserve"> The organization offers advanced AI risk management training and certification programs for personnel in specialized roles (e.g., executives, data scientists, risk managers). These programs cover advanced topics (e.g., responsible AI design, algorithmic fairness, explainable AI, risk quantification) and develop AI risk management expertise. AI risk management training is integrated into the organization's broader learning and development strategy.</w:t>
            </w:r>
          </w:p>
        </w:tc>
      </w:tr>
      <w:tr w:rsidR="009F7E78" w:rsidRPr="009F7E78" w14:paraId="3B6EB3AD" w14:textId="77777777" w:rsidTr="00F85994">
        <w:trPr>
          <w:trHeight w:val="580"/>
        </w:trPr>
        <w:tc>
          <w:tcPr>
            <w:tcW w:w="1040" w:type="dxa"/>
            <w:hideMark/>
          </w:tcPr>
          <w:p w14:paraId="12C8D8EC"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S</w:t>
            </w:r>
          </w:p>
        </w:tc>
        <w:tc>
          <w:tcPr>
            <w:tcW w:w="1180" w:type="dxa"/>
            <w:shd w:val="clear" w:color="auto" w:fill="00A2D4"/>
            <w:hideMark/>
          </w:tcPr>
          <w:p w14:paraId="3E369F04"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GV-2.3</w:t>
            </w:r>
          </w:p>
        </w:tc>
        <w:tc>
          <w:tcPr>
            <w:tcW w:w="10420" w:type="dxa"/>
            <w:hideMark/>
          </w:tcPr>
          <w:p w14:paraId="507F3706"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Accountability of Executive Leadership:</w:t>
            </w:r>
            <w:r w:rsidRPr="009F7E78">
              <w:rPr>
                <w:rFonts w:ascii="Aptos" w:eastAsia="Aptos" w:hAnsi="Aptos" w:cs="Times New Roman"/>
                <w:color w:val="auto"/>
                <w:kern w:val="2"/>
                <w:sz w:val="20"/>
                <w:szCs w:val="20"/>
                <w14:ligatures w14:val="standardContextual"/>
              </w:rPr>
              <w:t xml:space="preserve"> Executive leadership of the organization takes responsibility for decisions about risks associated with AI system development and deployment.</w:t>
            </w:r>
          </w:p>
        </w:tc>
      </w:tr>
      <w:tr w:rsidR="009F7E78" w:rsidRPr="009F7E78" w14:paraId="04878E9F" w14:textId="77777777" w:rsidTr="00F85994">
        <w:trPr>
          <w:trHeight w:val="2320"/>
        </w:trPr>
        <w:tc>
          <w:tcPr>
            <w:tcW w:w="1040" w:type="dxa"/>
            <w:hideMark/>
          </w:tcPr>
          <w:p w14:paraId="20EFCD2A"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A2D4"/>
            <w:hideMark/>
          </w:tcPr>
          <w:p w14:paraId="2A9E8B84"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GV-2.3.1</w:t>
            </w:r>
          </w:p>
        </w:tc>
        <w:tc>
          <w:tcPr>
            <w:tcW w:w="10420" w:type="dxa"/>
            <w:hideMark/>
          </w:tcPr>
          <w:p w14:paraId="1F5B16D4"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Leadership Commitment to Responsible AI:</w:t>
            </w:r>
            <w:r w:rsidRPr="009F7E78">
              <w:rPr>
                <w:rFonts w:ascii="Aptos" w:eastAsia="Aptos" w:hAnsi="Aptos" w:cs="Times New Roman"/>
                <w:color w:val="auto"/>
                <w:kern w:val="2"/>
                <w:sz w:val="20"/>
                <w:szCs w:val="20"/>
                <w14:ligatures w14:val="standardContextual"/>
              </w:rPr>
              <w:t xml:space="preserve"> The organization’s executive leadership demonstrates their commitment to responsible AI development and deployment by communicating the importance of AI risk management through town halls, newsletters, public statements, and digital channels. They emphasize the benefits of effective AI risk management, foster open dialogue, and recognize exemplary practices. Additionally, leadership sets clear expectations, defines roles and responsibilities, allocates adequate resources, and holds management accountable to ensure the effective implementation and integration of AI risk management practices across the organization.</w:t>
            </w:r>
          </w:p>
        </w:tc>
      </w:tr>
      <w:tr w:rsidR="009F7E78" w:rsidRPr="009F7E78" w14:paraId="08A7A289" w14:textId="77777777" w:rsidTr="00F85994">
        <w:trPr>
          <w:trHeight w:val="1450"/>
        </w:trPr>
        <w:tc>
          <w:tcPr>
            <w:tcW w:w="1040" w:type="dxa"/>
            <w:hideMark/>
          </w:tcPr>
          <w:p w14:paraId="5F7727CD"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A2D4"/>
            <w:hideMark/>
          </w:tcPr>
          <w:p w14:paraId="793ECC98"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GV-2.3.2</w:t>
            </w:r>
          </w:p>
        </w:tc>
        <w:tc>
          <w:tcPr>
            <w:tcW w:w="10420" w:type="dxa"/>
            <w:hideMark/>
          </w:tcPr>
          <w:p w14:paraId="793BDD59"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AI Risk Appetite and Thresholds:</w:t>
            </w:r>
            <w:r w:rsidRPr="009F7E78">
              <w:rPr>
                <w:rFonts w:ascii="Aptos" w:eastAsia="Aptos" w:hAnsi="Aptos" w:cs="Times New Roman"/>
                <w:color w:val="auto"/>
                <w:kern w:val="2"/>
                <w:sz w:val="20"/>
                <w:szCs w:val="20"/>
                <w14:ligatures w14:val="standardContextual"/>
              </w:rPr>
              <w:t xml:space="preserve"> The organization's executive leadership and/or an oversight board or committee, actively participate in establishing and approving the organization's risk appetite and tolerance thresholds for AI systems. They regularly review and contribute to AI risk management strategies, policies, and performance metrics, and principles, creating alignment with the ERM framework and business objectives.</w:t>
            </w:r>
          </w:p>
        </w:tc>
      </w:tr>
      <w:tr w:rsidR="009F7E78" w:rsidRPr="009F7E78" w14:paraId="3C6BA382" w14:textId="77777777" w:rsidTr="00F85994">
        <w:trPr>
          <w:trHeight w:val="1740"/>
        </w:trPr>
        <w:tc>
          <w:tcPr>
            <w:tcW w:w="1040" w:type="dxa"/>
            <w:hideMark/>
          </w:tcPr>
          <w:p w14:paraId="22131758"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A2D4"/>
            <w:hideMark/>
          </w:tcPr>
          <w:p w14:paraId="51735FF0"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GV-2.3.3</w:t>
            </w:r>
          </w:p>
        </w:tc>
        <w:tc>
          <w:tcPr>
            <w:tcW w:w="10420" w:type="dxa"/>
            <w:hideMark/>
          </w:tcPr>
          <w:p w14:paraId="52345347"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AI Governance Structure:</w:t>
            </w:r>
            <w:r w:rsidRPr="009F7E78">
              <w:rPr>
                <w:rFonts w:ascii="Aptos" w:eastAsia="Aptos" w:hAnsi="Aptos" w:cs="Times New Roman"/>
                <w:color w:val="auto"/>
                <w:kern w:val="2"/>
                <w:sz w:val="20"/>
                <w:szCs w:val="20"/>
                <w14:ligatures w14:val="standardContextual"/>
              </w:rPr>
              <w:t xml:space="preserve"> The organization establishes an AI governance structure, such as a committee with senior leaders from business, technology, risk, and legal. It provides oversight, reviews major AI initiatives, and advises on resources. Over time, this structure evolves toward clearer accountability, potentially involving a senior executive or Chief Model Risk Officer (CMRO) who takes primary responsibility for AI risk, ensuring alignment with existing risk functions like Model Risk Management (MRM).</w:t>
            </w:r>
          </w:p>
        </w:tc>
      </w:tr>
      <w:tr w:rsidR="009F7E78" w:rsidRPr="009F7E78" w14:paraId="7546466B" w14:textId="77777777" w:rsidTr="00F85994">
        <w:trPr>
          <w:trHeight w:val="2030"/>
        </w:trPr>
        <w:tc>
          <w:tcPr>
            <w:tcW w:w="1040" w:type="dxa"/>
            <w:hideMark/>
          </w:tcPr>
          <w:p w14:paraId="086C8E78"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A2D4"/>
            <w:hideMark/>
          </w:tcPr>
          <w:p w14:paraId="47A235B6"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GV-2.3.4</w:t>
            </w:r>
          </w:p>
        </w:tc>
        <w:tc>
          <w:tcPr>
            <w:tcW w:w="10420" w:type="dxa"/>
            <w:hideMark/>
          </w:tcPr>
          <w:p w14:paraId="34F34FB9"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Board Oversight of AI Risks:</w:t>
            </w:r>
            <w:r w:rsidRPr="009F7E78">
              <w:rPr>
                <w:rFonts w:ascii="Aptos" w:eastAsia="Aptos" w:hAnsi="Aptos" w:cs="Times New Roman"/>
                <w:color w:val="auto"/>
                <w:kern w:val="2"/>
                <w:sz w:val="20"/>
                <w:szCs w:val="20"/>
                <w14:ligatures w14:val="standardContextual"/>
              </w:rPr>
              <w:t xml:space="preserve"> The organization’s board of directors provides independent oversight of AI risk management by reviewing performance, discussing significant AI-related issues, and offering guidance on industry standards and guidelines. The board actively oversees the integration of AI into the organization’s broader strategic objectives, including investment and resource planning, business model evolution, and HR practices related to AI talent. The board ensures that AI considerations are embedded into enterprise-level decision-making, aligning AI initiatives with organizational goals and risk appetite.</w:t>
            </w:r>
          </w:p>
        </w:tc>
      </w:tr>
      <w:tr w:rsidR="009F7E78" w:rsidRPr="009F7E78" w14:paraId="1BCCF162" w14:textId="77777777" w:rsidTr="00F85994">
        <w:trPr>
          <w:trHeight w:val="870"/>
        </w:trPr>
        <w:tc>
          <w:tcPr>
            <w:tcW w:w="1040" w:type="dxa"/>
            <w:hideMark/>
          </w:tcPr>
          <w:p w14:paraId="24086B63"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lastRenderedPageBreak/>
              <w:t>C</w:t>
            </w:r>
          </w:p>
        </w:tc>
        <w:tc>
          <w:tcPr>
            <w:tcW w:w="1180" w:type="dxa"/>
            <w:shd w:val="clear" w:color="auto" w:fill="00A2D4"/>
            <w:hideMark/>
          </w:tcPr>
          <w:p w14:paraId="720C79D2"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GV-3</w:t>
            </w:r>
          </w:p>
        </w:tc>
        <w:tc>
          <w:tcPr>
            <w:tcW w:w="10420" w:type="dxa"/>
            <w:hideMark/>
          </w:tcPr>
          <w:p w14:paraId="63AA6AB8"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Building an AI Risk Management Workforce:</w:t>
            </w:r>
            <w:r w:rsidRPr="009F7E78">
              <w:rPr>
                <w:rFonts w:ascii="Aptos" w:eastAsia="Aptos" w:hAnsi="Aptos" w:cs="Times New Roman"/>
                <w:color w:val="auto"/>
                <w:kern w:val="2"/>
                <w:sz w:val="20"/>
                <w:szCs w:val="20"/>
                <w14:ligatures w14:val="standardContextual"/>
              </w:rPr>
              <w:t xml:space="preserve"> Workforce diversity, equity, inclusion, and accessibility processes are prioritized in the mapping, measuring, and managing of AI risks throughout the lifecycle.</w:t>
            </w:r>
          </w:p>
        </w:tc>
      </w:tr>
      <w:tr w:rsidR="009F7E78" w:rsidRPr="009F7E78" w14:paraId="4AA9DDDA" w14:textId="77777777" w:rsidTr="00F85994">
        <w:trPr>
          <w:trHeight w:val="870"/>
        </w:trPr>
        <w:tc>
          <w:tcPr>
            <w:tcW w:w="1040" w:type="dxa"/>
            <w:hideMark/>
          </w:tcPr>
          <w:p w14:paraId="2054FC98"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S</w:t>
            </w:r>
          </w:p>
        </w:tc>
        <w:tc>
          <w:tcPr>
            <w:tcW w:w="1180" w:type="dxa"/>
            <w:shd w:val="clear" w:color="auto" w:fill="00A2D4"/>
            <w:hideMark/>
          </w:tcPr>
          <w:p w14:paraId="776B0B56"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GV-3.1</w:t>
            </w:r>
          </w:p>
        </w:tc>
        <w:tc>
          <w:tcPr>
            <w:tcW w:w="10420" w:type="dxa"/>
            <w:hideMark/>
          </w:tcPr>
          <w:p w14:paraId="609EE451"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Bolstering Broad Perspectives:</w:t>
            </w:r>
            <w:r w:rsidRPr="009F7E78">
              <w:rPr>
                <w:rFonts w:ascii="Aptos" w:eastAsia="Aptos" w:hAnsi="Aptos" w:cs="Times New Roman"/>
                <w:color w:val="auto"/>
                <w:kern w:val="2"/>
                <w:sz w:val="20"/>
                <w:szCs w:val="20"/>
                <w14:ligatures w14:val="standardContextual"/>
              </w:rPr>
              <w:t xml:space="preserve"> Decision-making related to mapping, measuring, and managing AI risks throughout the lifecycle is informed by a diverse team (e.g., diversity of demographics, disciplines, experience, expertise, and backgrounds).</w:t>
            </w:r>
          </w:p>
        </w:tc>
      </w:tr>
      <w:tr w:rsidR="009F7E78" w:rsidRPr="009F7E78" w14:paraId="6C3AB913" w14:textId="77777777" w:rsidTr="00F85994">
        <w:trPr>
          <w:trHeight w:val="1450"/>
        </w:trPr>
        <w:tc>
          <w:tcPr>
            <w:tcW w:w="1040" w:type="dxa"/>
            <w:hideMark/>
          </w:tcPr>
          <w:p w14:paraId="71B0D9A5"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A2D4"/>
            <w:hideMark/>
          </w:tcPr>
          <w:p w14:paraId="289A8CE6"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GV-3.1.1</w:t>
            </w:r>
          </w:p>
        </w:tc>
        <w:tc>
          <w:tcPr>
            <w:tcW w:w="10420" w:type="dxa"/>
            <w:hideMark/>
          </w:tcPr>
          <w:p w14:paraId="4C1C1411"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Multiple Perspectives in AI Risk Teams:</w:t>
            </w:r>
            <w:r w:rsidRPr="009F7E78">
              <w:rPr>
                <w:rFonts w:ascii="Aptos" w:eastAsia="Aptos" w:hAnsi="Aptos" w:cs="Times New Roman"/>
                <w:color w:val="auto"/>
                <w:kern w:val="2"/>
                <w:sz w:val="20"/>
                <w:szCs w:val="20"/>
                <w14:ligatures w14:val="standardContextual"/>
              </w:rPr>
              <w:t xml:space="preserve"> To minimize risk blind spots and groupthink and represent global or regional stakeholder interests, the organization prioritizes multidisciplinary perspectives in AI risk management decision-making. AI risk management teams are formed considering demographics, disciplines, experience, and backgrounds, actively seeking multiple perspectives.</w:t>
            </w:r>
          </w:p>
        </w:tc>
      </w:tr>
      <w:tr w:rsidR="009F7E78" w:rsidRPr="009F7E78" w14:paraId="5BB03B05" w14:textId="77777777" w:rsidTr="00F85994">
        <w:trPr>
          <w:trHeight w:val="580"/>
        </w:trPr>
        <w:tc>
          <w:tcPr>
            <w:tcW w:w="1040" w:type="dxa"/>
            <w:hideMark/>
          </w:tcPr>
          <w:p w14:paraId="23DAF322"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S</w:t>
            </w:r>
          </w:p>
        </w:tc>
        <w:tc>
          <w:tcPr>
            <w:tcW w:w="1180" w:type="dxa"/>
            <w:shd w:val="clear" w:color="auto" w:fill="00A2D4"/>
            <w:hideMark/>
          </w:tcPr>
          <w:p w14:paraId="21AE221D"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GV-3.2</w:t>
            </w:r>
          </w:p>
        </w:tc>
        <w:tc>
          <w:tcPr>
            <w:tcW w:w="10420" w:type="dxa"/>
            <w:hideMark/>
          </w:tcPr>
          <w:p w14:paraId="305F864E"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Defining Human-AI Configurations:</w:t>
            </w:r>
            <w:r w:rsidRPr="009F7E78">
              <w:rPr>
                <w:rFonts w:ascii="Aptos" w:eastAsia="Aptos" w:hAnsi="Aptos" w:cs="Times New Roman"/>
                <w:color w:val="auto"/>
                <w:kern w:val="2"/>
                <w:sz w:val="20"/>
                <w:szCs w:val="20"/>
                <w14:ligatures w14:val="standardContextual"/>
              </w:rPr>
              <w:t xml:space="preserve"> Policies and procedures are in place to define and differentiate roles and responsibilities for human-AI configurations and oversight of AI systems.</w:t>
            </w:r>
          </w:p>
        </w:tc>
      </w:tr>
      <w:tr w:rsidR="009F7E78" w:rsidRPr="009F7E78" w14:paraId="31CC3E76" w14:textId="77777777" w:rsidTr="00F85994">
        <w:trPr>
          <w:trHeight w:val="2030"/>
        </w:trPr>
        <w:tc>
          <w:tcPr>
            <w:tcW w:w="1040" w:type="dxa"/>
            <w:hideMark/>
          </w:tcPr>
          <w:p w14:paraId="12D5231C"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A2D4"/>
            <w:hideMark/>
          </w:tcPr>
          <w:p w14:paraId="15B0990E"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GV-3.2.1</w:t>
            </w:r>
          </w:p>
        </w:tc>
        <w:tc>
          <w:tcPr>
            <w:tcW w:w="10420" w:type="dxa"/>
            <w:hideMark/>
          </w:tcPr>
          <w:p w14:paraId="32EC642F"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Human-AI Supervision Policies:</w:t>
            </w:r>
            <w:r w:rsidRPr="009F7E78">
              <w:rPr>
                <w:rFonts w:ascii="Aptos" w:eastAsia="Aptos" w:hAnsi="Aptos" w:cs="Times New Roman"/>
                <w:color w:val="auto"/>
                <w:kern w:val="2"/>
                <w:sz w:val="20"/>
                <w:szCs w:val="20"/>
                <w14:ligatures w14:val="standardContextual"/>
              </w:rPr>
              <w:t xml:space="preserve"> The organization develops, periodically reviews, and updates policies and protocols for human involvement, oversight, and disclosure throughout the AI lifecycle. These policies should address risks such as automation complacency, anthropomorphization, and disinformation by including measures to prevent unapproved interactions, promote transparency, and mitigate undue reliance. They should also establish safeguards for human override, communication, and external stakeholder engagement to ensure responsible and aligned AI deployment.</w:t>
            </w:r>
          </w:p>
        </w:tc>
      </w:tr>
      <w:tr w:rsidR="009F7E78" w:rsidRPr="009F7E78" w14:paraId="5FB32D0A" w14:textId="77777777" w:rsidTr="00F85994">
        <w:trPr>
          <w:trHeight w:val="2320"/>
        </w:trPr>
        <w:tc>
          <w:tcPr>
            <w:tcW w:w="1040" w:type="dxa"/>
            <w:hideMark/>
          </w:tcPr>
          <w:p w14:paraId="0384F11D"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A2D4"/>
            <w:hideMark/>
          </w:tcPr>
          <w:p w14:paraId="1E229A83"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GV-3.2.2</w:t>
            </w:r>
          </w:p>
        </w:tc>
        <w:tc>
          <w:tcPr>
            <w:tcW w:w="10420" w:type="dxa"/>
            <w:hideMark/>
          </w:tcPr>
          <w:p w14:paraId="308E572D"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Monitoring Human-AI Oversight:</w:t>
            </w:r>
            <w:r w:rsidRPr="009F7E78">
              <w:rPr>
                <w:rFonts w:ascii="Aptos" w:eastAsia="Aptos" w:hAnsi="Aptos" w:cs="Times New Roman"/>
                <w:color w:val="auto"/>
                <w:kern w:val="2"/>
                <w:sz w:val="20"/>
                <w:szCs w:val="20"/>
                <w14:ligatures w14:val="standardContextual"/>
              </w:rPr>
              <w:t xml:space="preserve"> The organization implements mechanisms (e.g., audits, performance evaluations, feedback loops) to monitor and assess human-AI interactions, including behavioral risks like automation complacency or inappropriate overreliance. Data collected should inform decision-making and resource allocation, and policies should promote understanding of AI limitations to prevent overreliance. Integration with ongoing monitoring processes should specifically include assessments of how effectively human operators are interacting with and overseeing AI systems, evaluating the quality and outcomes of human-AI collaboration.</w:t>
            </w:r>
          </w:p>
        </w:tc>
      </w:tr>
      <w:tr w:rsidR="009F7E78" w:rsidRPr="009F7E78" w14:paraId="39B74C80" w14:textId="77777777" w:rsidTr="00F85994">
        <w:trPr>
          <w:trHeight w:val="580"/>
        </w:trPr>
        <w:tc>
          <w:tcPr>
            <w:tcW w:w="1040" w:type="dxa"/>
            <w:hideMark/>
          </w:tcPr>
          <w:p w14:paraId="77D3D4B6"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w:t>
            </w:r>
          </w:p>
        </w:tc>
        <w:tc>
          <w:tcPr>
            <w:tcW w:w="1180" w:type="dxa"/>
            <w:shd w:val="clear" w:color="auto" w:fill="00A2D4"/>
            <w:hideMark/>
          </w:tcPr>
          <w:p w14:paraId="14944288"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GV-4</w:t>
            </w:r>
          </w:p>
        </w:tc>
        <w:tc>
          <w:tcPr>
            <w:tcW w:w="10420" w:type="dxa"/>
            <w:hideMark/>
          </w:tcPr>
          <w:p w14:paraId="16C90AFD"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Bolstering a Risk-Aware Culture:</w:t>
            </w:r>
            <w:r w:rsidRPr="009F7E78">
              <w:rPr>
                <w:rFonts w:ascii="Aptos" w:eastAsia="Aptos" w:hAnsi="Aptos" w:cs="Times New Roman"/>
                <w:color w:val="auto"/>
                <w:kern w:val="2"/>
                <w:sz w:val="20"/>
                <w:szCs w:val="20"/>
                <w14:ligatures w14:val="standardContextual"/>
              </w:rPr>
              <w:t xml:space="preserve"> Organizational teams are committed to a culture that considers and communicates AI risk.</w:t>
            </w:r>
          </w:p>
        </w:tc>
      </w:tr>
      <w:tr w:rsidR="009F7E78" w:rsidRPr="009F7E78" w14:paraId="67431D18" w14:textId="77777777" w:rsidTr="00F85994">
        <w:trPr>
          <w:trHeight w:val="870"/>
        </w:trPr>
        <w:tc>
          <w:tcPr>
            <w:tcW w:w="1040" w:type="dxa"/>
            <w:hideMark/>
          </w:tcPr>
          <w:p w14:paraId="47FE9401"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S</w:t>
            </w:r>
          </w:p>
        </w:tc>
        <w:tc>
          <w:tcPr>
            <w:tcW w:w="1180" w:type="dxa"/>
            <w:shd w:val="clear" w:color="auto" w:fill="00A2D4"/>
            <w:hideMark/>
          </w:tcPr>
          <w:p w14:paraId="0C80CB79"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GV-4.1</w:t>
            </w:r>
          </w:p>
        </w:tc>
        <w:tc>
          <w:tcPr>
            <w:tcW w:w="10420" w:type="dxa"/>
            <w:hideMark/>
          </w:tcPr>
          <w:p w14:paraId="440AA405"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Establishing a Risk-Aware Culture:</w:t>
            </w:r>
            <w:r w:rsidRPr="009F7E78">
              <w:rPr>
                <w:rFonts w:ascii="Aptos" w:eastAsia="Aptos" w:hAnsi="Aptos" w:cs="Times New Roman"/>
                <w:color w:val="auto"/>
                <w:kern w:val="2"/>
                <w:sz w:val="20"/>
                <w:szCs w:val="20"/>
                <w14:ligatures w14:val="standardContextual"/>
              </w:rPr>
              <w:t xml:space="preserve"> Organizational policies and practices are in place to foster a critical thinking and safety-first mindset in the design, development, deployment, and uses of AI systems to minimize potential negative impacts.</w:t>
            </w:r>
          </w:p>
        </w:tc>
      </w:tr>
      <w:tr w:rsidR="009F7E78" w:rsidRPr="009F7E78" w14:paraId="05B1404F" w14:textId="77777777" w:rsidTr="00F85994">
        <w:trPr>
          <w:trHeight w:val="1160"/>
        </w:trPr>
        <w:tc>
          <w:tcPr>
            <w:tcW w:w="1040" w:type="dxa"/>
            <w:hideMark/>
          </w:tcPr>
          <w:p w14:paraId="14C01449"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A2D4"/>
            <w:hideMark/>
          </w:tcPr>
          <w:p w14:paraId="27D703F2"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GV-4.1.1</w:t>
            </w:r>
          </w:p>
        </w:tc>
        <w:tc>
          <w:tcPr>
            <w:tcW w:w="10420" w:type="dxa"/>
            <w:hideMark/>
          </w:tcPr>
          <w:p w14:paraId="7EBF2311"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AI Trustworthy Principles and Communication:</w:t>
            </w:r>
            <w:r w:rsidRPr="009F7E78">
              <w:rPr>
                <w:rFonts w:ascii="Aptos" w:eastAsia="Aptos" w:hAnsi="Aptos" w:cs="Times New Roman"/>
                <w:color w:val="auto"/>
                <w:kern w:val="2"/>
                <w:sz w:val="20"/>
                <w:szCs w:val="20"/>
                <w14:ligatures w14:val="standardContextual"/>
              </w:rPr>
              <w:t xml:space="preserve"> The organization regularly reviews AI Trustworthy Principles prioritizing safety, critical thinking, and the minimization of potential negative impacts in AI system design, development, deployment, and use. These principles are clearly communicated to stakeholders and integrated into relevant training programs.</w:t>
            </w:r>
          </w:p>
        </w:tc>
      </w:tr>
      <w:tr w:rsidR="009F7E78" w:rsidRPr="009F7E78" w14:paraId="43A439E8" w14:textId="77777777" w:rsidTr="00F85994">
        <w:trPr>
          <w:trHeight w:val="1740"/>
        </w:trPr>
        <w:tc>
          <w:tcPr>
            <w:tcW w:w="1040" w:type="dxa"/>
            <w:hideMark/>
          </w:tcPr>
          <w:p w14:paraId="7BFCD75C"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lastRenderedPageBreak/>
              <w:t>CO</w:t>
            </w:r>
          </w:p>
        </w:tc>
        <w:tc>
          <w:tcPr>
            <w:tcW w:w="1180" w:type="dxa"/>
            <w:shd w:val="clear" w:color="auto" w:fill="00A2D4"/>
            <w:hideMark/>
          </w:tcPr>
          <w:p w14:paraId="2DDEDB42"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GV-4.1.2</w:t>
            </w:r>
          </w:p>
        </w:tc>
        <w:tc>
          <w:tcPr>
            <w:tcW w:w="10420" w:type="dxa"/>
            <w:hideMark/>
          </w:tcPr>
          <w:p w14:paraId="598E501C"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Open Risk Communication Policies:</w:t>
            </w:r>
            <w:r w:rsidRPr="009F7E78">
              <w:rPr>
                <w:rFonts w:ascii="Aptos" w:eastAsia="Aptos" w:hAnsi="Aptos" w:cs="Times New Roman"/>
                <w:color w:val="auto"/>
                <w:kern w:val="2"/>
                <w:sz w:val="20"/>
                <w:szCs w:val="20"/>
                <w14:ligatures w14:val="standardContextual"/>
              </w:rPr>
              <w:t xml:space="preserve"> The organization develops and implements policies fostering open communication, proactive risk reporting, and a risk-aware culture across the AI lifecycle, integrating these practices into existing management systems and workflows. These policies include whistleblower protections, independent oversight, critical practices like pair programming, dogfooding, and external audits, ensuring employees and stakeholders can raise concerns and practice effective challenge without retribution.</w:t>
            </w:r>
          </w:p>
        </w:tc>
      </w:tr>
      <w:tr w:rsidR="009F7E78" w:rsidRPr="009F7E78" w14:paraId="7F240E73" w14:textId="77777777" w:rsidTr="00F85994">
        <w:trPr>
          <w:trHeight w:val="1740"/>
        </w:trPr>
        <w:tc>
          <w:tcPr>
            <w:tcW w:w="1040" w:type="dxa"/>
            <w:hideMark/>
          </w:tcPr>
          <w:p w14:paraId="0E4E5D2A"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A2D4"/>
            <w:hideMark/>
          </w:tcPr>
          <w:p w14:paraId="6F58CC9A"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GV-4.1.3</w:t>
            </w:r>
          </w:p>
        </w:tc>
        <w:tc>
          <w:tcPr>
            <w:tcW w:w="10420" w:type="dxa"/>
            <w:hideMark/>
          </w:tcPr>
          <w:p w14:paraId="3CAE2090"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AI Safety Lessons and Best Practices:</w:t>
            </w:r>
            <w:r w:rsidRPr="009F7E78">
              <w:rPr>
                <w:rFonts w:ascii="Aptos" w:eastAsia="Aptos" w:hAnsi="Aptos" w:cs="Times New Roman"/>
                <w:color w:val="auto"/>
                <w:kern w:val="2"/>
                <w:sz w:val="20"/>
                <w:szCs w:val="20"/>
                <w14:ligatures w14:val="standardContextual"/>
              </w:rPr>
              <w:t xml:space="preserve"> The organization implements an improvement process that captures, shares, and applies lessons learned and best practices related to AI safety and risk management. This process promotes effective challenge through regular debriefs, case studies, cross-functional collaboration, and the integration of insights into policies, practices, and training programs to drive ongoing enhancement of the organization's critical thinking and safety-first mindset in AI development and deployment.</w:t>
            </w:r>
          </w:p>
        </w:tc>
      </w:tr>
      <w:tr w:rsidR="009F7E78" w:rsidRPr="009F7E78" w14:paraId="65E5BECB" w14:textId="77777777" w:rsidTr="00F85994">
        <w:trPr>
          <w:trHeight w:val="870"/>
        </w:trPr>
        <w:tc>
          <w:tcPr>
            <w:tcW w:w="1040" w:type="dxa"/>
            <w:hideMark/>
          </w:tcPr>
          <w:p w14:paraId="254B3F53"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S</w:t>
            </w:r>
          </w:p>
        </w:tc>
        <w:tc>
          <w:tcPr>
            <w:tcW w:w="1180" w:type="dxa"/>
            <w:shd w:val="clear" w:color="auto" w:fill="00A2D4"/>
            <w:hideMark/>
          </w:tcPr>
          <w:p w14:paraId="52C91C35"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GV-4.2</w:t>
            </w:r>
          </w:p>
        </w:tc>
        <w:tc>
          <w:tcPr>
            <w:tcW w:w="10420" w:type="dxa"/>
            <w:hideMark/>
          </w:tcPr>
          <w:p w14:paraId="084BFAEB"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Documenting the AI System's Impact:</w:t>
            </w:r>
            <w:r w:rsidRPr="009F7E78">
              <w:rPr>
                <w:rFonts w:ascii="Aptos" w:eastAsia="Aptos" w:hAnsi="Aptos" w:cs="Times New Roman"/>
                <w:color w:val="auto"/>
                <w:kern w:val="2"/>
                <w:sz w:val="20"/>
                <w:szCs w:val="20"/>
                <w14:ligatures w14:val="standardContextual"/>
              </w:rPr>
              <w:t xml:space="preserve"> Organizational teams document the risks and potential impacts of the AI technology they design, develop, deploy, evaluate, and use, and they communicate about the impacts more broadly.</w:t>
            </w:r>
          </w:p>
        </w:tc>
      </w:tr>
      <w:tr w:rsidR="009F7E78" w:rsidRPr="009F7E78" w14:paraId="4BD4AA74" w14:textId="77777777" w:rsidTr="00F85994">
        <w:trPr>
          <w:trHeight w:val="1450"/>
        </w:trPr>
        <w:tc>
          <w:tcPr>
            <w:tcW w:w="1040" w:type="dxa"/>
            <w:hideMark/>
          </w:tcPr>
          <w:p w14:paraId="39D55F24"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A2D4"/>
            <w:hideMark/>
          </w:tcPr>
          <w:p w14:paraId="49AFC969"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GV-4.2.1</w:t>
            </w:r>
          </w:p>
        </w:tc>
        <w:tc>
          <w:tcPr>
            <w:tcW w:w="10420" w:type="dxa"/>
            <w:hideMark/>
          </w:tcPr>
          <w:p w14:paraId="77CE991B"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AI Risk and Impact Documentation Templates:</w:t>
            </w:r>
            <w:r w:rsidRPr="009F7E78">
              <w:rPr>
                <w:rFonts w:ascii="Aptos" w:eastAsia="Aptos" w:hAnsi="Aptos" w:cs="Times New Roman"/>
                <w:color w:val="auto"/>
                <w:kern w:val="2"/>
                <w:sz w:val="20"/>
                <w:szCs w:val="20"/>
                <w14:ligatures w14:val="standardContextual"/>
              </w:rPr>
              <w:t xml:space="preserve"> The organization establishes standardized templates and guidelines for documenting AI system risks and potential impacts throughout the AI lifecycle. These templates support informed risk assessment and estimation processes, facilitating consistent documentation across teams and projects.</w:t>
            </w:r>
          </w:p>
        </w:tc>
      </w:tr>
      <w:tr w:rsidR="009F7E78" w:rsidRPr="009F7E78" w14:paraId="460A47D8" w14:textId="77777777" w:rsidTr="00F85994">
        <w:trPr>
          <w:trHeight w:val="1450"/>
        </w:trPr>
        <w:tc>
          <w:tcPr>
            <w:tcW w:w="1040" w:type="dxa"/>
            <w:hideMark/>
          </w:tcPr>
          <w:p w14:paraId="389BF18B"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A2D4"/>
            <w:hideMark/>
          </w:tcPr>
          <w:p w14:paraId="518E2D53"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GV-4.2.2</w:t>
            </w:r>
          </w:p>
        </w:tc>
        <w:tc>
          <w:tcPr>
            <w:tcW w:w="10420" w:type="dxa"/>
            <w:hideMark/>
          </w:tcPr>
          <w:p w14:paraId="566D9C19"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Risk Documentation Review and Updates:</w:t>
            </w:r>
            <w:r w:rsidRPr="009F7E78">
              <w:rPr>
                <w:rFonts w:ascii="Aptos" w:eastAsia="Aptos" w:hAnsi="Aptos" w:cs="Times New Roman"/>
                <w:color w:val="auto"/>
                <w:kern w:val="2"/>
                <w:sz w:val="20"/>
                <w:szCs w:val="20"/>
                <w14:ligatures w14:val="standardContextual"/>
              </w:rPr>
              <w:t xml:space="preserve"> The organization regularly reviews and updates AI risk and impact documentation based on stakeholder feedback (e.g., end-users, subject matter experts, external advisors), ensuring that the information remains accurate, relevant, and actionable. This feedback is used to refine AI risk management practices and inform targeted risk mitigation strategies.</w:t>
            </w:r>
          </w:p>
        </w:tc>
      </w:tr>
      <w:tr w:rsidR="009F7E78" w:rsidRPr="009F7E78" w14:paraId="267256C3" w14:textId="77777777" w:rsidTr="00F85994">
        <w:trPr>
          <w:trHeight w:val="870"/>
        </w:trPr>
        <w:tc>
          <w:tcPr>
            <w:tcW w:w="1040" w:type="dxa"/>
            <w:hideMark/>
          </w:tcPr>
          <w:p w14:paraId="1372FE5E"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A2D4"/>
            <w:hideMark/>
          </w:tcPr>
          <w:p w14:paraId="3D9507E8"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GV-4.2.3</w:t>
            </w:r>
          </w:p>
        </w:tc>
        <w:tc>
          <w:tcPr>
            <w:tcW w:w="10420" w:type="dxa"/>
            <w:hideMark/>
          </w:tcPr>
          <w:p w14:paraId="195D2C1F"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Benefits Monitoring and Updates Plan:</w:t>
            </w:r>
            <w:r w:rsidRPr="009F7E78">
              <w:rPr>
                <w:rFonts w:ascii="Aptos" w:eastAsia="Aptos" w:hAnsi="Aptos" w:cs="Times New Roman"/>
                <w:color w:val="auto"/>
                <w:kern w:val="2"/>
                <w:sz w:val="20"/>
                <w:szCs w:val="20"/>
                <w14:ligatures w14:val="standardContextual"/>
              </w:rPr>
              <w:t xml:space="preserve"> The organization creates a plan to regularly review and update documentation of the AI system’s actual and potential benefits as its functionality, performance, and context of use evolve.</w:t>
            </w:r>
          </w:p>
        </w:tc>
      </w:tr>
      <w:tr w:rsidR="009F7E78" w:rsidRPr="009F7E78" w14:paraId="64DA3F09" w14:textId="77777777" w:rsidTr="00F85994">
        <w:trPr>
          <w:trHeight w:val="2030"/>
        </w:trPr>
        <w:tc>
          <w:tcPr>
            <w:tcW w:w="1040" w:type="dxa"/>
            <w:hideMark/>
          </w:tcPr>
          <w:p w14:paraId="0B7744D8"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A2D4"/>
            <w:hideMark/>
          </w:tcPr>
          <w:p w14:paraId="7998C950"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GV-4.2.4</w:t>
            </w:r>
          </w:p>
        </w:tc>
        <w:tc>
          <w:tcPr>
            <w:tcW w:w="10420" w:type="dxa"/>
            <w:hideMark/>
          </w:tcPr>
          <w:p w14:paraId="757000C3"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AI Risk Communication and Stakeholder Transparency:</w:t>
            </w:r>
            <w:r w:rsidRPr="009F7E78">
              <w:rPr>
                <w:rFonts w:ascii="Aptos" w:eastAsia="Aptos" w:hAnsi="Aptos" w:cs="Times New Roman"/>
                <w:color w:val="auto"/>
                <w:kern w:val="2"/>
                <w:sz w:val="20"/>
                <w:szCs w:val="20"/>
                <w14:ligatures w14:val="standardContextual"/>
              </w:rPr>
              <w:t xml:space="preserve"> The organization develops and implements a comprehensive communication strategy to proactively share information about AI risks, potential impacts, and risk mitigation actions with relevant internal and external stakeholders. This plan includes tailored messaging, engagement mechanisms, and channels for stakeholder feedback, fostering transparency, accountability, and building trust in the organization’s AI risk management practices and responsible AI development and deployment.</w:t>
            </w:r>
          </w:p>
        </w:tc>
      </w:tr>
      <w:tr w:rsidR="009F7E78" w:rsidRPr="009F7E78" w14:paraId="07DFEB68" w14:textId="77777777" w:rsidTr="00F85994">
        <w:trPr>
          <w:trHeight w:val="580"/>
        </w:trPr>
        <w:tc>
          <w:tcPr>
            <w:tcW w:w="1040" w:type="dxa"/>
            <w:hideMark/>
          </w:tcPr>
          <w:p w14:paraId="23B12266"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S</w:t>
            </w:r>
          </w:p>
        </w:tc>
        <w:tc>
          <w:tcPr>
            <w:tcW w:w="1180" w:type="dxa"/>
            <w:shd w:val="clear" w:color="auto" w:fill="00A2D4"/>
            <w:hideMark/>
          </w:tcPr>
          <w:p w14:paraId="5D816CA2"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GV-4.3</w:t>
            </w:r>
          </w:p>
        </w:tc>
        <w:tc>
          <w:tcPr>
            <w:tcW w:w="10420" w:type="dxa"/>
            <w:hideMark/>
          </w:tcPr>
          <w:p w14:paraId="49316AED"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Establishing AI Incident Response and Information Sharing Processes:</w:t>
            </w:r>
            <w:r w:rsidRPr="009F7E78">
              <w:rPr>
                <w:rFonts w:ascii="Aptos" w:eastAsia="Aptos" w:hAnsi="Aptos" w:cs="Times New Roman"/>
                <w:color w:val="auto"/>
                <w:kern w:val="2"/>
                <w:sz w:val="20"/>
                <w:szCs w:val="20"/>
                <w14:ligatures w14:val="standardContextual"/>
              </w:rPr>
              <w:t xml:space="preserve"> Organizational practices are in place to enable AI testing, identification of incidents, and information sharing.</w:t>
            </w:r>
          </w:p>
        </w:tc>
      </w:tr>
      <w:tr w:rsidR="009F7E78" w:rsidRPr="009F7E78" w14:paraId="0D54692C" w14:textId="77777777" w:rsidTr="00F85994">
        <w:trPr>
          <w:trHeight w:val="1450"/>
        </w:trPr>
        <w:tc>
          <w:tcPr>
            <w:tcW w:w="1040" w:type="dxa"/>
            <w:hideMark/>
          </w:tcPr>
          <w:p w14:paraId="34569813"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A2D4"/>
            <w:hideMark/>
          </w:tcPr>
          <w:p w14:paraId="7914D994"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GV-4.3.1</w:t>
            </w:r>
          </w:p>
        </w:tc>
        <w:tc>
          <w:tcPr>
            <w:tcW w:w="10420" w:type="dxa"/>
            <w:hideMark/>
          </w:tcPr>
          <w:p w14:paraId="2FEC0A50"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AI Testing and Validation Strategy:</w:t>
            </w:r>
            <w:r w:rsidRPr="009F7E78">
              <w:rPr>
                <w:rFonts w:ascii="Aptos" w:eastAsia="Aptos" w:hAnsi="Aptos" w:cs="Times New Roman"/>
                <w:color w:val="auto"/>
                <w:kern w:val="2"/>
                <w:sz w:val="20"/>
                <w:szCs w:val="20"/>
                <w14:ligatures w14:val="standardContextual"/>
              </w:rPr>
              <w:t xml:space="preserve"> The organization establishes an AI system testing strategy encompassing unit, integration, performance, and user acceptance testing, tailored to the system characteristics and requirements. This strategy should also include testing for real-world risks through methods such as red-teaming and field testing. The strategy will be regularly reviewed and updated.</w:t>
            </w:r>
          </w:p>
        </w:tc>
      </w:tr>
      <w:tr w:rsidR="009F7E78" w:rsidRPr="009F7E78" w14:paraId="476228BE" w14:textId="77777777" w:rsidTr="00F85994">
        <w:trPr>
          <w:trHeight w:val="1740"/>
        </w:trPr>
        <w:tc>
          <w:tcPr>
            <w:tcW w:w="1040" w:type="dxa"/>
            <w:hideMark/>
          </w:tcPr>
          <w:p w14:paraId="7A5362BF"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lastRenderedPageBreak/>
              <w:t>CO</w:t>
            </w:r>
          </w:p>
        </w:tc>
        <w:tc>
          <w:tcPr>
            <w:tcW w:w="1180" w:type="dxa"/>
            <w:shd w:val="clear" w:color="auto" w:fill="00A2D4"/>
            <w:hideMark/>
          </w:tcPr>
          <w:p w14:paraId="6C002834"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GV-4.3.2</w:t>
            </w:r>
          </w:p>
        </w:tc>
        <w:tc>
          <w:tcPr>
            <w:tcW w:w="10420" w:type="dxa"/>
            <w:hideMark/>
          </w:tcPr>
          <w:p w14:paraId="5D13459B"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AI Incident Identification and Resolution:</w:t>
            </w:r>
            <w:r w:rsidRPr="009F7E78">
              <w:rPr>
                <w:rFonts w:ascii="Aptos" w:eastAsia="Aptos" w:hAnsi="Aptos" w:cs="Times New Roman"/>
                <w:color w:val="auto"/>
                <w:kern w:val="2"/>
                <w:sz w:val="20"/>
                <w:szCs w:val="20"/>
                <w14:ligatures w14:val="standardContextual"/>
              </w:rPr>
              <w:t xml:space="preserve"> The organization integrates AI incident identification, reporting, and documentation into its existing incident management framework, ensuring clear definitions, roles, and responsibilities that enable prompt identification, thorough investigation, and effective resolution. This integration helps to minimize harm, facilitate timely response, and prevent recurrence, while leveraging established procedures and workflows.</w:t>
            </w:r>
          </w:p>
        </w:tc>
      </w:tr>
      <w:tr w:rsidR="009F7E78" w:rsidRPr="009F7E78" w14:paraId="6A4F4E6E" w14:textId="77777777" w:rsidTr="00F85994">
        <w:trPr>
          <w:trHeight w:val="1740"/>
        </w:trPr>
        <w:tc>
          <w:tcPr>
            <w:tcW w:w="1040" w:type="dxa"/>
            <w:hideMark/>
          </w:tcPr>
          <w:p w14:paraId="1BC1EE45"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A2D4"/>
            <w:hideMark/>
          </w:tcPr>
          <w:p w14:paraId="79DEA075"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GV-4.3.3</w:t>
            </w:r>
          </w:p>
        </w:tc>
        <w:tc>
          <w:tcPr>
            <w:tcW w:w="10420" w:type="dxa"/>
            <w:hideMark/>
          </w:tcPr>
          <w:p w14:paraId="6CBEAF13"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AI Testing and Incident Response Training:</w:t>
            </w:r>
            <w:r w:rsidRPr="009F7E78">
              <w:rPr>
                <w:rFonts w:ascii="Aptos" w:eastAsia="Aptos" w:hAnsi="Aptos" w:cs="Times New Roman"/>
                <w:color w:val="auto"/>
                <w:kern w:val="2"/>
                <w:sz w:val="20"/>
                <w:szCs w:val="20"/>
                <w14:ligatures w14:val="standardContextual"/>
              </w:rPr>
              <w:t xml:space="preserve"> The organization provides regular training and resources to support personnel in effectively testing AI systems, identifying incidents, and sharing information on risks and issues within its existing incident management framework. This includes ensuring training aligns with established procedures for incident response and communication, reinforcing practical skills and preparedness through simulations and scenario exercises.</w:t>
            </w:r>
          </w:p>
        </w:tc>
      </w:tr>
      <w:tr w:rsidR="009F7E78" w:rsidRPr="009F7E78" w14:paraId="3B0F5790" w14:textId="77777777" w:rsidTr="00F85994">
        <w:trPr>
          <w:trHeight w:val="1740"/>
        </w:trPr>
        <w:tc>
          <w:tcPr>
            <w:tcW w:w="1040" w:type="dxa"/>
            <w:hideMark/>
          </w:tcPr>
          <w:p w14:paraId="7F80CCC4"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A2D4"/>
            <w:hideMark/>
          </w:tcPr>
          <w:p w14:paraId="0B3C703F"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GV-4.3.4</w:t>
            </w:r>
          </w:p>
        </w:tc>
        <w:tc>
          <w:tcPr>
            <w:tcW w:w="10420" w:type="dxa"/>
            <w:hideMark/>
          </w:tcPr>
          <w:p w14:paraId="28AAC9E0"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AI Incident Tracking and Analysis:</w:t>
            </w:r>
            <w:r w:rsidRPr="009F7E78">
              <w:rPr>
                <w:rFonts w:ascii="Aptos" w:eastAsia="Aptos" w:hAnsi="Aptos" w:cs="Times New Roman"/>
                <w:color w:val="auto"/>
                <w:kern w:val="2"/>
                <w:sz w:val="20"/>
                <w:szCs w:val="20"/>
                <w14:ligatures w14:val="standardContextual"/>
              </w:rPr>
              <w:t xml:space="preserve"> The organization maintains a centralized AI inventory or enterprise knowledge management system that integrates with existing incident management frameworks to track, monitor, and analyze AI incidents. This system supports the identification of trends, patterns, and emerging risks and facilitates effective information sharing among relevant stakeholders within the broader incident response and risk management processes.</w:t>
            </w:r>
          </w:p>
        </w:tc>
      </w:tr>
      <w:tr w:rsidR="009F7E78" w:rsidRPr="009F7E78" w14:paraId="53C04433" w14:textId="77777777" w:rsidTr="00F85994">
        <w:trPr>
          <w:trHeight w:val="1450"/>
        </w:trPr>
        <w:tc>
          <w:tcPr>
            <w:tcW w:w="1040" w:type="dxa"/>
            <w:hideMark/>
          </w:tcPr>
          <w:p w14:paraId="569F0A33"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A2D4"/>
            <w:hideMark/>
          </w:tcPr>
          <w:p w14:paraId="2E572D08"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GV-4.3.5</w:t>
            </w:r>
          </w:p>
        </w:tc>
        <w:tc>
          <w:tcPr>
            <w:tcW w:w="10420" w:type="dxa"/>
            <w:hideMark/>
          </w:tcPr>
          <w:p w14:paraId="616751F6"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Secure External AI Incident Sharing:</w:t>
            </w:r>
            <w:r w:rsidRPr="009F7E78">
              <w:rPr>
                <w:rFonts w:ascii="Aptos" w:eastAsia="Aptos" w:hAnsi="Aptos" w:cs="Times New Roman"/>
                <w:color w:val="auto"/>
                <w:kern w:val="2"/>
                <w:sz w:val="20"/>
                <w:szCs w:val="20"/>
                <w14:ligatures w14:val="standardContextual"/>
              </w:rPr>
              <w:t xml:space="preserve"> The organization establishes secure and compliant channels for sharing sensitive information related to AI risks and incidents with external stakeholders (e.g., industry peers, academic researchers, regulators, information sharing databases) to promote collective learning and improvement while protecting confidential and proprietary data.</w:t>
            </w:r>
          </w:p>
        </w:tc>
      </w:tr>
      <w:tr w:rsidR="009F7E78" w:rsidRPr="009F7E78" w14:paraId="762A6B9A" w14:textId="77777777" w:rsidTr="00F85994">
        <w:trPr>
          <w:trHeight w:val="1450"/>
        </w:trPr>
        <w:tc>
          <w:tcPr>
            <w:tcW w:w="1040" w:type="dxa"/>
            <w:hideMark/>
          </w:tcPr>
          <w:p w14:paraId="12053FB5"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A2D4"/>
            <w:hideMark/>
          </w:tcPr>
          <w:p w14:paraId="6E69BACC"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GV-4.3.6</w:t>
            </w:r>
          </w:p>
        </w:tc>
        <w:tc>
          <w:tcPr>
            <w:tcW w:w="10420" w:type="dxa"/>
            <w:hideMark/>
          </w:tcPr>
          <w:p w14:paraId="69301F37"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AI Post-Incident Review and Improvements:</w:t>
            </w:r>
            <w:r w:rsidRPr="009F7E78">
              <w:rPr>
                <w:rFonts w:ascii="Aptos" w:eastAsia="Aptos" w:hAnsi="Aptos" w:cs="Times New Roman"/>
                <w:color w:val="auto"/>
                <w:kern w:val="2"/>
                <w:sz w:val="20"/>
                <w:szCs w:val="20"/>
                <w14:ligatures w14:val="standardContextual"/>
              </w:rPr>
              <w:t xml:space="preserve"> The organization conducts regular post-incident reviews and root cause analyses to identify improvements in AI testing, incident identification, and information sharing. These reviews should be integrated into the organization's ongoing development cycle to inform continuous improvement of AI systems, practices, and safety measures.</w:t>
            </w:r>
          </w:p>
        </w:tc>
      </w:tr>
      <w:tr w:rsidR="009F7E78" w:rsidRPr="009F7E78" w14:paraId="3FFC3894" w14:textId="77777777" w:rsidTr="00F85994">
        <w:trPr>
          <w:trHeight w:val="580"/>
        </w:trPr>
        <w:tc>
          <w:tcPr>
            <w:tcW w:w="1040" w:type="dxa"/>
            <w:hideMark/>
          </w:tcPr>
          <w:p w14:paraId="546EDEFE"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w:t>
            </w:r>
          </w:p>
        </w:tc>
        <w:tc>
          <w:tcPr>
            <w:tcW w:w="1180" w:type="dxa"/>
            <w:shd w:val="clear" w:color="auto" w:fill="00A2D4"/>
            <w:hideMark/>
          </w:tcPr>
          <w:p w14:paraId="3C6D8D6A"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GV-5</w:t>
            </w:r>
          </w:p>
        </w:tc>
        <w:tc>
          <w:tcPr>
            <w:tcW w:w="10420" w:type="dxa"/>
            <w:hideMark/>
          </w:tcPr>
          <w:p w14:paraId="51D6FEDD"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Establishing Stakeholder Engagement Processes:</w:t>
            </w:r>
            <w:r w:rsidRPr="009F7E78">
              <w:rPr>
                <w:rFonts w:ascii="Aptos" w:eastAsia="Aptos" w:hAnsi="Aptos" w:cs="Times New Roman"/>
                <w:color w:val="auto"/>
                <w:kern w:val="2"/>
                <w:sz w:val="20"/>
                <w:szCs w:val="20"/>
                <w14:ligatures w14:val="standardContextual"/>
              </w:rPr>
              <w:t xml:space="preserve"> Processes are in place for robust engagement with relevant AI actors.</w:t>
            </w:r>
          </w:p>
        </w:tc>
      </w:tr>
      <w:tr w:rsidR="009F7E78" w:rsidRPr="009F7E78" w14:paraId="43C3A584" w14:textId="77777777" w:rsidTr="00F85994">
        <w:trPr>
          <w:trHeight w:val="1160"/>
        </w:trPr>
        <w:tc>
          <w:tcPr>
            <w:tcW w:w="1040" w:type="dxa"/>
            <w:hideMark/>
          </w:tcPr>
          <w:p w14:paraId="4A136CDE"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S</w:t>
            </w:r>
          </w:p>
        </w:tc>
        <w:tc>
          <w:tcPr>
            <w:tcW w:w="1180" w:type="dxa"/>
            <w:shd w:val="clear" w:color="auto" w:fill="00A2D4"/>
            <w:hideMark/>
          </w:tcPr>
          <w:p w14:paraId="66445816"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GV-5.1</w:t>
            </w:r>
          </w:p>
        </w:tc>
        <w:tc>
          <w:tcPr>
            <w:tcW w:w="10420" w:type="dxa"/>
            <w:hideMark/>
          </w:tcPr>
          <w:p w14:paraId="66F44338"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Creating Stakeholder Engagement Processes:</w:t>
            </w:r>
            <w:r w:rsidRPr="009F7E78">
              <w:rPr>
                <w:rFonts w:ascii="Aptos" w:eastAsia="Aptos" w:hAnsi="Aptos" w:cs="Times New Roman"/>
                <w:color w:val="auto"/>
                <w:kern w:val="2"/>
                <w:sz w:val="20"/>
                <w:szCs w:val="20"/>
                <w14:ligatures w14:val="standardContextual"/>
              </w:rPr>
              <w:t xml:space="preserve"> Organizational policies and practices are in place to collect, consider, prioritize, and integrate feedback from those external to the team that developed or deployed the AI system regarding the potential individual and societal impacts related to AI risks.</w:t>
            </w:r>
          </w:p>
        </w:tc>
      </w:tr>
      <w:tr w:rsidR="009F7E78" w:rsidRPr="009F7E78" w14:paraId="6E5E6982" w14:textId="77777777" w:rsidTr="00F85994">
        <w:trPr>
          <w:trHeight w:val="1450"/>
        </w:trPr>
        <w:tc>
          <w:tcPr>
            <w:tcW w:w="1040" w:type="dxa"/>
            <w:hideMark/>
          </w:tcPr>
          <w:p w14:paraId="43B1A18E"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A2D4"/>
            <w:hideMark/>
          </w:tcPr>
          <w:p w14:paraId="108F8DF2"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GV-5.1.1</w:t>
            </w:r>
          </w:p>
        </w:tc>
        <w:tc>
          <w:tcPr>
            <w:tcW w:w="10420" w:type="dxa"/>
            <w:hideMark/>
          </w:tcPr>
          <w:p w14:paraId="6E4529B8"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External Stakeholder Feedback Channels:</w:t>
            </w:r>
            <w:r w:rsidRPr="009F7E78">
              <w:rPr>
                <w:rFonts w:ascii="Aptos" w:eastAsia="Aptos" w:hAnsi="Aptos" w:cs="Times New Roman"/>
                <w:color w:val="auto"/>
                <w:kern w:val="2"/>
                <w:sz w:val="20"/>
                <w:szCs w:val="20"/>
                <w14:ligatures w14:val="standardContextual"/>
              </w:rPr>
              <w:t xml:space="preserve"> The organization identifies relevant external stakeholders (e.g., users, customers, community groups, subject matter experts) and establishes clear, ongoing channels (e.g., surveys, focus groups, forums, feedback mechanisms) for collecting feedback on potential individual and stakeholder group impacts of its AI systems throughout the system lifecycle.</w:t>
            </w:r>
          </w:p>
        </w:tc>
      </w:tr>
      <w:tr w:rsidR="009F7E78" w:rsidRPr="009F7E78" w14:paraId="50F0A901" w14:textId="77777777" w:rsidTr="00F85994">
        <w:trPr>
          <w:trHeight w:val="1160"/>
        </w:trPr>
        <w:tc>
          <w:tcPr>
            <w:tcW w:w="1040" w:type="dxa"/>
            <w:hideMark/>
          </w:tcPr>
          <w:p w14:paraId="37028F32"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lastRenderedPageBreak/>
              <w:t>CO</w:t>
            </w:r>
          </w:p>
        </w:tc>
        <w:tc>
          <w:tcPr>
            <w:tcW w:w="1180" w:type="dxa"/>
            <w:shd w:val="clear" w:color="auto" w:fill="00A2D4"/>
            <w:hideMark/>
          </w:tcPr>
          <w:p w14:paraId="783C4B73"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GV-5.1.2</w:t>
            </w:r>
          </w:p>
        </w:tc>
        <w:tc>
          <w:tcPr>
            <w:tcW w:w="10420" w:type="dxa"/>
            <w:hideMark/>
          </w:tcPr>
          <w:p w14:paraId="3C277642"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Stakeholder Feedback Policy and Prioritization:</w:t>
            </w:r>
            <w:r w:rsidRPr="009F7E78">
              <w:rPr>
                <w:rFonts w:ascii="Aptos" w:eastAsia="Aptos" w:hAnsi="Aptos" w:cs="Times New Roman"/>
                <w:color w:val="auto"/>
                <w:kern w:val="2"/>
                <w:sz w:val="20"/>
                <w:szCs w:val="20"/>
                <w14:ligatures w14:val="standardContextual"/>
              </w:rPr>
              <w:t xml:space="preserve"> The organization develops high-level policies and guidelines for collecting, considering, and prioritizing external stakeholder feedback, ensuring that feedback is effectively communicated to AI development and deployment teams for incorporation into decision-making processes.</w:t>
            </w:r>
          </w:p>
        </w:tc>
      </w:tr>
      <w:tr w:rsidR="009F7E78" w:rsidRPr="009F7E78" w14:paraId="0CA8AC46" w14:textId="77777777" w:rsidTr="00F85994">
        <w:trPr>
          <w:trHeight w:val="1160"/>
        </w:trPr>
        <w:tc>
          <w:tcPr>
            <w:tcW w:w="1040" w:type="dxa"/>
            <w:hideMark/>
          </w:tcPr>
          <w:p w14:paraId="3B905BD6"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A2D4"/>
            <w:hideMark/>
          </w:tcPr>
          <w:p w14:paraId="2C1FFDBB"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GV-5.1.3</w:t>
            </w:r>
          </w:p>
        </w:tc>
        <w:tc>
          <w:tcPr>
            <w:tcW w:w="10420" w:type="dxa"/>
            <w:hideMark/>
          </w:tcPr>
          <w:p w14:paraId="6255B25E"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Industry Collaboration and Responsible AI:</w:t>
            </w:r>
            <w:r w:rsidRPr="009F7E78">
              <w:rPr>
                <w:rFonts w:ascii="Aptos" w:eastAsia="Aptos" w:hAnsi="Aptos" w:cs="Times New Roman"/>
                <w:color w:val="auto"/>
                <w:kern w:val="2"/>
                <w:sz w:val="20"/>
                <w:szCs w:val="20"/>
                <w14:ligatures w14:val="standardContextual"/>
              </w:rPr>
              <w:t xml:space="preserve"> The organization actively participates in industry initiatives and collaborates with external stakeholders to promote responsible AI development and deployment, sharing experiences, contributing to best practices, and staying informed of emerging trends and concerns related to AI risks.</w:t>
            </w:r>
          </w:p>
        </w:tc>
      </w:tr>
      <w:tr w:rsidR="009F7E78" w:rsidRPr="009F7E78" w14:paraId="135C1749" w14:textId="77777777" w:rsidTr="00F85994">
        <w:trPr>
          <w:trHeight w:val="870"/>
        </w:trPr>
        <w:tc>
          <w:tcPr>
            <w:tcW w:w="1040" w:type="dxa"/>
            <w:hideMark/>
          </w:tcPr>
          <w:p w14:paraId="3DE5B107"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S</w:t>
            </w:r>
          </w:p>
        </w:tc>
        <w:tc>
          <w:tcPr>
            <w:tcW w:w="1180" w:type="dxa"/>
            <w:shd w:val="clear" w:color="auto" w:fill="00A2D4"/>
            <w:hideMark/>
          </w:tcPr>
          <w:p w14:paraId="2FC52AD7"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GV-5.2</w:t>
            </w:r>
          </w:p>
        </w:tc>
        <w:tc>
          <w:tcPr>
            <w:tcW w:w="10420" w:type="dxa"/>
            <w:hideMark/>
          </w:tcPr>
          <w:p w14:paraId="3A095704"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Ensuring Continual Stakeholder Engagement:</w:t>
            </w:r>
            <w:r w:rsidRPr="009F7E78">
              <w:rPr>
                <w:rFonts w:ascii="Aptos" w:eastAsia="Aptos" w:hAnsi="Aptos" w:cs="Times New Roman"/>
                <w:color w:val="auto"/>
                <w:kern w:val="2"/>
                <w:sz w:val="20"/>
                <w:szCs w:val="20"/>
                <w14:ligatures w14:val="standardContextual"/>
              </w:rPr>
              <w:t xml:space="preserve"> Mechanisms are established to enable the team that developed or deployed AI systems to regularly incorporate adjudicated feedback from relevant AI actors into system design and implementation.</w:t>
            </w:r>
          </w:p>
        </w:tc>
      </w:tr>
      <w:tr w:rsidR="009F7E78" w:rsidRPr="009F7E78" w14:paraId="0A811B36" w14:textId="77777777" w:rsidTr="00F85994">
        <w:trPr>
          <w:trHeight w:val="1740"/>
        </w:trPr>
        <w:tc>
          <w:tcPr>
            <w:tcW w:w="1040" w:type="dxa"/>
            <w:hideMark/>
          </w:tcPr>
          <w:p w14:paraId="4EF61566"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A2D4"/>
            <w:hideMark/>
          </w:tcPr>
          <w:p w14:paraId="519FC7A4"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GV-5.2.1</w:t>
            </w:r>
          </w:p>
        </w:tc>
        <w:tc>
          <w:tcPr>
            <w:tcW w:w="10420" w:type="dxa"/>
            <w:hideMark/>
          </w:tcPr>
          <w:p w14:paraId="79BAB365"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Stakeholder Engagement Processes in Development and Deployment:</w:t>
            </w:r>
            <w:r w:rsidRPr="009F7E78">
              <w:rPr>
                <w:rFonts w:ascii="Aptos" w:eastAsia="Aptos" w:hAnsi="Aptos" w:cs="Times New Roman"/>
                <w:color w:val="auto"/>
                <w:kern w:val="2"/>
                <w:sz w:val="20"/>
                <w:szCs w:val="20"/>
                <w14:ligatures w14:val="standardContextual"/>
              </w:rPr>
              <w:t xml:space="preserve"> The organization establishes clear processes and channels for AI development and deployment teams to regularly engage with relevant AI stakeholders (e.g., end-users, subject matter experts, impacted communities). These interactions involve gathering feedback through various methods (e.g., surveys, interviews, focus groups, workshops), fostering an inclusive and collaborative environment.</w:t>
            </w:r>
          </w:p>
        </w:tc>
      </w:tr>
      <w:tr w:rsidR="009F7E78" w:rsidRPr="009F7E78" w14:paraId="42EA1189" w14:textId="77777777" w:rsidTr="00F85994">
        <w:trPr>
          <w:trHeight w:val="1160"/>
        </w:trPr>
        <w:tc>
          <w:tcPr>
            <w:tcW w:w="1040" w:type="dxa"/>
            <w:hideMark/>
          </w:tcPr>
          <w:p w14:paraId="15FDA14A"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A2D4"/>
            <w:hideMark/>
          </w:tcPr>
          <w:p w14:paraId="3E214FFA"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GV-5.2.2</w:t>
            </w:r>
          </w:p>
        </w:tc>
        <w:tc>
          <w:tcPr>
            <w:tcW w:w="10420" w:type="dxa"/>
            <w:hideMark/>
          </w:tcPr>
          <w:p w14:paraId="1F05F739"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Feedback Evaluation and Prioritization:</w:t>
            </w:r>
            <w:r w:rsidRPr="009F7E78">
              <w:rPr>
                <w:rFonts w:ascii="Aptos" w:eastAsia="Aptos" w:hAnsi="Aptos" w:cs="Times New Roman"/>
                <w:color w:val="auto"/>
                <w:kern w:val="2"/>
                <w:sz w:val="20"/>
                <w:szCs w:val="20"/>
                <w14:ligatures w14:val="standardContextual"/>
              </w:rPr>
              <w:t xml:space="preserve"> The AI development team develops criteria and guidelines for evaluating and prioritizing feedback from AI stakeholders, considering source credibility, potential impact on system performance, and alignment with organizational goals and values.</w:t>
            </w:r>
          </w:p>
        </w:tc>
      </w:tr>
      <w:tr w:rsidR="009F7E78" w:rsidRPr="009F7E78" w14:paraId="742C1211" w14:textId="77777777" w:rsidTr="00F85994">
        <w:trPr>
          <w:trHeight w:val="1160"/>
        </w:trPr>
        <w:tc>
          <w:tcPr>
            <w:tcW w:w="1040" w:type="dxa"/>
            <w:hideMark/>
          </w:tcPr>
          <w:p w14:paraId="28AF87B8"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A2D4"/>
            <w:hideMark/>
          </w:tcPr>
          <w:p w14:paraId="70F6543D"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GV-5.2.3</w:t>
            </w:r>
          </w:p>
        </w:tc>
        <w:tc>
          <w:tcPr>
            <w:tcW w:w="10420" w:type="dxa"/>
            <w:hideMark/>
          </w:tcPr>
          <w:p w14:paraId="350AA36B"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Feedback Conflict Resolution:</w:t>
            </w:r>
            <w:r w:rsidRPr="009F7E78">
              <w:rPr>
                <w:rFonts w:ascii="Aptos" w:eastAsia="Aptos" w:hAnsi="Aptos" w:cs="Times New Roman"/>
                <w:color w:val="auto"/>
                <w:kern w:val="2"/>
                <w:sz w:val="20"/>
                <w:szCs w:val="20"/>
                <w14:ligatures w14:val="standardContextual"/>
              </w:rPr>
              <w:t xml:space="preserve"> The organization establishes a transparent, fair, and accountable process for adjudicating and resolving conflicting feedback from AI stakeholders, which includes evaluating the merits of feedback, considering trade-offs, and engaging in constructive dialogue.</w:t>
            </w:r>
          </w:p>
        </w:tc>
      </w:tr>
      <w:tr w:rsidR="009F7E78" w:rsidRPr="009F7E78" w14:paraId="3457B6A6" w14:textId="77777777" w:rsidTr="00F85994">
        <w:trPr>
          <w:trHeight w:val="2030"/>
        </w:trPr>
        <w:tc>
          <w:tcPr>
            <w:tcW w:w="1040" w:type="dxa"/>
            <w:hideMark/>
          </w:tcPr>
          <w:p w14:paraId="59BDF9FB"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A2D4"/>
            <w:hideMark/>
          </w:tcPr>
          <w:p w14:paraId="682BE9EC"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GV-5.2.4</w:t>
            </w:r>
          </w:p>
        </w:tc>
        <w:tc>
          <w:tcPr>
            <w:tcW w:w="10420" w:type="dxa"/>
            <w:hideMark/>
          </w:tcPr>
          <w:p w14:paraId="77B9F778"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Impact Assessments with Stakeholder Input:</w:t>
            </w:r>
            <w:r w:rsidRPr="009F7E78">
              <w:rPr>
                <w:rFonts w:ascii="Aptos" w:eastAsia="Aptos" w:hAnsi="Aptos" w:cs="Times New Roman"/>
                <w:color w:val="auto"/>
                <w:kern w:val="2"/>
                <w:sz w:val="20"/>
                <w:szCs w:val="20"/>
                <w14:ligatures w14:val="standardContextual"/>
              </w:rPr>
              <w:t xml:space="preserve"> AI development and deployment teams conduct impact assessments that incorporate external stakeholder feedback, often mediated through user-facing functions (e.g., product management or customer success), and other relevant data to understand potential impacts. Assessment results inform AI system design and deployment decisions, helping to proactively identify and mitigate risks. Teams ensure that feedback collected and processed through these functions is documented and integrated throughout the system lifecycle.</w:t>
            </w:r>
          </w:p>
        </w:tc>
      </w:tr>
      <w:tr w:rsidR="009F7E78" w:rsidRPr="009F7E78" w14:paraId="7C0740B5" w14:textId="77777777" w:rsidTr="00F85994">
        <w:trPr>
          <w:trHeight w:val="1740"/>
        </w:trPr>
        <w:tc>
          <w:tcPr>
            <w:tcW w:w="1040" w:type="dxa"/>
            <w:hideMark/>
          </w:tcPr>
          <w:p w14:paraId="2406C21E"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A2D4"/>
            <w:hideMark/>
          </w:tcPr>
          <w:p w14:paraId="3251BB23"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GV-5.2.5</w:t>
            </w:r>
          </w:p>
        </w:tc>
        <w:tc>
          <w:tcPr>
            <w:tcW w:w="10420" w:type="dxa"/>
            <w:hideMark/>
          </w:tcPr>
          <w:p w14:paraId="0484F713"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Stakeholder Feedback Education and Transparency:</w:t>
            </w:r>
            <w:r w:rsidRPr="009F7E78">
              <w:rPr>
                <w:rFonts w:ascii="Aptos" w:eastAsia="Aptos" w:hAnsi="Aptos" w:cs="Times New Roman"/>
                <w:color w:val="auto"/>
                <w:kern w:val="2"/>
                <w:sz w:val="20"/>
                <w:szCs w:val="20"/>
                <w14:ligatures w14:val="standardContextual"/>
              </w:rPr>
              <w:t xml:space="preserve"> The organization educates stakeholders on effectively submitting feedback, communicates the process for how feedback is handled, and regularly informs them about how their feedback has been incorporated into AI system design and implementation (e.g., via reports, case studies, public forums), thereby promoting transparency, trust, and demonstrating its commitment to responsible AI development and deployment.</w:t>
            </w:r>
          </w:p>
        </w:tc>
      </w:tr>
      <w:tr w:rsidR="009F7E78" w:rsidRPr="009F7E78" w14:paraId="24F925F1" w14:textId="77777777" w:rsidTr="00F85994">
        <w:trPr>
          <w:trHeight w:val="870"/>
        </w:trPr>
        <w:tc>
          <w:tcPr>
            <w:tcW w:w="1040" w:type="dxa"/>
            <w:hideMark/>
          </w:tcPr>
          <w:p w14:paraId="3D4A516C"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w:t>
            </w:r>
          </w:p>
        </w:tc>
        <w:tc>
          <w:tcPr>
            <w:tcW w:w="1180" w:type="dxa"/>
            <w:shd w:val="clear" w:color="auto" w:fill="00A2D4"/>
            <w:hideMark/>
          </w:tcPr>
          <w:p w14:paraId="672264D6"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GV-6</w:t>
            </w:r>
          </w:p>
        </w:tc>
        <w:tc>
          <w:tcPr>
            <w:tcW w:w="10420" w:type="dxa"/>
            <w:hideMark/>
          </w:tcPr>
          <w:p w14:paraId="2D836652"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Establishing Third-Party Risk Management for the AI System:</w:t>
            </w:r>
            <w:r w:rsidRPr="009F7E78">
              <w:rPr>
                <w:rFonts w:ascii="Aptos" w:eastAsia="Aptos" w:hAnsi="Aptos" w:cs="Times New Roman"/>
                <w:color w:val="auto"/>
                <w:kern w:val="2"/>
                <w:sz w:val="20"/>
                <w:szCs w:val="20"/>
                <w14:ligatures w14:val="standardContextual"/>
              </w:rPr>
              <w:t xml:space="preserve"> Policies and procedures are in place to address AI risks and benefits arising from third-party software and data and other supply chain issues.</w:t>
            </w:r>
          </w:p>
        </w:tc>
      </w:tr>
      <w:tr w:rsidR="009F7E78" w:rsidRPr="009F7E78" w14:paraId="255A5C94" w14:textId="77777777" w:rsidTr="00F85994">
        <w:trPr>
          <w:trHeight w:val="870"/>
        </w:trPr>
        <w:tc>
          <w:tcPr>
            <w:tcW w:w="1040" w:type="dxa"/>
            <w:hideMark/>
          </w:tcPr>
          <w:p w14:paraId="05315357"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lastRenderedPageBreak/>
              <w:t>S</w:t>
            </w:r>
          </w:p>
        </w:tc>
        <w:tc>
          <w:tcPr>
            <w:tcW w:w="1180" w:type="dxa"/>
            <w:shd w:val="clear" w:color="auto" w:fill="00A2D4"/>
            <w:hideMark/>
          </w:tcPr>
          <w:p w14:paraId="5056DA57"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GV-6.1</w:t>
            </w:r>
          </w:p>
        </w:tc>
        <w:tc>
          <w:tcPr>
            <w:tcW w:w="10420" w:type="dxa"/>
            <w:hideMark/>
          </w:tcPr>
          <w:p w14:paraId="2F031C1D"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Establishing Third-Party Risk Management Processes:</w:t>
            </w:r>
            <w:r w:rsidRPr="009F7E78">
              <w:rPr>
                <w:rFonts w:ascii="Aptos" w:eastAsia="Aptos" w:hAnsi="Aptos" w:cs="Times New Roman"/>
                <w:color w:val="auto"/>
                <w:kern w:val="2"/>
                <w:sz w:val="20"/>
                <w:szCs w:val="20"/>
                <w14:ligatures w14:val="standardContextual"/>
              </w:rPr>
              <w:t xml:space="preserve"> Policies and procedures are in place that address AI risks associated with third-party entities, including risks of infringement of a third-party’s intellectual property or other rights.</w:t>
            </w:r>
          </w:p>
        </w:tc>
      </w:tr>
      <w:tr w:rsidR="009F7E78" w:rsidRPr="009F7E78" w14:paraId="57FFCA37" w14:textId="77777777" w:rsidTr="00F85994">
        <w:trPr>
          <w:trHeight w:val="1450"/>
        </w:trPr>
        <w:tc>
          <w:tcPr>
            <w:tcW w:w="1040" w:type="dxa"/>
            <w:hideMark/>
          </w:tcPr>
          <w:p w14:paraId="169E5DA7"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A2D4"/>
            <w:hideMark/>
          </w:tcPr>
          <w:p w14:paraId="547B98DF"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GV-6.1.1</w:t>
            </w:r>
          </w:p>
        </w:tc>
        <w:tc>
          <w:tcPr>
            <w:tcW w:w="10420" w:type="dxa"/>
            <w:hideMark/>
          </w:tcPr>
          <w:p w14:paraId="24A48E9C"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Third-Party AI Evaluation and Selection:</w:t>
            </w:r>
            <w:r w:rsidRPr="009F7E78">
              <w:rPr>
                <w:rFonts w:ascii="Aptos" w:eastAsia="Aptos" w:hAnsi="Aptos" w:cs="Times New Roman"/>
                <w:color w:val="auto"/>
                <w:kern w:val="2"/>
                <w:sz w:val="20"/>
                <w:szCs w:val="20"/>
                <w14:ligatures w14:val="standardContextual"/>
              </w:rPr>
              <w:t xml:space="preserve"> The organization establishes processes for evaluating and selecting third-party AI technologies based on criteria that assess security and privacy implications, integrating AI-specific considerations into third-party procurement planning, due diligence, evaluation, and contracting practices to create alignment with organizational risk management policies.</w:t>
            </w:r>
          </w:p>
        </w:tc>
      </w:tr>
      <w:tr w:rsidR="009F7E78" w:rsidRPr="009F7E78" w14:paraId="522B93A7" w14:textId="77777777" w:rsidTr="00F85994">
        <w:trPr>
          <w:trHeight w:val="870"/>
        </w:trPr>
        <w:tc>
          <w:tcPr>
            <w:tcW w:w="1040" w:type="dxa"/>
            <w:hideMark/>
          </w:tcPr>
          <w:p w14:paraId="0AFD8E21"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A2D4"/>
            <w:hideMark/>
          </w:tcPr>
          <w:p w14:paraId="3C423BEA"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GV-6.1.2</w:t>
            </w:r>
          </w:p>
        </w:tc>
        <w:tc>
          <w:tcPr>
            <w:tcW w:w="10420" w:type="dxa"/>
            <w:hideMark/>
          </w:tcPr>
          <w:p w14:paraId="54015520"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Third-Party System Requirements:</w:t>
            </w:r>
            <w:r w:rsidRPr="009F7E78">
              <w:rPr>
                <w:rFonts w:ascii="Aptos" w:eastAsia="Aptos" w:hAnsi="Aptos" w:cs="Times New Roman"/>
                <w:color w:val="auto"/>
                <w:kern w:val="2"/>
                <w:sz w:val="20"/>
                <w:szCs w:val="20"/>
                <w14:ligatures w14:val="standardContextual"/>
              </w:rPr>
              <w:t xml:space="preserve"> The organization identifies and documents AI system requirements that may be specific to a third party to inform procurement planning, due diligence, and contracting.</w:t>
            </w:r>
          </w:p>
        </w:tc>
      </w:tr>
      <w:tr w:rsidR="009F7E78" w:rsidRPr="009F7E78" w14:paraId="79EDE7BC" w14:textId="77777777" w:rsidTr="00F85994">
        <w:trPr>
          <w:trHeight w:val="1740"/>
        </w:trPr>
        <w:tc>
          <w:tcPr>
            <w:tcW w:w="1040" w:type="dxa"/>
            <w:hideMark/>
          </w:tcPr>
          <w:p w14:paraId="6CCC3E23"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A2D4"/>
            <w:hideMark/>
          </w:tcPr>
          <w:p w14:paraId="7278C810"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GV-6.1.3</w:t>
            </w:r>
          </w:p>
        </w:tc>
        <w:tc>
          <w:tcPr>
            <w:tcW w:w="10420" w:type="dxa"/>
            <w:hideMark/>
          </w:tcPr>
          <w:p w14:paraId="1E9FF7B0"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Procurement and AI Partner Evaluation:</w:t>
            </w:r>
            <w:r w:rsidRPr="009F7E78">
              <w:rPr>
                <w:rFonts w:ascii="Aptos" w:eastAsia="Aptos" w:hAnsi="Aptos" w:cs="Times New Roman"/>
                <w:color w:val="auto"/>
                <w:kern w:val="2"/>
                <w:sz w:val="20"/>
                <w:szCs w:val="20"/>
                <w14:ligatures w14:val="standardContextual"/>
              </w:rPr>
              <w:t xml:space="preserve"> The organization updates its procurement planning processes to integrate AI-specific requirements so that procurement activities consider AI's unique implications and challenges associated with third-party partnerships. It also emphasizes the importance of participating in joint testing with third-party entities to collaboratively evaluate AI technologies and validate their effectiveness and compliance with organizational standards.</w:t>
            </w:r>
          </w:p>
        </w:tc>
      </w:tr>
      <w:tr w:rsidR="009F7E78" w:rsidRPr="009F7E78" w14:paraId="0C22D3F6" w14:textId="77777777" w:rsidTr="00F85994">
        <w:trPr>
          <w:trHeight w:val="2320"/>
        </w:trPr>
        <w:tc>
          <w:tcPr>
            <w:tcW w:w="1040" w:type="dxa"/>
            <w:hideMark/>
          </w:tcPr>
          <w:p w14:paraId="36E01E78"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A2D4"/>
            <w:hideMark/>
          </w:tcPr>
          <w:p w14:paraId="4EFDAF25"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GV-6.1.4</w:t>
            </w:r>
          </w:p>
        </w:tc>
        <w:tc>
          <w:tcPr>
            <w:tcW w:w="10420" w:type="dxa"/>
            <w:hideMark/>
          </w:tcPr>
          <w:p w14:paraId="7534F834"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Due Diligence for AI Vendors:</w:t>
            </w:r>
            <w:r w:rsidRPr="009F7E78">
              <w:rPr>
                <w:rFonts w:ascii="Aptos" w:eastAsia="Aptos" w:hAnsi="Aptos" w:cs="Times New Roman"/>
                <w:color w:val="auto"/>
                <w:kern w:val="2"/>
                <w:sz w:val="20"/>
                <w:szCs w:val="20"/>
                <w14:ligatures w14:val="standardContextual"/>
              </w:rPr>
              <w:t xml:space="preserve"> The organization enhances its policies and procedures and provides adequate resources for conducting due diligence on third-party entities by incorporating AI-related considerations, including data provenance, secondary data use, and vendor data practices. This involves assessing intellectual property and data management specific to AI to inform more comprehensive risk-benefit assessments for AI-related partnerships. The due diligence process emphasizes negotiating contractual provisions that protect against data misuse, ensure data quality, and secure appropriate data rights.</w:t>
            </w:r>
          </w:p>
        </w:tc>
      </w:tr>
      <w:tr w:rsidR="009F7E78" w:rsidRPr="009F7E78" w14:paraId="0990BCF7" w14:textId="77777777" w:rsidTr="00F85994">
        <w:trPr>
          <w:trHeight w:val="2320"/>
        </w:trPr>
        <w:tc>
          <w:tcPr>
            <w:tcW w:w="1040" w:type="dxa"/>
            <w:hideMark/>
          </w:tcPr>
          <w:p w14:paraId="2F2A3B97"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A2D4"/>
            <w:hideMark/>
          </w:tcPr>
          <w:p w14:paraId="023CE4AE"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GV-6.1.5</w:t>
            </w:r>
          </w:p>
        </w:tc>
        <w:tc>
          <w:tcPr>
            <w:tcW w:w="10420" w:type="dxa"/>
            <w:hideMark/>
          </w:tcPr>
          <w:p w14:paraId="751D8BFF"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Third-Party AI Risk Documentation:</w:t>
            </w:r>
            <w:r w:rsidRPr="009F7E78">
              <w:rPr>
                <w:rFonts w:ascii="Aptos" w:eastAsia="Aptos" w:hAnsi="Aptos" w:cs="Times New Roman"/>
                <w:color w:val="auto"/>
                <w:kern w:val="2"/>
                <w:sz w:val="20"/>
                <w:szCs w:val="20"/>
                <w14:ligatures w14:val="standardContextual"/>
              </w:rPr>
              <w:t xml:space="preserve"> The organization reviews and updates its existing documentation of AI risks associated with third-party entities (e.g., intellectual property infringement, data privacy, security, data provenance, and secondary data use by vendors) to include AI-specific factors. This documentation is regularly reviewed and adapted to address emerging AI-related risks, including specific considerations around data sourcing, management, and vendor data practices. Additionally, it clarifies AI risk management responsibilities within a shared responsibility model, helping all parties understand their roles in mitigating AI-related risks.</w:t>
            </w:r>
          </w:p>
        </w:tc>
      </w:tr>
      <w:tr w:rsidR="009F7E78" w:rsidRPr="009F7E78" w14:paraId="6482AECE" w14:textId="77777777" w:rsidTr="00F85994">
        <w:trPr>
          <w:trHeight w:val="1450"/>
        </w:trPr>
        <w:tc>
          <w:tcPr>
            <w:tcW w:w="1040" w:type="dxa"/>
            <w:hideMark/>
          </w:tcPr>
          <w:p w14:paraId="10ADF593"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A2D4"/>
            <w:hideMark/>
          </w:tcPr>
          <w:p w14:paraId="7CB2B176"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GV-6.1.6</w:t>
            </w:r>
          </w:p>
        </w:tc>
        <w:tc>
          <w:tcPr>
            <w:tcW w:w="10420" w:type="dxa"/>
            <w:hideMark/>
          </w:tcPr>
          <w:p w14:paraId="6E4EEA62"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Fourth-Party Disclosure and Termination:</w:t>
            </w:r>
            <w:r w:rsidRPr="009F7E78">
              <w:rPr>
                <w:rFonts w:ascii="Aptos" w:eastAsia="Aptos" w:hAnsi="Aptos" w:cs="Times New Roman"/>
                <w:color w:val="auto"/>
                <w:kern w:val="2"/>
                <w:sz w:val="20"/>
                <w:szCs w:val="20"/>
                <w14:ligatures w14:val="standardContextual"/>
              </w:rPr>
              <w:t xml:space="preserve"> The organization recognizes the risks associated with fourth parties—entities utilized by third parties—by requiring third parties to disclose their own third-party relationships and any associated risks. In cases where significant risks are identified, the organization establishes clear guidelines for terminating third-party contracts to protect its interests and mitigate potential harm.</w:t>
            </w:r>
          </w:p>
        </w:tc>
      </w:tr>
      <w:tr w:rsidR="009F7E78" w:rsidRPr="009F7E78" w14:paraId="2F7C0352" w14:textId="77777777" w:rsidTr="00F85994">
        <w:trPr>
          <w:trHeight w:val="1160"/>
        </w:trPr>
        <w:tc>
          <w:tcPr>
            <w:tcW w:w="1040" w:type="dxa"/>
            <w:hideMark/>
          </w:tcPr>
          <w:p w14:paraId="047902C2"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A2D4"/>
            <w:hideMark/>
          </w:tcPr>
          <w:p w14:paraId="316B91DD"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GV-6.1.7</w:t>
            </w:r>
          </w:p>
        </w:tc>
        <w:tc>
          <w:tcPr>
            <w:tcW w:w="10420" w:type="dxa"/>
            <w:hideMark/>
          </w:tcPr>
          <w:p w14:paraId="06C78668"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System Requirements Review and Updates:</w:t>
            </w:r>
            <w:r w:rsidRPr="009F7E78">
              <w:rPr>
                <w:rFonts w:ascii="Aptos" w:eastAsia="Aptos" w:hAnsi="Aptos" w:cs="Times New Roman"/>
                <w:color w:val="auto"/>
                <w:kern w:val="2"/>
                <w:sz w:val="20"/>
                <w:szCs w:val="20"/>
                <w14:ligatures w14:val="standardContextual"/>
              </w:rPr>
              <w:t xml:space="preserve"> The organization creates a plan for regular reviews and updates of third-party system requirements throughout the AI lifecycle, allowing for the identification of emerging risks and the incorporation of feedback from relevant AI stakeholders.</w:t>
            </w:r>
          </w:p>
        </w:tc>
      </w:tr>
      <w:tr w:rsidR="009F7E78" w:rsidRPr="009F7E78" w14:paraId="296C2BFE" w14:textId="77777777" w:rsidTr="00F85994">
        <w:trPr>
          <w:trHeight w:val="1160"/>
        </w:trPr>
        <w:tc>
          <w:tcPr>
            <w:tcW w:w="1040" w:type="dxa"/>
            <w:hideMark/>
          </w:tcPr>
          <w:p w14:paraId="43983BD4"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lastRenderedPageBreak/>
              <w:t>CO</w:t>
            </w:r>
          </w:p>
        </w:tc>
        <w:tc>
          <w:tcPr>
            <w:tcW w:w="1180" w:type="dxa"/>
            <w:shd w:val="clear" w:color="auto" w:fill="00A2D4"/>
            <w:hideMark/>
          </w:tcPr>
          <w:p w14:paraId="423C0217"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GV-6.1.8</w:t>
            </w:r>
          </w:p>
        </w:tc>
        <w:tc>
          <w:tcPr>
            <w:tcW w:w="10420" w:type="dxa"/>
            <w:hideMark/>
          </w:tcPr>
          <w:p w14:paraId="1329108A"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Third-Party Concentration Risk Management:</w:t>
            </w:r>
            <w:r w:rsidRPr="009F7E78">
              <w:rPr>
                <w:rFonts w:ascii="Aptos" w:eastAsia="Aptos" w:hAnsi="Aptos" w:cs="Times New Roman"/>
                <w:color w:val="auto"/>
                <w:kern w:val="2"/>
                <w:sz w:val="20"/>
                <w:szCs w:val="20"/>
                <w14:ligatures w14:val="standardContextual"/>
              </w:rPr>
              <w:t xml:space="preserve"> The organization addresses aggregate third-party concentration risk by encouraging diversification of partners and thorough assessments of potential vulnerabilities associated with reliance on a limited number of third-party AI providers.</w:t>
            </w:r>
          </w:p>
        </w:tc>
      </w:tr>
      <w:tr w:rsidR="009F7E78" w:rsidRPr="009F7E78" w14:paraId="29FF7A76" w14:textId="77777777" w:rsidTr="00F85994">
        <w:trPr>
          <w:trHeight w:val="1160"/>
        </w:trPr>
        <w:tc>
          <w:tcPr>
            <w:tcW w:w="1040" w:type="dxa"/>
            <w:hideMark/>
          </w:tcPr>
          <w:p w14:paraId="35E0690B"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A2D4"/>
            <w:hideMark/>
          </w:tcPr>
          <w:p w14:paraId="7D2AA68E"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GV-6.1.9</w:t>
            </w:r>
          </w:p>
        </w:tc>
        <w:tc>
          <w:tcPr>
            <w:tcW w:w="10420" w:type="dxa"/>
            <w:hideMark/>
          </w:tcPr>
          <w:p w14:paraId="68449470"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Third-Party AI Compliance Monitoring:</w:t>
            </w:r>
            <w:r w:rsidRPr="009F7E78">
              <w:rPr>
                <w:rFonts w:ascii="Aptos" w:eastAsia="Aptos" w:hAnsi="Aptos" w:cs="Times New Roman"/>
                <w:color w:val="auto"/>
                <w:kern w:val="2"/>
                <w:sz w:val="20"/>
                <w:szCs w:val="20"/>
                <w14:ligatures w14:val="standardContextual"/>
              </w:rPr>
              <w:t xml:space="preserve"> The organization strengthens its monitoring and auditing processes for third-party AI partners by integrating AI-specific compliance obligations related to data management and security standards, while establishing mechanisms to address any AI-related issues identified.</w:t>
            </w:r>
          </w:p>
        </w:tc>
      </w:tr>
      <w:tr w:rsidR="009F7E78" w:rsidRPr="009F7E78" w14:paraId="4B971C11" w14:textId="77777777" w:rsidTr="00F85994">
        <w:trPr>
          <w:trHeight w:val="1450"/>
        </w:trPr>
        <w:tc>
          <w:tcPr>
            <w:tcW w:w="1040" w:type="dxa"/>
            <w:hideMark/>
          </w:tcPr>
          <w:p w14:paraId="4909B850"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A2D4"/>
            <w:hideMark/>
          </w:tcPr>
          <w:p w14:paraId="14F0BECA"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GV-6.1.10</w:t>
            </w:r>
          </w:p>
        </w:tc>
        <w:tc>
          <w:tcPr>
            <w:tcW w:w="10420" w:type="dxa"/>
            <w:hideMark/>
          </w:tcPr>
          <w:p w14:paraId="72D40A2C"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Third-Party AI Incident Protocols:</w:t>
            </w:r>
            <w:r w:rsidRPr="009F7E78">
              <w:rPr>
                <w:rFonts w:ascii="Aptos" w:eastAsia="Aptos" w:hAnsi="Aptos" w:cs="Times New Roman"/>
                <w:color w:val="auto"/>
                <w:kern w:val="2"/>
                <w:sz w:val="20"/>
                <w:szCs w:val="20"/>
                <w14:ligatures w14:val="standardContextual"/>
              </w:rPr>
              <w:t xml:space="preserve"> The organization modifies its protocols for handling incidents or breaches related to third-party AI risks to include provisions for addressing data provenance issues, secondary data use, and other third-party data-related vulnerabilities. These protocols should encompass prompt reporting, investigation, impact assessment, and remediation, with an emphasis on contractual enforcement and negotiation strategies.</w:t>
            </w:r>
          </w:p>
        </w:tc>
      </w:tr>
      <w:tr w:rsidR="009F7E78" w:rsidRPr="009F7E78" w14:paraId="27EE3DC1" w14:textId="77777777" w:rsidTr="00F85994">
        <w:trPr>
          <w:trHeight w:val="1450"/>
        </w:trPr>
        <w:tc>
          <w:tcPr>
            <w:tcW w:w="1040" w:type="dxa"/>
            <w:hideMark/>
          </w:tcPr>
          <w:p w14:paraId="7F1C892B"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A2D4"/>
            <w:hideMark/>
          </w:tcPr>
          <w:p w14:paraId="04C74464"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GV-6.1.11</w:t>
            </w:r>
          </w:p>
        </w:tc>
        <w:tc>
          <w:tcPr>
            <w:tcW w:w="10420" w:type="dxa"/>
            <w:hideMark/>
          </w:tcPr>
          <w:p w14:paraId="6B9756EA"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AI Third-Party Training and Resources:</w:t>
            </w:r>
            <w:r w:rsidRPr="009F7E78">
              <w:rPr>
                <w:rFonts w:ascii="Aptos" w:eastAsia="Aptos" w:hAnsi="Aptos" w:cs="Times New Roman"/>
                <w:color w:val="auto"/>
                <w:kern w:val="2"/>
                <w:sz w:val="20"/>
                <w:szCs w:val="20"/>
                <w14:ligatures w14:val="standardContextual"/>
              </w:rPr>
              <w:t xml:space="preserve"> The organization revises its training and resources for personnel managing third-party relationships to include AI-related content, focusing on the nuances of due diligence, contract negotiation, and risk assessment in the context of AI. This training is regularly updated to reflect changes in AI policy and industry best practices.</w:t>
            </w:r>
          </w:p>
        </w:tc>
      </w:tr>
      <w:tr w:rsidR="009F7E78" w:rsidRPr="009F7E78" w14:paraId="2BBC0EF5" w14:textId="77777777" w:rsidTr="00F85994">
        <w:trPr>
          <w:trHeight w:val="580"/>
        </w:trPr>
        <w:tc>
          <w:tcPr>
            <w:tcW w:w="1040" w:type="dxa"/>
            <w:hideMark/>
          </w:tcPr>
          <w:p w14:paraId="79C3DA92"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S</w:t>
            </w:r>
          </w:p>
        </w:tc>
        <w:tc>
          <w:tcPr>
            <w:tcW w:w="1180" w:type="dxa"/>
            <w:shd w:val="clear" w:color="auto" w:fill="00A2D4"/>
            <w:hideMark/>
          </w:tcPr>
          <w:p w14:paraId="69A4FB7D"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GV-6.2</w:t>
            </w:r>
          </w:p>
        </w:tc>
        <w:tc>
          <w:tcPr>
            <w:tcW w:w="10420" w:type="dxa"/>
            <w:hideMark/>
          </w:tcPr>
          <w:p w14:paraId="7950CC57"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Establishing Contingency Plans for Critical Third Parties:</w:t>
            </w:r>
            <w:r w:rsidRPr="009F7E78">
              <w:rPr>
                <w:rFonts w:ascii="Aptos" w:eastAsia="Aptos" w:hAnsi="Aptos" w:cs="Times New Roman"/>
                <w:color w:val="auto"/>
                <w:kern w:val="2"/>
                <w:sz w:val="20"/>
                <w:szCs w:val="20"/>
                <w14:ligatures w14:val="standardContextual"/>
              </w:rPr>
              <w:t xml:space="preserve"> Contingency processes are in place to handle failures or incidents in third-party data or AI systems deemed to be high-risk.</w:t>
            </w:r>
          </w:p>
        </w:tc>
      </w:tr>
      <w:tr w:rsidR="009F7E78" w:rsidRPr="009F7E78" w14:paraId="327D7EA2" w14:textId="77777777" w:rsidTr="00F85994">
        <w:trPr>
          <w:trHeight w:val="2030"/>
        </w:trPr>
        <w:tc>
          <w:tcPr>
            <w:tcW w:w="1040" w:type="dxa"/>
            <w:hideMark/>
          </w:tcPr>
          <w:p w14:paraId="68968F77"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A2D4"/>
            <w:hideMark/>
          </w:tcPr>
          <w:p w14:paraId="730AA67D"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GV-6.2.1</w:t>
            </w:r>
          </w:p>
        </w:tc>
        <w:tc>
          <w:tcPr>
            <w:tcW w:w="10420" w:type="dxa"/>
            <w:hideMark/>
          </w:tcPr>
          <w:p w14:paraId="7AA1F694"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Third-Party AI Contingency Plans:</w:t>
            </w:r>
            <w:r w:rsidRPr="009F7E78">
              <w:rPr>
                <w:rFonts w:ascii="Aptos" w:eastAsia="Aptos" w:hAnsi="Aptos" w:cs="Times New Roman"/>
                <w:color w:val="auto"/>
                <w:kern w:val="2"/>
                <w:sz w:val="20"/>
                <w:szCs w:val="20"/>
                <w14:ligatures w14:val="standardContextual"/>
              </w:rPr>
              <w:t xml:space="preserve"> The organization develops or updates existing contingency plans for potential failures or incidents in high-risk third-party AI systems and data, defining roles and responsibilities for key stakeholders (e.g., IT, legal, communications, senior leaders) and outlining specific response steps (e.g., system isolation, data recovery, public relations). These plans should also consider emerging risk transfer mechanisms such as AI insurance policies or special provisions in cyber insurance tailored to AI risks.</w:t>
            </w:r>
          </w:p>
        </w:tc>
      </w:tr>
      <w:tr w:rsidR="009F7E78" w:rsidRPr="009F7E78" w14:paraId="7E9AECAF" w14:textId="77777777" w:rsidTr="00F85994">
        <w:trPr>
          <w:trHeight w:val="1740"/>
        </w:trPr>
        <w:tc>
          <w:tcPr>
            <w:tcW w:w="1040" w:type="dxa"/>
            <w:hideMark/>
          </w:tcPr>
          <w:p w14:paraId="136FD1DD"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A2D4"/>
            <w:hideMark/>
          </w:tcPr>
          <w:p w14:paraId="43D2C9ED"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GV-6.2.2</w:t>
            </w:r>
          </w:p>
        </w:tc>
        <w:tc>
          <w:tcPr>
            <w:tcW w:w="10420" w:type="dxa"/>
            <w:hideMark/>
          </w:tcPr>
          <w:p w14:paraId="08995D3F"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Failure and Incident Communication Protocols:</w:t>
            </w:r>
            <w:r w:rsidRPr="009F7E78">
              <w:rPr>
                <w:rFonts w:ascii="Aptos" w:eastAsia="Aptos" w:hAnsi="Aptos" w:cs="Times New Roman"/>
                <w:color w:val="auto"/>
                <w:kern w:val="2"/>
                <w:sz w:val="20"/>
                <w:szCs w:val="20"/>
                <w14:ligatures w14:val="standardContextual"/>
              </w:rPr>
              <w:t xml:space="preserve"> The organization establishes communication protocols to enable timely, accurate, and consistent notification of relevant stakeholders (e.g., customers, regulators, media) in the event of failures or incidents. These protocols utilize predefined templates, approval processes, and designated spokespeople. Regular tabletop or simulation exercises should be conducted to test and refine communication readiness.</w:t>
            </w:r>
          </w:p>
        </w:tc>
      </w:tr>
      <w:tr w:rsidR="009F7E78" w:rsidRPr="009F7E78" w14:paraId="170F5A32" w14:textId="77777777" w:rsidTr="00F85994">
        <w:trPr>
          <w:trHeight w:val="2030"/>
        </w:trPr>
        <w:tc>
          <w:tcPr>
            <w:tcW w:w="1040" w:type="dxa"/>
            <w:hideMark/>
          </w:tcPr>
          <w:p w14:paraId="1876FBA0"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A2D4"/>
            <w:hideMark/>
          </w:tcPr>
          <w:p w14:paraId="279FDAF4"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GV-6.2.3</w:t>
            </w:r>
          </w:p>
        </w:tc>
        <w:tc>
          <w:tcPr>
            <w:tcW w:w="10420" w:type="dxa"/>
            <w:hideMark/>
          </w:tcPr>
          <w:p w14:paraId="3A9F9477"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SLAs and Contracts with AI Vendors:</w:t>
            </w:r>
            <w:r w:rsidRPr="009F7E78">
              <w:rPr>
                <w:rFonts w:ascii="Aptos" w:eastAsia="Aptos" w:hAnsi="Aptos" w:cs="Times New Roman"/>
                <w:color w:val="auto"/>
                <w:kern w:val="2"/>
                <w:sz w:val="20"/>
                <w:szCs w:val="20"/>
                <w14:ligatures w14:val="standardContextual"/>
              </w:rPr>
              <w:t xml:space="preserve"> The organization establishes service level agreements (SLAs) and contractual provisions with high-risk third-party AI providers, defining obligations, liabilities, remedies, performance metrics (e.g., uptime, error rates), incident reporting requirements, and corrective action procedures. Contracts should include provisions addressing specific risks, such as indemnities or coverage related to AI-related damages, and consider negotiations around AI insurance and risk transfer. These agreements are regularly reviewed and updated.</w:t>
            </w:r>
          </w:p>
        </w:tc>
      </w:tr>
      <w:tr w:rsidR="009F7E78" w:rsidRPr="009F7E78" w14:paraId="2DE62FE3" w14:textId="77777777" w:rsidTr="00F85994">
        <w:trPr>
          <w:trHeight w:val="1160"/>
        </w:trPr>
        <w:tc>
          <w:tcPr>
            <w:tcW w:w="1040" w:type="dxa"/>
            <w:hideMark/>
          </w:tcPr>
          <w:p w14:paraId="4303F626"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lastRenderedPageBreak/>
              <w:t>CO</w:t>
            </w:r>
          </w:p>
        </w:tc>
        <w:tc>
          <w:tcPr>
            <w:tcW w:w="1180" w:type="dxa"/>
            <w:shd w:val="clear" w:color="auto" w:fill="00A2D4"/>
            <w:hideMark/>
          </w:tcPr>
          <w:p w14:paraId="0A06DC4F"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GV-6.2.4</w:t>
            </w:r>
          </w:p>
        </w:tc>
        <w:tc>
          <w:tcPr>
            <w:tcW w:w="10420" w:type="dxa"/>
            <w:hideMark/>
          </w:tcPr>
          <w:p w14:paraId="443E87A2"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Monitoring and Early Warning Systems:</w:t>
            </w:r>
            <w:r w:rsidRPr="009F7E78">
              <w:rPr>
                <w:rFonts w:ascii="Aptos" w:eastAsia="Aptos" w:hAnsi="Aptos" w:cs="Times New Roman"/>
                <w:color w:val="auto"/>
                <w:kern w:val="2"/>
                <w:sz w:val="20"/>
                <w:szCs w:val="20"/>
                <w14:ligatures w14:val="standardContextual"/>
              </w:rPr>
              <w:t xml:space="preserve"> The organization implements logging, monitoring, and early warning systems to detect potential failures, anomalies, or breaches in high-risk third-party AI systems, triggering investigations and responses. Regular audits and assessments drive compliance and identify areas for risk management improvement.</w:t>
            </w:r>
          </w:p>
        </w:tc>
      </w:tr>
      <w:tr w:rsidR="009F7E78" w:rsidRPr="009F7E78" w14:paraId="0EA42DD0" w14:textId="77777777" w:rsidTr="00F85994">
        <w:trPr>
          <w:trHeight w:val="290"/>
        </w:trPr>
        <w:tc>
          <w:tcPr>
            <w:tcW w:w="1040" w:type="dxa"/>
            <w:shd w:val="clear" w:color="auto" w:fill="00C09B"/>
            <w:hideMark/>
          </w:tcPr>
          <w:p w14:paraId="72C7EFBA" w14:textId="77777777" w:rsidR="009F7E78" w:rsidRPr="00F85994" w:rsidRDefault="009F7E78" w:rsidP="009F7E78">
            <w:pPr>
              <w:rPr>
                <w:rFonts w:ascii="Aptos" w:eastAsia="Aptos" w:hAnsi="Aptos" w:cs="Times New Roman"/>
                <w:color w:val="FFFFFF" w:themeColor="background1"/>
                <w:kern w:val="2"/>
                <w:sz w:val="20"/>
                <w:szCs w:val="20"/>
                <w14:ligatures w14:val="standardContextual"/>
              </w:rPr>
            </w:pPr>
            <w:r w:rsidRPr="00F85994">
              <w:rPr>
                <w:rFonts w:ascii="Aptos" w:eastAsia="Aptos" w:hAnsi="Aptos" w:cs="Times New Roman"/>
                <w:color w:val="FFFFFF" w:themeColor="background1"/>
                <w:kern w:val="2"/>
                <w:sz w:val="20"/>
                <w:szCs w:val="20"/>
                <w14:ligatures w14:val="standardContextual"/>
              </w:rPr>
              <w:t>F</w:t>
            </w:r>
          </w:p>
        </w:tc>
        <w:tc>
          <w:tcPr>
            <w:tcW w:w="1180" w:type="dxa"/>
            <w:shd w:val="clear" w:color="auto" w:fill="00C09B"/>
            <w:hideMark/>
          </w:tcPr>
          <w:p w14:paraId="7B44B1B8"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MP</w:t>
            </w:r>
          </w:p>
        </w:tc>
        <w:tc>
          <w:tcPr>
            <w:tcW w:w="10420" w:type="dxa"/>
            <w:shd w:val="clear" w:color="auto" w:fill="00C09B"/>
            <w:hideMark/>
          </w:tcPr>
          <w:p w14:paraId="1562E97D"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MAP</w:t>
            </w:r>
          </w:p>
        </w:tc>
      </w:tr>
      <w:tr w:rsidR="009F7E78" w:rsidRPr="009F7E78" w14:paraId="438BF5B2" w14:textId="77777777" w:rsidTr="00F85994">
        <w:trPr>
          <w:trHeight w:val="290"/>
        </w:trPr>
        <w:tc>
          <w:tcPr>
            <w:tcW w:w="1040" w:type="dxa"/>
            <w:hideMark/>
          </w:tcPr>
          <w:p w14:paraId="4B7E5064"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w:t>
            </w:r>
          </w:p>
        </w:tc>
        <w:tc>
          <w:tcPr>
            <w:tcW w:w="1180" w:type="dxa"/>
            <w:shd w:val="clear" w:color="auto" w:fill="00C09B"/>
            <w:hideMark/>
          </w:tcPr>
          <w:p w14:paraId="47DEDF46"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MP-1</w:t>
            </w:r>
          </w:p>
        </w:tc>
        <w:tc>
          <w:tcPr>
            <w:tcW w:w="10420" w:type="dxa"/>
            <w:hideMark/>
          </w:tcPr>
          <w:p w14:paraId="4C285D31"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Understanding the Operating Context:</w:t>
            </w:r>
            <w:r w:rsidRPr="009F7E78">
              <w:rPr>
                <w:rFonts w:ascii="Aptos" w:eastAsia="Aptos" w:hAnsi="Aptos" w:cs="Times New Roman"/>
                <w:color w:val="auto"/>
                <w:kern w:val="2"/>
                <w:sz w:val="20"/>
                <w:szCs w:val="20"/>
                <w14:ligatures w14:val="standardContextual"/>
              </w:rPr>
              <w:t xml:space="preserve"> Context is established and understood.</w:t>
            </w:r>
          </w:p>
        </w:tc>
      </w:tr>
      <w:tr w:rsidR="009F7E78" w:rsidRPr="009F7E78" w14:paraId="687F442E" w14:textId="77777777" w:rsidTr="00F85994">
        <w:trPr>
          <w:trHeight w:val="2030"/>
        </w:trPr>
        <w:tc>
          <w:tcPr>
            <w:tcW w:w="1040" w:type="dxa"/>
            <w:hideMark/>
          </w:tcPr>
          <w:p w14:paraId="6B5D7FC8"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S</w:t>
            </w:r>
          </w:p>
        </w:tc>
        <w:tc>
          <w:tcPr>
            <w:tcW w:w="1180" w:type="dxa"/>
            <w:shd w:val="clear" w:color="auto" w:fill="00C09B"/>
            <w:hideMark/>
          </w:tcPr>
          <w:p w14:paraId="7CFC1EDA"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MP-1.1</w:t>
            </w:r>
          </w:p>
        </w:tc>
        <w:tc>
          <w:tcPr>
            <w:tcW w:w="10420" w:type="dxa"/>
            <w:hideMark/>
          </w:tcPr>
          <w:p w14:paraId="6F38937E"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Defining the Operating Context:</w:t>
            </w:r>
            <w:r w:rsidRPr="009F7E78">
              <w:rPr>
                <w:rFonts w:ascii="Aptos" w:eastAsia="Aptos" w:hAnsi="Aptos" w:cs="Times New Roman"/>
                <w:color w:val="auto"/>
                <w:kern w:val="2"/>
                <w:sz w:val="20"/>
                <w:szCs w:val="20"/>
                <w14:ligatures w14:val="standardContextual"/>
              </w:rPr>
              <w:t xml:space="preserve"> Intended purposes, potentially beneficial uses, context-specific laws, norms and expectations, and prospective settings in which the AI system will be deployed are understood and documented. Considerations include: the specific set or types of users along with their expectations; potential positive and negative impacts of system uses to individuals, communities, organizations, society, and the planet; assumptions and related limitations about AI system purposes, uses, and risks across the development or product AI lifecycle; and related TEVV and system metrics.</w:t>
            </w:r>
          </w:p>
        </w:tc>
      </w:tr>
      <w:tr w:rsidR="009F7E78" w:rsidRPr="009F7E78" w14:paraId="0DF7B122" w14:textId="77777777" w:rsidTr="00F85994">
        <w:trPr>
          <w:trHeight w:val="870"/>
        </w:trPr>
        <w:tc>
          <w:tcPr>
            <w:tcW w:w="1040" w:type="dxa"/>
            <w:hideMark/>
          </w:tcPr>
          <w:p w14:paraId="756778D7"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C09B"/>
            <w:hideMark/>
          </w:tcPr>
          <w:p w14:paraId="1D93D209"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MP-1.1.1</w:t>
            </w:r>
          </w:p>
        </w:tc>
        <w:tc>
          <w:tcPr>
            <w:tcW w:w="10420" w:type="dxa"/>
            <w:hideMark/>
          </w:tcPr>
          <w:p w14:paraId="4AED558C"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AI Purpose and Context Documentation:</w:t>
            </w:r>
            <w:r w:rsidRPr="009F7E78">
              <w:rPr>
                <w:rFonts w:ascii="Aptos" w:eastAsia="Aptos" w:hAnsi="Aptos" w:cs="Times New Roman"/>
                <w:color w:val="auto"/>
                <w:kern w:val="2"/>
                <w:sz w:val="20"/>
                <w:szCs w:val="20"/>
                <w14:ligatures w14:val="standardContextual"/>
              </w:rPr>
              <w:t xml:space="preserve"> The organization identifies and documents the AI system’s purpose, context, beneficial uses, user types and expectations, relevant laws, norms, and prospective deployment settings.</w:t>
            </w:r>
          </w:p>
        </w:tc>
      </w:tr>
      <w:tr w:rsidR="009F7E78" w:rsidRPr="009F7E78" w14:paraId="75375966" w14:textId="77777777" w:rsidTr="00F85994">
        <w:trPr>
          <w:trHeight w:val="1160"/>
        </w:trPr>
        <w:tc>
          <w:tcPr>
            <w:tcW w:w="1040" w:type="dxa"/>
            <w:hideMark/>
          </w:tcPr>
          <w:p w14:paraId="72530D96"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C09B"/>
            <w:hideMark/>
          </w:tcPr>
          <w:p w14:paraId="773D2215"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MP-1.1.2</w:t>
            </w:r>
          </w:p>
        </w:tc>
        <w:tc>
          <w:tcPr>
            <w:tcW w:w="10420" w:type="dxa"/>
            <w:hideMark/>
          </w:tcPr>
          <w:p w14:paraId="7F5183B9"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Impact and Stakeholder Impact Assessment:</w:t>
            </w:r>
            <w:r w:rsidRPr="009F7E78">
              <w:rPr>
                <w:rFonts w:ascii="Aptos" w:eastAsia="Aptos" w:hAnsi="Aptos" w:cs="Times New Roman"/>
                <w:color w:val="auto"/>
                <w:kern w:val="2"/>
                <w:sz w:val="20"/>
                <w:szCs w:val="20"/>
                <w14:ligatures w14:val="standardContextual"/>
              </w:rPr>
              <w:t xml:space="preserve"> The organization considers the potential positive and negative impacts of the AI system in collaboration with a multidisciplinary set of relevant stakeholders (e.g., domain experts, human factors experts, affected communities) throughout its lifecycle.</w:t>
            </w:r>
          </w:p>
        </w:tc>
      </w:tr>
      <w:tr w:rsidR="009F7E78" w:rsidRPr="009F7E78" w14:paraId="3A6EE1F2" w14:textId="77777777" w:rsidTr="00F85994">
        <w:trPr>
          <w:trHeight w:val="1160"/>
        </w:trPr>
        <w:tc>
          <w:tcPr>
            <w:tcW w:w="1040" w:type="dxa"/>
            <w:hideMark/>
          </w:tcPr>
          <w:p w14:paraId="676D8E5F"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C09B"/>
            <w:hideMark/>
          </w:tcPr>
          <w:p w14:paraId="70FBB723"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MP-1.1.3</w:t>
            </w:r>
          </w:p>
        </w:tc>
        <w:tc>
          <w:tcPr>
            <w:tcW w:w="10420" w:type="dxa"/>
            <w:hideMark/>
          </w:tcPr>
          <w:p w14:paraId="03ADB7C0"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Assumptions, Risks, and TEVV Documentation:</w:t>
            </w:r>
            <w:r w:rsidRPr="009F7E78">
              <w:rPr>
                <w:rFonts w:ascii="Aptos" w:eastAsia="Aptos" w:hAnsi="Aptos" w:cs="Times New Roman"/>
                <w:color w:val="auto"/>
                <w:kern w:val="2"/>
                <w:sz w:val="20"/>
                <w:szCs w:val="20"/>
                <w14:ligatures w14:val="standardContextual"/>
              </w:rPr>
              <w:t xml:space="preserve"> The organization identifies and documents assumptions, limitations, and potential risks throughout the AI system’s lifecycle. Testing, evaluation, verification, and validation (TEVV) requirements and system metrics to identify, monitor, and manage associated system risks are identified.</w:t>
            </w:r>
          </w:p>
        </w:tc>
      </w:tr>
      <w:tr w:rsidR="009F7E78" w:rsidRPr="009F7E78" w14:paraId="3C1FC204" w14:textId="77777777" w:rsidTr="00F85994">
        <w:trPr>
          <w:trHeight w:val="580"/>
        </w:trPr>
        <w:tc>
          <w:tcPr>
            <w:tcW w:w="1040" w:type="dxa"/>
            <w:hideMark/>
          </w:tcPr>
          <w:p w14:paraId="4ADEC64C"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C09B"/>
            <w:hideMark/>
          </w:tcPr>
          <w:p w14:paraId="5F6A3317"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MP-1.1.4</w:t>
            </w:r>
          </w:p>
        </w:tc>
        <w:tc>
          <w:tcPr>
            <w:tcW w:w="10420" w:type="dxa"/>
            <w:hideMark/>
          </w:tcPr>
          <w:p w14:paraId="0836DF43"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Non-AI Alternatives Evaluation:</w:t>
            </w:r>
            <w:r w:rsidRPr="009F7E78">
              <w:rPr>
                <w:rFonts w:ascii="Aptos" w:eastAsia="Aptos" w:hAnsi="Aptos" w:cs="Times New Roman"/>
                <w:color w:val="auto"/>
                <w:kern w:val="2"/>
                <w:sz w:val="20"/>
                <w:szCs w:val="20"/>
                <w14:ligatures w14:val="standardContextual"/>
              </w:rPr>
              <w:t xml:space="preserve"> The organization considers non-AI alternatives and documents the comparative analysis and decision rationale.</w:t>
            </w:r>
          </w:p>
        </w:tc>
      </w:tr>
      <w:tr w:rsidR="009F7E78" w:rsidRPr="009F7E78" w14:paraId="0182463C" w14:textId="77777777" w:rsidTr="00F85994">
        <w:trPr>
          <w:trHeight w:val="1160"/>
        </w:trPr>
        <w:tc>
          <w:tcPr>
            <w:tcW w:w="1040" w:type="dxa"/>
            <w:hideMark/>
          </w:tcPr>
          <w:p w14:paraId="2962E188"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S</w:t>
            </w:r>
          </w:p>
        </w:tc>
        <w:tc>
          <w:tcPr>
            <w:tcW w:w="1180" w:type="dxa"/>
            <w:shd w:val="clear" w:color="auto" w:fill="00C09B"/>
            <w:hideMark/>
          </w:tcPr>
          <w:p w14:paraId="5172DC39"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MP-1.2</w:t>
            </w:r>
          </w:p>
        </w:tc>
        <w:tc>
          <w:tcPr>
            <w:tcW w:w="10420" w:type="dxa"/>
            <w:hideMark/>
          </w:tcPr>
          <w:p w14:paraId="3E774AED"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Bolstering Cross-Functional Perspectives on the Operating Context:</w:t>
            </w:r>
            <w:r w:rsidRPr="009F7E78">
              <w:rPr>
                <w:rFonts w:ascii="Aptos" w:eastAsia="Aptos" w:hAnsi="Aptos" w:cs="Times New Roman"/>
                <w:color w:val="auto"/>
                <w:kern w:val="2"/>
                <w:sz w:val="20"/>
                <w:szCs w:val="20"/>
                <w14:ligatures w14:val="standardContextual"/>
              </w:rPr>
              <w:t xml:space="preserve"> Interdisciplinary AI actors, competencies, skills, and capacities for establishing context reflect demographic diversity and broad domain and user experience expertise, and their participation is documented. Opportunities for interdisciplinary collaboration are prioritized.</w:t>
            </w:r>
          </w:p>
        </w:tc>
      </w:tr>
      <w:tr w:rsidR="009F7E78" w:rsidRPr="009F7E78" w14:paraId="67E84895" w14:textId="77777777" w:rsidTr="00F85994">
        <w:trPr>
          <w:trHeight w:val="1160"/>
        </w:trPr>
        <w:tc>
          <w:tcPr>
            <w:tcW w:w="1040" w:type="dxa"/>
            <w:hideMark/>
          </w:tcPr>
          <w:p w14:paraId="7DCD20FE"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C09B"/>
            <w:hideMark/>
          </w:tcPr>
          <w:p w14:paraId="4177AF21"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MP-1.2.1</w:t>
            </w:r>
          </w:p>
        </w:tc>
        <w:tc>
          <w:tcPr>
            <w:tcW w:w="10420" w:type="dxa"/>
            <w:hideMark/>
          </w:tcPr>
          <w:p w14:paraId="278657F0"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Multidisciplinary AI Impact Teams:</w:t>
            </w:r>
            <w:r w:rsidRPr="009F7E78">
              <w:rPr>
                <w:rFonts w:ascii="Aptos" w:eastAsia="Aptos" w:hAnsi="Aptos" w:cs="Times New Roman"/>
                <w:color w:val="auto"/>
                <w:kern w:val="2"/>
                <w:sz w:val="20"/>
                <w:szCs w:val="20"/>
                <w14:ligatures w14:val="standardContextual"/>
              </w:rPr>
              <w:t xml:space="preserve"> The organization recruits, supports, and facilitates documented collaboration among multidisciplinary teams throughout the AI system lifecycle (from problem formulation to monitoring). This enhances comprehensive risk analysis, bias mitigation, and thorough consideration of potential impacts.</w:t>
            </w:r>
          </w:p>
        </w:tc>
      </w:tr>
      <w:tr w:rsidR="009F7E78" w:rsidRPr="009F7E78" w14:paraId="65BD63F3" w14:textId="77777777" w:rsidTr="00F85994">
        <w:trPr>
          <w:trHeight w:val="580"/>
        </w:trPr>
        <w:tc>
          <w:tcPr>
            <w:tcW w:w="1040" w:type="dxa"/>
            <w:hideMark/>
          </w:tcPr>
          <w:p w14:paraId="55357763"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S</w:t>
            </w:r>
          </w:p>
        </w:tc>
        <w:tc>
          <w:tcPr>
            <w:tcW w:w="1180" w:type="dxa"/>
            <w:shd w:val="clear" w:color="auto" w:fill="00C09B"/>
            <w:hideMark/>
          </w:tcPr>
          <w:p w14:paraId="7F31E315"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MP-1.3</w:t>
            </w:r>
          </w:p>
        </w:tc>
        <w:tc>
          <w:tcPr>
            <w:tcW w:w="10420" w:type="dxa"/>
            <w:hideMark/>
          </w:tcPr>
          <w:p w14:paraId="37E19FD4"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Defining the Mission and Goals:</w:t>
            </w:r>
            <w:r w:rsidRPr="009F7E78">
              <w:rPr>
                <w:rFonts w:ascii="Aptos" w:eastAsia="Aptos" w:hAnsi="Aptos" w:cs="Times New Roman"/>
                <w:color w:val="auto"/>
                <w:kern w:val="2"/>
                <w:sz w:val="20"/>
                <w:szCs w:val="20"/>
                <w14:ligatures w14:val="standardContextual"/>
              </w:rPr>
              <w:t xml:space="preserve"> The organization’s mission and relevant goals for AI technology are understood and documented.</w:t>
            </w:r>
          </w:p>
        </w:tc>
      </w:tr>
      <w:tr w:rsidR="009F7E78" w:rsidRPr="009F7E78" w14:paraId="4CC7DDD2" w14:textId="77777777" w:rsidTr="00F85994">
        <w:trPr>
          <w:trHeight w:val="870"/>
        </w:trPr>
        <w:tc>
          <w:tcPr>
            <w:tcW w:w="1040" w:type="dxa"/>
            <w:hideMark/>
          </w:tcPr>
          <w:p w14:paraId="2DB05C9C"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C09B"/>
            <w:hideMark/>
          </w:tcPr>
          <w:p w14:paraId="61DDA5C3"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MP-1.3.1</w:t>
            </w:r>
          </w:p>
        </w:tc>
        <w:tc>
          <w:tcPr>
            <w:tcW w:w="10420" w:type="dxa"/>
            <w:hideMark/>
          </w:tcPr>
          <w:p w14:paraId="0F2D028F"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AI Alignment with Mission and Values:</w:t>
            </w:r>
            <w:r w:rsidRPr="009F7E78">
              <w:rPr>
                <w:rFonts w:ascii="Aptos" w:eastAsia="Aptos" w:hAnsi="Aptos" w:cs="Times New Roman"/>
                <w:color w:val="auto"/>
                <w:kern w:val="2"/>
                <w:sz w:val="20"/>
                <w:szCs w:val="20"/>
                <w14:ligatures w14:val="standardContextual"/>
              </w:rPr>
              <w:t xml:space="preserve"> The organization identifies and documents the AI system’s alignment and contribution to organizational mission, values, goals (including relevant goals for AI technology), and AI  Trustworthy Principles.</w:t>
            </w:r>
          </w:p>
        </w:tc>
      </w:tr>
      <w:tr w:rsidR="009F7E78" w:rsidRPr="009F7E78" w14:paraId="6902397E" w14:textId="77777777" w:rsidTr="00F85994">
        <w:trPr>
          <w:trHeight w:val="1450"/>
        </w:trPr>
        <w:tc>
          <w:tcPr>
            <w:tcW w:w="1040" w:type="dxa"/>
            <w:hideMark/>
          </w:tcPr>
          <w:p w14:paraId="2A95B222"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lastRenderedPageBreak/>
              <w:t>CO</w:t>
            </w:r>
          </w:p>
        </w:tc>
        <w:tc>
          <w:tcPr>
            <w:tcW w:w="1180" w:type="dxa"/>
            <w:shd w:val="clear" w:color="auto" w:fill="00C09B"/>
            <w:hideMark/>
          </w:tcPr>
          <w:p w14:paraId="4BDF8AF5"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MP-1.3.2</w:t>
            </w:r>
          </w:p>
        </w:tc>
        <w:tc>
          <w:tcPr>
            <w:tcW w:w="10420" w:type="dxa"/>
            <w:hideMark/>
          </w:tcPr>
          <w:p w14:paraId="59E2B337"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AI Purpose and Context Review:</w:t>
            </w:r>
            <w:r w:rsidRPr="009F7E78">
              <w:rPr>
                <w:rFonts w:ascii="Aptos" w:eastAsia="Aptos" w:hAnsi="Aptos" w:cs="Times New Roman"/>
                <w:color w:val="auto"/>
                <w:kern w:val="2"/>
                <w:sz w:val="20"/>
                <w:szCs w:val="20"/>
                <w14:ligatures w14:val="standardContextual"/>
              </w:rPr>
              <w:t xml:space="preserve"> The organization establishes plans to review and update the AI system’s documented purpose and context to drive ongoing alignment with the organization's evolving mission, goals, and AI  Trustworthy Principles. The organization regularly re-evaluates the business value and context of use for existing AI systems to validate alignment.</w:t>
            </w:r>
          </w:p>
        </w:tc>
      </w:tr>
      <w:tr w:rsidR="009F7E78" w:rsidRPr="009F7E78" w14:paraId="60617581" w14:textId="77777777" w:rsidTr="00F85994">
        <w:trPr>
          <w:trHeight w:val="580"/>
        </w:trPr>
        <w:tc>
          <w:tcPr>
            <w:tcW w:w="1040" w:type="dxa"/>
            <w:hideMark/>
          </w:tcPr>
          <w:p w14:paraId="156481EC"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S</w:t>
            </w:r>
          </w:p>
        </w:tc>
        <w:tc>
          <w:tcPr>
            <w:tcW w:w="1180" w:type="dxa"/>
            <w:shd w:val="clear" w:color="auto" w:fill="00C09B"/>
            <w:hideMark/>
          </w:tcPr>
          <w:p w14:paraId="4BD90AD5"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MP-1.4</w:t>
            </w:r>
          </w:p>
        </w:tc>
        <w:tc>
          <w:tcPr>
            <w:tcW w:w="10420" w:type="dxa"/>
            <w:hideMark/>
          </w:tcPr>
          <w:p w14:paraId="60816DE3"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Defining Real-World Business Value:</w:t>
            </w:r>
            <w:r w:rsidRPr="009F7E78">
              <w:rPr>
                <w:rFonts w:ascii="Aptos" w:eastAsia="Aptos" w:hAnsi="Aptos" w:cs="Times New Roman"/>
                <w:color w:val="auto"/>
                <w:kern w:val="2"/>
                <w:sz w:val="20"/>
                <w:szCs w:val="20"/>
                <w14:ligatures w14:val="standardContextual"/>
              </w:rPr>
              <w:t xml:space="preserve"> The business value or context of business use has been clearly defined or – in the case of assessing existing AI systems – re-evaluated.</w:t>
            </w:r>
          </w:p>
        </w:tc>
      </w:tr>
      <w:tr w:rsidR="009F7E78" w:rsidRPr="009F7E78" w14:paraId="4892E685" w14:textId="77777777" w:rsidTr="00F85994">
        <w:trPr>
          <w:trHeight w:val="1450"/>
        </w:trPr>
        <w:tc>
          <w:tcPr>
            <w:tcW w:w="1040" w:type="dxa"/>
            <w:hideMark/>
          </w:tcPr>
          <w:p w14:paraId="15E5C01D"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C09B"/>
            <w:hideMark/>
          </w:tcPr>
          <w:p w14:paraId="2A07E1BE"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MP-1.4.1</w:t>
            </w:r>
          </w:p>
        </w:tc>
        <w:tc>
          <w:tcPr>
            <w:tcW w:w="10420" w:type="dxa"/>
            <w:hideMark/>
          </w:tcPr>
          <w:p w14:paraId="0B6BFB43"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AI Business Value and Context Communication:</w:t>
            </w:r>
            <w:r w:rsidRPr="009F7E78">
              <w:rPr>
                <w:rFonts w:ascii="Aptos" w:eastAsia="Aptos" w:hAnsi="Aptos" w:cs="Times New Roman"/>
                <w:color w:val="auto"/>
                <w:kern w:val="2"/>
                <w:sz w:val="20"/>
                <w:szCs w:val="20"/>
                <w14:ligatures w14:val="standardContextual"/>
              </w:rPr>
              <w:t xml:space="preserve"> The organization clearly defines, documents, and communicates the business value, objectives, and intended context of use for each AI system to relevant stakeholders, promoting alignment with organizational goals and facilitating transparency and accountability in how the AI system supports operational success.</w:t>
            </w:r>
          </w:p>
        </w:tc>
      </w:tr>
      <w:tr w:rsidR="009F7E78" w:rsidRPr="009F7E78" w14:paraId="6B691154" w14:textId="77777777" w:rsidTr="00F85994">
        <w:trPr>
          <w:trHeight w:val="580"/>
        </w:trPr>
        <w:tc>
          <w:tcPr>
            <w:tcW w:w="1040" w:type="dxa"/>
            <w:hideMark/>
          </w:tcPr>
          <w:p w14:paraId="46A26A76"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S</w:t>
            </w:r>
          </w:p>
        </w:tc>
        <w:tc>
          <w:tcPr>
            <w:tcW w:w="1180" w:type="dxa"/>
            <w:shd w:val="clear" w:color="auto" w:fill="00C09B"/>
            <w:hideMark/>
          </w:tcPr>
          <w:p w14:paraId="5FDB0B27"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MP-1.5</w:t>
            </w:r>
          </w:p>
        </w:tc>
        <w:tc>
          <w:tcPr>
            <w:tcW w:w="10420" w:type="dxa"/>
            <w:hideMark/>
          </w:tcPr>
          <w:p w14:paraId="7147D2A6"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Documenting Risk Tolerances:</w:t>
            </w:r>
            <w:r w:rsidRPr="009F7E78">
              <w:rPr>
                <w:rFonts w:ascii="Aptos" w:eastAsia="Aptos" w:hAnsi="Aptos" w:cs="Times New Roman"/>
                <w:color w:val="auto"/>
                <w:kern w:val="2"/>
                <w:sz w:val="20"/>
                <w:szCs w:val="20"/>
                <w14:ligatures w14:val="standardContextual"/>
              </w:rPr>
              <w:t xml:space="preserve"> Organizational risk tolerances are determined and documented.</w:t>
            </w:r>
          </w:p>
        </w:tc>
      </w:tr>
      <w:tr w:rsidR="009F7E78" w:rsidRPr="009F7E78" w14:paraId="21025EF2" w14:textId="77777777" w:rsidTr="00F85994">
        <w:trPr>
          <w:trHeight w:val="1160"/>
        </w:trPr>
        <w:tc>
          <w:tcPr>
            <w:tcW w:w="1040" w:type="dxa"/>
            <w:hideMark/>
          </w:tcPr>
          <w:p w14:paraId="38CABA6D"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C09B"/>
            <w:hideMark/>
          </w:tcPr>
          <w:p w14:paraId="545ECBA0"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MP-1.5.1</w:t>
            </w:r>
          </w:p>
        </w:tc>
        <w:tc>
          <w:tcPr>
            <w:tcW w:w="10420" w:type="dxa"/>
            <w:hideMark/>
          </w:tcPr>
          <w:p w14:paraId="53B6A5C5"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AI Risk Tolerance Definitions:</w:t>
            </w:r>
            <w:r w:rsidRPr="009F7E78">
              <w:rPr>
                <w:rFonts w:ascii="Aptos" w:eastAsia="Aptos" w:hAnsi="Aptos" w:cs="Times New Roman"/>
                <w:color w:val="auto"/>
                <w:kern w:val="2"/>
                <w:sz w:val="20"/>
                <w:szCs w:val="20"/>
                <w14:ligatures w14:val="standardContextual"/>
              </w:rPr>
              <w:t xml:space="preserve"> The organization defines, develops, and documents risk tolerances for AI systems, considering different risk types (e.g., financial, operational, safety, reputational), sources, and levels (e.g., from negligible to critical), with awareness and oversight from senior leadership and the board where appropriate.</w:t>
            </w:r>
          </w:p>
        </w:tc>
      </w:tr>
      <w:tr w:rsidR="009F7E78" w:rsidRPr="009F7E78" w14:paraId="0877E110" w14:textId="77777777" w:rsidTr="00F85994">
        <w:trPr>
          <w:trHeight w:val="1450"/>
        </w:trPr>
        <w:tc>
          <w:tcPr>
            <w:tcW w:w="1040" w:type="dxa"/>
            <w:hideMark/>
          </w:tcPr>
          <w:p w14:paraId="73011E5C"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C09B"/>
            <w:hideMark/>
          </w:tcPr>
          <w:p w14:paraId="0CF6B552"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MP-1.5.2</w:t>
            </w:r>
          </w:p>
        </w:tc>
        <w:tc>
          <w:tcPr>
            <w:tcW w:w="10420" w:type="dxa"/>
            <w:hideMark/>
          </w:tcPr>
          <w:p w14:paraId="6F96D50A"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Design Decision Rationale Documentation:</w:t>
            </w:r>
            <w:r w:rsidRPr="009F7E78">
              <w:rPr>
                <w:rFonts w:ascii="Aptos" w:eastAsia="Aptos" w:hAnsi="Aptos" w:cs="Times New Roman"/>
                <w:color w:val="auto"/>
                <w:kern w:val="2"/>
                <w:sz w:val="20"/>
                <w:szCs w:val="20"/>
                <w14:ligatures w14:val="standardContextual"/>
              </w:rPr>
              <w:t xml:space="preserve"> The organization documents and communicates AI design decisions and risk tolerances, ensuring they align with stakeholder requirements, values, and trustworthiness principles. This process includes input from leadership and the board to support decision-making that balances risks, intended use, and organizational risk appetite.</w:t>
            </w:r>
          </w:p>
        </w:tc>
      </w:tr>
      <w:tr w:rsidR="009F7E78" w:rsidRPr="009F7E78" w14:paraId="75E9DDA9" w14:textId="77777777" w:rsidTr="00F85994">
        <w:trPr>
          <w:trHeight w:val="870"/>
        </w:trPr>
        <w:tc>
          <w:tcPr>
            <w:tcW w:w="1040" w:type="dxa"/>
            <w:hideMark/>
          </w:tcPr>
          <w:p w14:paraId="7A01E32C"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S</w:t>
            </w:r>
          </w:p>
        </w:tc>
        <w:tc>
          <w:tcPr>
            <w:tcW w:w="1180" w:type="dxa"/>
            <w:shd w:val="clear" w:color="auto" w:fill="00C09B"/>
            <w:hideMark/>
          </w:tcPr>
          <w:p w14:paraId="35751050"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MP-1.6</w:t>
            </w:r>
          </w:p>
        </w:tc>
        <w:tc>
          <w:tcPr>
            <w:tcW w:w="10420" w:type="dxa"/>
            <w:hideMark/>
          </w:tcPr>
          <w:p w14:paraId="66FF9451"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Defining and Communicating User Requirements:</w:t>
            </w:r>
            <w:r w:rsidRPr="009F7E78">
              <w:rPr>
                <w:rFonts w:ascii="Aptos" w:eastAsia="Aptos" w:hAnsi="Aptos" w:cs="Times New Roman"/>
                <w:color w:val="auto"/>
                <w:kern w:val="2"/>
                <w:sz w:val="20"/>
                <w:szCs w:val="20"/>
                <w14:ligatures w14:val="standardContextual"/>
              </w:rPr>
              <w:t xml:space="preserve"> System requirements (e.g., “the system shall respect the privacy of its users”) are elicited from and understood by relevant AI actors. Design decisions take socio-technical implications into account to address AI risks.</w:t>
            </w:r>
          </w:p>
        </w:tc>
      </w:tr>
      <w:tr w:rsidR="009F7E78" w:rsidRPr="009F7E78" w14:paraId="59D2B5F4" w14:textId="77777777" w:rsidTr="00F85994">
        <w:trPr>
          <w:trHeight w:val="1160"/>
        </w:trPr>
        <w:tc>
          <w:tcPr>
            <w:tcW w:w="1040" w:type="dxa"/>
            <w:hideMark/>
          </w:tcPr>
          <w:p w14:paraId="27E98E5D"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C09B"/>
            <w:hideMark/>
          </w:tcPr>
          <w:p w14:paraId="460743E7"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MP-1.6.1</w:t>
            </w:r>
          </w:p>
        </w:tc>
        <w:tc>
          <w:tcPr>
            <w:tcW w:w="10420" w:type="dxa"/>
            <w:hideMark/>
          </w:tcPr>
          <w:p w14:paraId="1FC4BEA6"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AI Requirements from Stakeholders:</w:t>
            </w:r>
            <w:r w:rsidRPr="009F7E78">
              <w:rPr>
                <w:rFonts w:ascii="Aptos" w:eastAsia="Aptos" w:hAnsi="Aptos" w:cs="Times New Roman"/>
                <w:color w:val="auto"/>
                <w:kern w:val="2"/>
                <w:sz w:val="20"/>
                <w:szCs w:val="20"/>
                <w14:ligatures w14:val="standardContextual"/>
              </w:rPr>
              <w:t xml:space="preserve"> The organization engages relevant AI stakeholders (e.g., end-users, domain experts, impacted communities) to elicit and document system requirements that address AI risks and promote trustworthy characteristics (e.g., security, fairness, transparency, accountability).</w:t>
            </w:r>
          </w:p>
        </w:tc>
      </w:tr>
      <w:tr w:rsidR="009F7E78" w:rsidRPr="009F7E78" w14:paraId="4A5FA5B9" w14:textId="77777777" w:rsidTr="00F85994">
        <w:trPr>
          <w:trHeight w:val="1450"/>
        </w:trPr>
        <w:tc>
          <w:tcPr>
            <w:tcW w:w="1040" w:type="dxa"/>
            <w:hideMark/>
          </w:tcPr>
          <w:p w14:paraId="039B2EB5"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C09B"/>
            <w:hideMark/>
          </w:tcPr>
          <w:p w14:paraId="735B79CB"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MP-1.6.2</w:t>
            </w:r>
          </w:p>
        </w:tc>
        <w:tc>
          <w:tcPr>
            <w:tcW w:w="10420" w:type="dxa"/>
            <w:hideMark/>
          </w:tcPr>
          <w:p w14:paraId="175C48C0"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Data Interdependency and Provenance Documentation:</w:t>
            </w:r>
            <w:r w:rsidRPr="009F7E78">
              <w:rPr>
                <w:rFonts w:ascii="Aptos" w:eastAsia="Aptos" w:hAnsi="Aptos" w:cs="Times New Roman"/>
                <w:color w:val="auto"/>
                <w:kern w:val="2"/>
                <w:sz w:val="20"/>
                <w:szCs w:val="20"/>
                <w14:ligatures w14:val="standardContextual"/>
              </w:rPr>
              <w:t xml:space="preserve"> The organization documents the AI system's internal and external data interdependencies, including data provenance from a privacy perspective. This process identifies and assesses potential negative impacts stemming from these connections, informing risk thresholds, deployment decisions, and operational management decisions.</w:t>
            </w:r>
          </w:p>
        </w:tc>
      </w:tr>
      <w:tr w:rsidR="009F7E78" w:rsidRPr="009F7E78" w14:paraId="1437BF31" w14:textId="77777777" w:rsidTr="00F85994">
        <w:trPr>
          <w:trHeight w:val="1450"/>
        </w:trPr>
        <w:tc>
          <w:tcPr>
            <w:tcW w:w="1040" w:type="dxa"/>
            <w:hideMark/>
          </w:tcPr>
          <w:p w14:paraId="526577FB"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C09B"/>
            <w:hideMark/>
          </w:tcPr>
          <w:p w14:paraId="19B8C6DB"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MP-1.6.3</w:t>
            </w:r>
          </w:p>
        </w:tc>
        <w:tc>
          <w:tcPr>
            <w:tcW w:w="10420" w:type="dxa"/>
            <w:hideMark/>
          </w:tcPr>
          <w:p w14:paraId="60B17DE6"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Context-Informed Data Design:</w:t>
            </w:r>
            <w:r w:rsidRPr="009F7E78">
              <w:rPr>
                <w:rFonts w:ascii="Aptos" w:eastAsia="Aptos" w:hAnsi="Aptos" w:cs="Times New Roman"/>
                <w:color w:val="auto"/>
                <w:kern w:val="2"/>
                <w:sz w:val="20"/>
                <w:szCs w:val="20"/>
                <w14:ligatures w14:val="standardContextual"/>
              </w:rPr>
              <w:t xml:space="preserve"> The organization conducts research to understand the potential limitations of data that may affect the specific uses of the AI system, and uses this understanding, along with insights on values, contexts, and systemic and historical considerations, to inform data selection and representation in the AI system design process.</w:t>
            </w:r>
          </w:p>
        </w:tc>
      </w:tr>
      <w:tr w:rsidR="009F7E78" w:rsidRPr="009F7E78" w14:paraId="2D27F5C6" w14:textId="77777777" w:rsidTr="00F85994">
        <w:trPr>
          <w:trHeight w:val="290"/>
        </w:trPr>
        <w:tc>
          <w:tcPr>
            <w:tcW w:w="1040" w:type="dxa"/>
            <w:hideMark/>
          </w:tcPr>
          <w:p w14:paraId="39AE7E16"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w:t>
            </w:r>
          </w:p>
        </w:tc>
        <w:tc>
          <w:tcPr>
            <w:tcW w:w="1180" w:type="dxa"/>
            <w:shd w:val="clear" w:color="auto" w:fill="00C09B"/>
            <w:hideMark/>
          </w:tcPr>
          <w:p w14:paraId="7627F02D"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MP-2</w:t>
            </w:r>
          </w:p>
        </w:tc>
        <w:tc>
          <w:tcPr>
            <w:tcW w:w="10420" w:type="dxa"/>
            <w:hideMark/>
          </w:tcPr>
          <w:p w14:paraId="7535D48C"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Understanding the AI System:</w:t>
            </w:r>
            <w:r w:rsidRPr="009F7E78">
              <w:rPr>
                <w:rFonts w:ascii="Aptos" w:eastAsia="Aptos" w:hAnsi="Aptos" w:cs="Times New Roman"/>
                <w:color w:val="auto"/>
                <w:kern w:val="2"/>
                <w:sz w:val="20"/>
                <w:szCs w:val="20"/>
                <w14:ligatures w14:val="standardContextual"/>
              </w:rPr>
              <w:t xml:space="preserve"> Categorization of the AI system is performed</w:t>
            </w:r>
          </w:p>
        </w:tc>
      </w:tr>
      <w:tr w:rsidR="009F7E78" w:rsidRPr="009F7E78" w14:paraId="4D04B8F3" w14:textId="77777777" w:rsidTr="00F85994">
        <w:trPr>
          <w:trHeight w:val="870"/>
        </w:trPr>
        <w:tc>
          <w:tcPr>
            <w:tcW w:w="1040" w:type="dxa"/>
            <w:hideMark/>
          </w:tcPr>
          <w:p w14:paraId="710C6A98"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lastRenderedPageBreak/>
              <w:t>S</w:t>
            </w:r>
          </w:p>
        </w:tc>
        <w:tc>
          <w:tcPr>
            <w:tcW w:w="1180" w:type="dxa"/>
            <w:shd w:val="clear" w:color="auto" w:fill="00C09B"/>
            <w:hideMark/>
          </w:tcPr>
          <w:p w14:paraId="046235DE"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MP-2.1</w:t>
            </w:r>
          </w:p>
        </w:tc>
        <w:tc>
          <w:tcPr>
            <w:tcW w:w="10420" w:type="dxa"/>
            <w:hideMark/>
          </w:tcPr>
          <w:p w14:paraId="46B947CF"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Defining AI System Task and Methodology:</w:t>
            </w:r>
            <w:r w:rsidRPr="009F7E78">
              <w:rPr>
                <w:rFonts w:ascii="Aptos" w:eastAsia="Aptos" w:hAnsi="Aptos" w:cs="Times New Roman"/>
                <w:color w:val="auto"/>
                <w:kern w:val="2"/>
                <w:sz w:val="20"/>
                <w:szCs w:val="20"/>
                <w14:ligatures w14:val="standardContextual"/>
              </w:rPr>
              <w:t xml:space="preserve"> The specific tasks and methods used to implement the tasks that the AI system will support are defined (e.g., classifiers, generative models, recommenders).</w:t>
            </w:r>
          </w:p>
        </w:tc>
      </w:tr>
      <w:tr w:rsidR="009F7E78" w:rsidRPr="009F7E78" w14:paraId="3ED4914B" w14:textId="77777777" w:rsidTr="00F85994">
        <w:trPr>
          <w:trHeight w:val="1160"/>
        </w:trPr>
        <w:tc>
          <w:tcPr>
            <w:tcW w:w="1040" w:type="dxa"/>
            <w:hideMark/>
          </w:tcPr>
          <w:p w14:paraId="49381992"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C09B"/>
            <w:hideMark/>
          </w:tcPr>
          <w:p w14:paraId="0839C0F9"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MP-2.1.1</w:t>
            </w:r>
          </w:p>
        </w:tc>
        <w:tc>
          <w:tcPr>
            <w:tcW w:w="10420" w:type="dxa"/>
            <w:hideMark/>
          </w:tcPr>
          <w:p w14:paraId="2AACB626"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AI Learning and Decision Tasks:</w:t>
            </w:r>
            <w:r w:rsidRPr="009F7E78">
              <w:rPr>
                <w:rFonts w:ascii="Aptos" w:eastAsia="Aptos" w:hAnsi="Aptos" w:cs="Times New Roman"/>
                <w:color w:val="auto"/>
                <w:kern w:val="2"/>
                <w:sz w:val="20"/>
                <w:szCs w:val="20"/>
                <w14:ligatures w14:val="standardContextual"/>
              </w:rPr>
              <w:t xml:space="preserve"> The organization defines and documents the AI system's existing and potential future learning and decision-making tasks (e.g., classification, generation, recommendation, prediction), considering fit-for-purpose, scalability and adaptability.</w:t>
            </w:r>
          </w:p>
        </w:tc>
      </w:tr>
      <w:tr w:rsidR="009F7E78" w:rsidRPr="009F7E78" w14:paraId="1122C68F" w14:textId="77777777" w:rsidTr="00F85994">
        <w:trPr>
          <w:trHeight w:val="1160"/>
        </w:trPr>
        <w:tc>
          <w:tcPr>
            <w:tcW w:w="1040" w:type="dxa"/>
            <w:hideMark/>
          </w:tcPr>
          <w:p w14:paraId="7BD6BAA4"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C09B"/>
            <w:hideMark/>
          </w:tcPr>
          <w:p w14:paraId="77C321F5"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MP-2.1.2</w:t>
            </w:r>
          </w:p>
        </w:tc>
        <w:tc>
          <w:tcPr>
            <w:tcW w:w="10420" w:type="dxa"/>
            <w:hideMark/>
          </w:tcPr>
          <w:p w14:paraId="13FAA1ED"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Assumptions and Limitations Documentation:</w:t>
            </w:r>
            <w:r w:rsidRPr="009F7E78">
              <w:rPr>
                <w:rFonts w:ascii="Aptos" w:eastAsia="Aptos" w:hAnsi="Aptos" w:cs="Times New Roman"/>
                <w:color w:val="auto"/>
                <w:kern w:val="2"/>
                <w:sz w:val="20"/>
                <w:szCs w:val="20"/>
                <w14:ligatures w14:val="standardContextual"/>
              </w:rPr>
              <w:t xml:space="preserve"> The organization documents the assumptions and limitations associated with the AI system's existing and potential learning tasks, considering factors such as data availability, model performance, human-AI interaction, irreversibility of actions, and computational resources.</w:t>
            </w:r>
          </w:p>
        </w:tc>
      </w:tr>
      <w:tr w:rsidR="009F7E78" w:rsidRPr="009F7E78" w14:paraId="6EFDA823" w14:textId="77777777" w:rsidTr="00F85994">
        <w:trPr>
          <w:trHeight w:val="870"/>
        </w:trPr>
        <w:tc>
          <w:tcPr>
            <w:tcW w:w="1040" w:type="dxa"/>
            <w:hideMark/>
          </w:tcPr>
          <w:p w14:paraId="7E281E08"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C09B"/>
            <w:hideMark/>
          </w:tcPr>
          <w:p w14:paraId="6415210D"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MP-2.1.3</w:t>
            </w:r>
          </w:p>
        </w:tc>
        <w:tc>
          <w:tcPr>
            <w:tcW w:w="10420" w:type="dxa"/>
            <w:hideMark/>
          </w:tcPr>
          <w:p w14:paraId="19A1CB36"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Learning Tasks Review and Updates:</w:t>
            </w:r>
            <w:r w:rsidRPr="009F7E78">
              <w:rPr>
                <w:rFonts w:ascii="Aptos" w:eastAsia="Aptos" w:hAnsi="Aptos" w:cs="Times New Roman"/>
                <w:color w:val="auto"/>
                <w:kern w:val="2"/>
                <w:sz w:val="20"/>
                <w:szCs w:val="20"/>
                <w14:ligatures w14:val="standardContextual"/>
              </w:rPr>
              <w:t xml:space="preserve"> The organization creates a plan for regular reviews and updates to documented learning tasks, assumptions, and limitations as the AI system evolves or as new requirements arise.</w:t>
            </w:r>
          </w:p>
        </w:tc>
      </w:tr>
      <w:tr w:rsidR="009F7E78" w:rsidRPr="009F7E78" w14:paraId="1F197927" w14:textId="77777777" w:rsidTr="00F85994">
        <w:trPr>
          <w:trHeight w:val="1160"/>
        </w:trPr>
        <w:tc>
          <w:tcPr>
            <w:tcW w:w="1040" w:type="dxa"/>
            <w:hideMark/>
          </w:tcPr>
          <w:p w14:paraId="14283889"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S</w:t>
            </w:r>
          </w:p>
        </w:tc>
        <w:tc>
          <w:tcPr>
            <w:tcW w:w="1180" w:type="dxa"/>
            <w:shd w:val="clear" w:color="auto" w:fill="00C09B"/>
            <w:hideMark/>
          </w:tcPr>
          <w:p w14:paraId="660D8FF2"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MP-2.2</w:t>
            </w:r>
          </w:p>
        </w:tc>
        <w:tc>
          <w:tcPr>
            <w:tcW w:w="10420" w:type="dxa"/>
            <w:hideMark/>
          </w:tcPr>
          <w:p w14:paraId="31582F40"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Defining AI System Utility and Oversight Needs:</w:t>
            </w:r>
            <w:r w:rsidRPr="009F7E78">
              <w:rPr>
                <w:rFonts w:ascii="Aptos" w:eastAsia="Aptos" w:hAnsi="Aptos" w:cs="Times New Roman"/>
                <w:color w:val="auto"/>
                <w:kern w:val="2"/>
                <w:sz w:val="20"/>
                <w:szCs w:val="20"/>
                <w14:ligatures w14:val="standardContextual"/>
              </w:rPr>
              <w:t xml:space="preserve"> Information about the AI system’s knowledge limits and how system output may be utilized and overseen by humans is documented. Documentation provides sufficient information to assist relevant AI actors when making decisions and taking subsequent actions.</w:t>
            </w:r>
          </w:p>
        </w:tc>
      </w:tr>
      <w:tr w:rsidR="009F7E78" w:rsidRPr="009F7E78" w14:paraId="36F3929A" w14:textId="77777777" w:rsidTr="00F85994">
        <w:trPr>
          <w:trHeight w:val="1160"/>
        </w:trPr>
        <w:tc>
          <w:tcPr>
            <w:tcW w:w="1040" w:type="dxa"/>
            <w:hideMark/>
          </w:tcPr>
          <w:p w14:paraId="2F498AE9"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C09B"/>
            <w:hideMark/>
          </w:tcPr>
          <w:p w14:paraId="3362D9E6"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MP-2.2.1</w:t>
            </w:r>
          </w:p>
        </w:tc>
        <w:tc>
          <w:tcPr>
            <w:tcW w:w="10420" w:type="dxa"/>
            <w:hideMark/>
          </w:tcPr>
          <w:p w14:paraId="724E0A71"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AI Usage and Boundary Documentation:</w:t>
            </w:r>
            <w:r w:rsidRPr="009F7E78">
              <w:rPr>
                <w:rFonts w:ascii="Aptos" w:eastAsia="Aptos" w:hAnsi="Aptos" w:cs="Times New Roman"/>
                <w:color w:val="auto"/>
                <w:kern w:val="2"/>
                <w:sz w:val="20"/>
                <w:szCs w:val="20"/>
                <w14:ligatures w14:val="standardContextual"/>
              </w:rPr>
              <w:t xml:space="preserve"> The organization documents the settings, environments, and conditions that are within the AI system’s intended use, defining the boundaries of its applicability while considering knowledge limits and areas where human intervention and irreversibility of decisions is crucial.</w:t>
            </w:r>
          </w:p>
        </w:tc>
      </w:tr>
      <w:tr w:rsidR="009F7E78" w:rsidRPr="009F7E78" w14:paraId="57DA809C" w14:textId="77777777" w:rsidTr="00F85994">
        <w:trPr>
          <w:trHeight w:val="1160"/>
        </w:trPr>
        <w:tc>
          <w:tcPr>
            <w:tcW w:w="1040" w:type="dxa"/>
            <w:hideMark/>
          </w:tcPr>
          <w:p w14:paraId="394BFA08"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C09B"/>
            <w:hideMark/>
          </w:tcPr>
          <w:p w14:paraId="32C3E7D0"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MP-2.2.2</w:t>
            </w:r>
          </w:p>
        </w:tc>
        <w:tc>
          <w:tcPr>
            <w:tcW w:w="10420" w:type="dxa"/>
            <w:hideMark/>
          </w:tcPr>
          <w:p w14:paraId="20A0E76A"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AI Interdependencies and Dependencies:</w:t>
            </w:r>
            <w:r w:rsidRPr="009F7E78">
              <w:rPr>
                <w:rFonts w:ascii="Aptos" w:eastAsia="Aptos" w:hAnsi="Aptos" w:cs="Times New Roman"/>
                <w:color w:val="auto"/>
                <w:kern w:val="2"/>
                <w:sz w:val="20"/>
                <w:szCs w:val="20"/>
                <w14:ligatures w14:val="standardContextual"/>
              </w:rPr>
              <w:t xml:space="preserve"> The organization documents the AI system's interdependencies, including both upstream and downstream data sources, as well as human dependencies, clearly identifying where the system relies on input from other automated systems or human operators.</w:t>
            </w:r>
          </w:p>
        </w:tc>
      </w:tr>
      <w:tr w:rsidR="009F7E78" w:rsidRPr="009F7E78" w14:paraId="5FF8CB96" w14:textId="77777777" w:rsidTr="00F85994">
        <w:trPr>
          <w:trHeight w:val="1160"/>
        </w:trPr>
        <w:tc>
          <w:tcPr>
            <w:tcW w:w="1040" w:type="dxa"/>
            <w:hideMark/>
          </w:tcPr>
          <w:p w14:paraId="7484B5DD"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S</w:t>
            </w:r>
          </w:p>
        </w:tc>
        <w:tc>
          <w:tcPr>
            <w:tcW w:w="1180" w:type="dxa"/>
            <w:shd w:val="clear" w:color="auto" w:fill="00C09B"/>
            <w:hideMark/>
          </w:tcPr>
          <w:p w14:paraId="2241CD48"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MP-2.3</w:t>
            </w:r>
          </w:p>
        </w:tc>
        <w:tc>
          <w:tcPr>
            <w:tcW w:w="10420" w:type="dxa"/>
            <w:hideMark/>
          </w:tcPr>
          <w:p w14:paraId="516D0F82"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Applying Scientific Methodologies:</w:t>
            </w:r>
            <w:r w:rsidRPr="009F7E78">
              <w:rPr>
                <w:rFonts w:ascii="Aptos" w:eastAsia="Aptos" w:hAnsi="Aptos" w:cs="Times New Roman"/>
                <w:color w:val="auto"/>
                <w:kern w:val="2"/>
                <w:sz w:val="20"/>
                <w:szCs w:val="20"/>
                <w14:ligatures w14:val="standardContextual"/>
              </w:rPr>
              <w:t xml:space="preserve"> Scientific integrity and TEVV considerations are identified and documented, including those related to experimental design, data collection and selection (e.g., availability, representativeness, suitability), system trustworthiness, and construct validation.</w:t>
            </w:r>
          </w:p>
        </w:tc>
      </w:tr>
      <w:tr w:rsidR="009F7E78" w:rsidRPr="009F7E78" w14:paraId="6D1605EB" w14:textId="77777777" w:rsidTr="00F85994">
        <w:trPr>
          <w:trHeight w:val="1740"/>
        </w:trPr>
        <w:tc>
          <w:tcPr>
            <w:tcW w:w="1040" w:type="dxa"/>
            <w:hideMark/>
          </w:tcPr>
          <w:p w14:paraId="66A71FC4"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C09B"/>
            <w:hideMark/>
          </w:tcPr>
          <w:p w14:paraId="347AA015"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MP-2.3.1</w:t>
            </w:r>
          </w:p>
        </w:tc>
        <w:tc>
          <w:tcPr>
            <w:tcW w:w="10420" w:type="dxa"/>
            <w:hideMark/>
          </w:tcPr>
          <w:p w14:paraId="5F5C2576"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Development and Operation Documentation:</w:t>
            </w:r>
            <w:r w:rsidRPr="009F7E78">
              <w:rPr>
                <w:rFonts w:ascii="Aptos" w:eastAsia="Aptos" w:hAnsi="Aptos" w:cs="Times New Roman"/>
                <w:color w:val="auto"/>
                <w:kern w:val="2"/>
                <w:sz w:val="20"/>
                <w:szCs w:val="20"/>
                <w14:ligatures w14:val="standardContextual"/>
              </w:rPr>
              <w:t xml:space="preserve"> The organization documents assumptions, limitations, techniques, and metrics used for development or operation of the AI system throughout the lifecycle, aligning with data governance policies. This includes documenting data selection, curation, preparation, and analysis techniques, as well as identifying modeled constructs and methods for inferring reasonable relationships between constructs and dataset attributes.</w:t>
            </w:r>
          </w:p>
        </w:tc>
      </w:tr>
      <w:tr w:rsidR="009F7E78" w:rsidRPr="009F7E78" w14:paraId="368C94F8" w14:textId="77777777" w:rsidTr="00F85994">
        <w:trPr>
          <w:trHeight w:val="870"/>
        </w:trPr>
        <w:tc>
          <w:tcPr>
            <w:tcW w:w="1040" w:type="dxa"/>
            <w:hideMark/>
          </w:tcPr>
          <w:p w14:paraId="00EDF15A"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C09B"/>
            <w:hideMark/>
          </w:tcPr>
          <w:p w14:paraId="4350A93E"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MP-2.3.2</w:t>
            </w:r>
          </w:p>
        </w:tc>
        <w:tc>
          <w:tcPr>
            <w:tcW w:w="10420" w:type="dxa"/>
            <w:hideMark/>
          </w:tcPr>
          <w:p w14:paraId="08797510"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TEVV Protocols and Standards:</w:t>
            </w:r>
            <w:r w:rsidRPr="009F7E78">
              <w:rPr>
                <w:rFonts w:ascii="Aptos" w:eastAsia="Aptos" w:hAnsi="Aptos" w:cs="Times New Roman"/>
                <w:color w:val="auto"/>
                <w:kern w:val="2"/>
                <w:sz w:val="20"/>
                <w:szCs w:val="20"/>
                <w14:ligatures w14:val="standardContextual"/>
              </w:rPr>
              <w:t xml:space="preserve"> The organization establishes and documents testing, evaluation, verification, and validation (TEVV) protocols for AI models, systems, and their subcomponents, covering the AI lifecycle from design to deployment and operation.</w:t>
            </w:r>
          </w:p>
        </w:tc>
      </w:tr>
      <w:tr w:rsidR="009F7E78" w:rsidRPr="009F7E78" w14:paraId="42D64FFD" w14:textId="77777777" w:rsidTr="00F85994">
        <w:trPr>
          <w:trHeight w:val="870"/>
        </w:trPr>
        <w:tc>
          <w:tcPr>
            <w:tcW w:w="1040" w:type="dxa"/>
            <w:hideMark/>
          </w:tcPr>
          <w:p w14:paraId="4A3BC3BD"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C09B"/>
            <w:hideMark/>
          </w:tcPr>
          <w:p w14:paraId="71D0F4BC"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MP-2.3.3</w:t>
            </w:r>
          </w:p>
        </w:tc>
        <w:tc>
          <w:tcPr>
            <w:tcW w:w="10420" w:type="dxa"/>
            <w:hideMark/>
          </w:tcPr>
          <w:p w14:paraId="7849D0A5"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Experimental Design and Statistical Methods:</w:t>
            </w:r>
            <w:r w:rsidRPr="009F7E78">
              <w:rPr>
                <w:rFonts w:ascii="Aptos" w:eastAsia="Aptos" w:hAnsi="Aptos" w:cs="Times New Roman"/>
                <w:color w:val="auto"/>
                <w:kern w:val="2"/>
                <w:sz w:val="20"/>
                <w:szCs w:val="20"/>
                <w14:ligatures w14:val="standardContextual"/>
              </w:rPr>
              <w:t xml:space="preserve"> The organization identifies valid experimental design and statistical techniques for testing complex AI systems, considering human factors, emergent risks, and dynamic contexts of use as relevant to the AI system.</w:t>
            </w:r>
          </w:p>
        </w:tc>
      </w:tr>
      <w:tr w:rsidR="009F7E78" w:rsidRPr="009F7E78" w14:paraId="4089A8E4" w14:textId="77777777" w:rsidTr="00F85994">
        <w:trPr>
          <w:trHeight w:val="870"/>
        </w:trPr>
        <w:tc>
          <w:tcPr>
            <w:tcW w:w="1040" w:type="dxa"/>
            <w:hideMark/>
          </w:tcPr>
          <w:p w14:paraId="32C7751A"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lastRenderedPageBreak/>
              <w:t>CO</w:t>
            </w:r>
          </w:p>
        </w:tc>
        <w:tc>
          <w:tcPr>
            <w:tcW w:w="1180" w:type="dxa"/>
            <w:shd w:val="clear" w:color="auto" w:fill="00C09B"/>
            <w:hideMark/>
          </w:tcPr>
          <w:p w14:paraId="28E43845"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MP-2.3.4</w:t>
            </w:r>
          </w:p>
        </w:tc>
        <w:tc>
          <w:tcPr>
            <w:tcW w:w="10420" w:type="dxa"/>
            <w:hideMark/>
          </w:tcPr>
          <w:p w14:paraId="564F7007"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Validation Metrics and Rationale:</w:t>
            </w:r>
            <w:r w:rsidRPr="009F7E78">
              <w:rPr>
                <w:rFonts w:ascii="Aptos" w:eastAsia="Aptos" w:hAnsi="Aptos" w:cs="Times New Roman"/>
                <w:color w:val="auto"/>
                <w:kern w:val="2"/>
                <w:sz w:val="20"/>
                <w:szCs w:val="20"/>
                <w14:ligatures w14:val="standardContextual"/>
              </w:rPr>
              <w:t xml:space="preserve"> The organization demonstrates that AI system performance and validation metrics are interpretable, unambiguous, and relevant to the context of use, with the rationale for their selection clearly documented.</w:t>
            </w:r>
          </w:p>
        </w:tc>
      </w:tr>
      <w:tr w:rsidR="009F7E78" w:rsidRPr="009F7E78" w14:paraId="3E994ED9" w14:textId="77777777" w:rsidTr="00F85994">
        <w:trPr>
          <w:trHeight w:val="1160"/>
        </w:trPr>
        <w:tc>
          <w:tcPr>
            <w:tcW w:w="1040" w:type="dxa"/>
            <w:hideMark/>
          </w:tcPr>
          <w:p w14:paraId="7C20FF54"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C09B"/>
            <w:hideMark/>
          </w:tcPr>
          <w:p w14:paraId="18F024D1"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MP-2.3.5</w:t>
            </w:r>
          </w:p>
        </w:tc>
        <w:tc>
          <w:tcPr>
            <w:tcW w:w="10420" w:type="dxa"/>
            <w:hideMark/>
          </w:tcPr>
          <w:p w14:paraId="4FC11D99"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Design and Deployment Validation Feedback:</w:t>
            </w:r>
            <w:r w:rsidRPr="009F7E78">
              <w:rPr>
                <w:rFonts w:ascii="Aptos" w:eastAsia="Aptos" w:hAnsi="Aptos" w:cs="Times New Roman"/>
                <w:color w:val="auto"/>
                <w:kern w:val="2"/>
                <w:sz w:val="20"/>
                <w:szCs w:val="20"/>
                <w14:ligatures w14:val="standardContextual"/>
              </w:rPr>
              <w:t xml:space="preserve"> The organization establishes regular communication and feedback mechanisms among relevant AI stakeholders to validate design and deployment assumptions, which informs the development of TEVV approaches for detecting and assessing potential harmful impacts.</w:t>
            </w:r>
          </w:p>
        </w:tc>
      </w:tr>
      <w:tr w:rsidR="009F7E78" w:rsidRPr="009F7E78" w14:paraId="4328C01F" w14:textId="77777777" w:rsidTr="00F85994">
        <w:trPr>
          <w:trHeight w:val="870"/>
        </w:trPr>
        <w:tc>
          <w:tcPr>
            <w:tcW w:w="1040" w:type="dxa"/>
            <w:hideMark/>
          </w:tcPr>
          <w:p w14:paraId="1A72B3A0"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C09B"/>
            <w:hideMark/>
          </w:tcPr>
          <w:p w14:paraId="3D61BDF8"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MP-2.3.6</w:t>
            </w:r>
          </w:p>
        </w:tc>
        <w:tc>
          <w:tcPr>
            <w:tcW w:w="10420" w:type="dxa"/>
            <w:hideMark/>
          </w:tcPr>
          <w:p w14:paraId="69C19973"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Testing Limits and Constraints:</w:t>
            </w:r>
            <w:r w:rsidRPr="009F7E78">
              <w:rPr>
                <w:rFonts w:ascii="Aptos" w:eastAsia="Aptos" w:hAnsi="Aptos" w:cs="Times New Roman"/>
                <w:color w:val="auto"/>
                <w:kern w:val="2"/>
                <w:sz w:val="20"/>
                <w:szCs w:val="20"/>
                <w14:ligatures w14:val="standardContextual"/>
              </w:rPr>
              <w:t xml:space="preserve"> The organization clearly defines and documents the limits of testing, including any claims about the system that are not falsifiable, and specifying what can and cannot be tested to maintain transparency regarding residual risks.</w:t>
            </w:r>
          </w:p>
        </w:tc>
      </w:tr>
      <w:tr w:rsidR="009F7E78" w:rsidRPr="009F7E78" w14:paraId="323E9E98" w14:textId="77777777" w:rsidTr="00F85994">
        <w:trPr>
          <w:trHeight w:val="580"/>
        </w:trPr>
        <w:tc>
          <w:tcPr>
            <w:tcW w:w="1040" w:type="dxa"/>
            <w:hideMark/>
          </w:tcPr>
          <w:p w14:paraId="0D5F3BF5"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w:t>
            </w:r>
          </w:p>
        </w:tc>
        <w:tc>
          <w:tcPr>
            <w:tcW w:w="1180" w:type="dxa"/>
            <w:shd w:val="clear" w:color="auto" w:fill="00C09B"/>
            <w:hideMark/>
          </w:tcPr>
          <w:p w14:paraId="198BDF8D"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MP-3</w:t>
            </w:r>
          </w:p>
        </w:tc>
        <w:tc>
          <w:tcPr>
            <w:tcW w:w="10420" w:type="dxa"/>
            <w:hideMark/>
          </w:tcPr>
          <w:p w14:paraId="260BEAE2"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Understanding Costs and Benefits:</w:t>
            </w:r>
            <w:r w:rsidRPr="009F7E78">
              <w:rPr>
                <w:rFonts w:ascii="Aptos" w:eastAsia="Aptos" w:hAnsi="Aptos" w:cs="Times New Roman"/>
                <w:color w:val="auto"/>
                <w:kern w:val="2"/>
                <w:sz w:val="20"/>
                <w:szCs w:val="20"/>
                <w14:ligatures w14:val="standardContextual"/>
              </w:rPr>
              <w:t xml:space="preserve"> AI capabilities, targeted usage, goals, and expected benefits and costs compared with appropriate benchmarks are understood.</w:t>
            </w:r>
          </w:p>
        </w:tc>
      </w:tr>
      <w:tr w:rsidR="009F7E78" w:rsidRPr="009F7E78" w14:paraId="3DA701C5" w14:textId="77777777" w:rsidTr="00F85994">
        <w:trPr>
          <w:trHeight w:val="580"/>
        </w:trPr>
        <w:tc>
          <w:tcPr>
            <w:tcW w:w="1040" w:type="dxa"/>
            <w:hideMark/>
          </w:tcPr>
          <w:p w14:paraId="2756F36E"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S</w:t>
            </w:r>
          </w:p>
        </w:tc>
        <w:tc>
          <w:tcPr>
            <w:tcW w:w="1180" w:type="dxa"/>
            <w:shd w:val="clear" w:color="auto" w:fill="00C09B"/>
            <w:hideMark/>
          </w:tcPr>
          <w:p w14:paraId="4DC57E01"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MP-3.1</w:t>
            </w:r>
          </w:p>
        </w:tc>
        <w:tc>
          <w:tcPr>
            <w:tcW w:w="10420" w:type="dxa"/>
            <w:hideMark/>
          </w:tcPr>
          <w:p w14:paraId="2C7FCB4D"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Understanding Benefits:</w:t>
            </w:r>
            <w:r w:rsidRPr="009F7E78">
              <w:rPr>
                <w:rFonts w:ascii="Aptos" w:eastAsia="Aptos" w:hAnsi="Aptos" w:cs="Times New Roman"/>
                <w:color w:val="auto"/>
                <w:kern w:val="2"/>
                <w:sz w:val="20"/>
                <w:szCs w:val="20"/>
                <w14:ligatures w14:val="standardContextual"/>
              </w:rPr>
              <w:t xml:space="preserve"> Potential benefits of intended AI system functionality and performance are examined and documented.</w:t>
            </w:r>
          </w:p>
        </w:tc>
      </w:tr>
      <w:tr w:rsidR="009F7E78" w:rsidRPr="009F7E78" w14:paraId="0BB668C9" w14:textId="77777777" w:rsidTr="00F85994">
        <w:trPr>
          <w:trHeight w:val="1160"/>
        </w:trPr>
        <w:tc>
          <w:tcPr>
            <w:tcW w:w="1040" w:type="dxa"/>
            <w:hideMark/>
          </w:tcPr>
          <w:p w14:paraId="4AFBB044"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C09B"/>
            <w:hideMark/>
          </w:tcPr>
          <w:p w14:paraId="34A60868"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MP-3.1.1</w:t>
            </w:r>
          </w:p>
        </w:tc>
        <w:tc>
          <w:tcPr>
            <w:tcW w:w="10420" w:type="dxa"/>
            <w:hideMark/>
          </w:tcPr>
          <w:p w14:paraId="609D403E"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AI Design and Deployment Alignment:</w:t>
            </w:r>
            <w:r w:rsidRPr="009F7E78">
              <w:rPr>
                <w:rFonts w:ascii="Aptos" w:eastAsia="Aptos" w:hAnsi="Aptos" w:cs="Times New Roman"/>
                <w:color w:val="auto"/>
                <w:kern w:val="2"/>
                <w:sz w:val="20"/>
                <w:szCs w:val="20"/>
                <w14:ligatures w14:val="standardContextual"/>
              </w:rPr>
              <w:t xml:space="preserve"> The organization considers design strategies, testing strategies, implementation strategies, and deployment of AI systems in the context of potential impacts, organizational AI system goals, and alignment with organizational objectives, values, and AI  Trustworthy Principles.</w:t>
            </w:r>
          </w:p>
        </w:tc>
      </w:tr>
      <w:tr w:rsidR="009F7E78" w:rsidRPr="009F7E78" w14:paraId="0BCF4C66" w14:textId="77777777" w:rsidTr="00F85994">
        <w:trPr>
          <w:trHeight w:val="1160"/>
        </w:trPr>
        <w:tc>
          <w:tcPr>
            <w:tcW w:w="1040" w:type="dxa"/>
            <w:hideMark/>
          </w:tcPr>
          <w:p w14:paraId="6FDEADD3"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C09B"/>
            <w:hideMark/>
          </w:tcPr>
          <w:p w14:paraId="4CBF6A71"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MP-3.1.2</w:t>
            </w:r>
          </w:p>
        </w:tc>
        <w:tc>
          <w:tcPr>
            <w:tcW w:w="10420" w:type="dxa"/>
            <w:hideMark/>
          </w:tcPr>
          <w:p w14:paraId="66635561"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Impact Feedback from Multidisciplinary Teams:</w:t>
            </w:r>
            <w:r w:rsidRPr="009F7E78">
              <w:rPr>
                <w:rFonts w:ascii="Aptos" w:eastAsia="Aptos" w:hAnsi="Aptos" w:cs="Times New Roman"/>
                <w:color w:val="auto"/>
                <w:kern w:val="2"/>
                <w:sz w:val="20"/>
                <w:szCs w:val="20"/>
                <w14:ligatures w14:val="standardContextual"/>
              </w:rPr>
              <w:t xml:space="preserve"> The organization solicits feedback from a multidisciplinary design and development team, augmented by additional stakeholders as needed, to identify and document the potential positive impacts of the AI system within its intended context of use.</w:t>
            </w:r>
          </w:p>
        </w:tc>
      </w:tr>
      <w:tr w:rsidR="009F7E78" w:rsidRPr="009F7E78" w14:paraId="752C50FB" w14:textId="77777777" w:rsidTr="00F85994">
        <w:trPr>
          <w:trHeight w:val="1160"/>
        </w:trPr>
        <w:tc>
          <w:tcPr>
            <w:tcW w:w="1040" w:type="dxa"/>
            <w:hideMark/>
          </w:tcPr>
          <w:p w14:paraId="2AB29695"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C09B"/>
            <w:hideMark/>
          </w:tcPr>
          <w:p w14:paraId="2047AE71"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MP-3.1.3</w:t>
            </w:r>
          </w:p>
        </w:tc>
        <w:tc>
          <w:tcPr>
            <w:tcW w:w="10420" w:type="dxa"/>
            <w:hideMark/>
          </w:tcPr>
          <w:p w14:paraId="78FBF67F"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User Interface and Interpretability Design:</w:t>
            </w:r>
            <w:r w:rsidRPr="009F7E78">
              <w:rPr>
                <w:rFonts w:ascii="Aptos" w:eastAsia="Aptos" w:hAnsi="Aptos" w:cs="Times New Roman"/>
                <w:color w:val="auto"/>
                <w:kern w:val="2"/>
                <w:sz w:val="20"/>
                <w:szCs w:val="20"/>
                <w14:ligatures w14:val="standardContextual"/>
              </w:rPr>
              <w:t xml:space="preserve"> The organization designs and documents the AI system's user interface, workflows, and interpretability criteria in collaboration with end users, incorporating their feedback to enhance system benefits and understanding while recognizing the role of human interaction in interpreting system outputs.</w:t>
            </w:r>
          </w:p>
        </w:tc>
      </w:tr>
      <w:tr w:rsidR="009F7E78" w:rsidRPr="009F7E78" w14:paraId="58F022DB" w14:textId="77777777" w:rsidTr="00F85994">
        <w:trPr>
          <w:trHeight w:val="870"/>
        </w:trPr>
        <w:tc>
          <w:tcPr>
            <w:tcW w:w="1040" w:type="dxa"/>
            <w:hideMark/>
          </w:tcPr>
          <w:p w14:paraId="402BAE49"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S</w:t>
            </w:r>
          </w:p>
        </w:tc>
        <w:tc>
          <w:tcPr>
            <w:tcW w:w="1180" w:type="dxa"/>
            <w:shd w:val="clear" w:color="auto" w:fill="00C09B"/>
            <w:hideMark/>
          </w:tcPr>
          <w:p w14:paraId="66C9FF28"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MP-3.2</w:t>
            </w:r>
          </w:p>
        </w:tc>
        <w:tc>
          <w:tcPr>
            <w:tcW w:w="10420" w:type="dxa"/>
            <w:hideMark/>
          </w:tcPr>
          <w:p w14:paraId="6E4E9D29"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Understanding Costs and Benefits:</w:t>
            </w:r>
            <w:r w:rsidRPr="009F7E78">
              <w:rPr>
                <w:rFonts w:ascii="Aptos" w:eastAsia="Aptos" w:hAnsi="Aptos" w:cs="Times New Roman"/>
                <w:color w:val="auto"/>
                <w:kern w:val="2"/>
                <w:sz w:val="20"/>
                <w:szCs w:val="20"/>
                <w14:ligatures w14:val="standardContextual"/>
              </w:rPr>
              <w:t xml:space="preserve"> Potential costs, including non-monetary costs, which result from expected or realized AI errors or system functionality and trustworthiness – as connected to organizational risk tolerance – are examined and documented.</w:t>
            </w:r>
          </w:p>
        </w:tc>
      </w:tr>
      <w:tr w:rsidR="009F7E78" w:rsidRPr="009F7E78" w14:paraId="27A41EF7" w14:textId="77777777" w:rsidTr="00F85994">
        <w:trPr>
          <w:trHeight w:val="870"/>
        </w:trPr>
        <w:tc>
          <w:tcPr>
            <w:tcW w:w="1040" w:type="dxa"/>
            <w:hideMark/>
          </w:tcPr>
          <w:p w14:paraId="0F761A3B"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C09B"/>
            <w:hideMark/>
          </w:tcPr>
          <w:p w14:paraId="40D907C6"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MP-3.2.1</w:t>
            </w:r>
          </w:p>
        </w:tc>
        <w:tc>
          <w:tcPr>
            <w:tcW w:w="10420" w:type="dxa"/>
            <w:hideMark/>
          </w:tcPr>
          <w:p w14:paraId="610C1590"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AI System Justification and Cost-Benefit:</w:t>
            </w:r>
            <w:r w:rsidRPr="009F7E78">
              <w:rPr>
                <w:rFonts w:ascii="Aptos" w:eastAsia="Aptos" w:hAnsi="Aptos" w:cs="Times New Roman"/>
                <w:color w:val="auto"/>
                <w:kern w:val="2"/>
                <w:sz w:val="20"/>
                <w:szCs w:val="20"/>
                <w14:ligatures w14:val="standardContextual"/>
              </w:rPr>
              <w:t xml:space="preserve"> The organization documents the rationale for using an AI system, including a comparative analysis of the benefits, risks, and costs associated with the AI system versus non-AI alternatives.</w:t>
            </w:r>
          </w:p>
        </w:tc>
      </w:tr>
      <w:tr w:rsidR="009F7E78" w:rsidRPr="009F7E78" w14:paraId="164EE166" w14:textId="77777777" w:rsidTr="00F85994">
        <w:trPr>
          <w:trHeight w:val="870"/>
        </w:trPr>
        <w:tc>
          <w:tcPr>
            <w:tcW w:w="1040" w:type="dxa"/>
            <w:hideMark/>
          </w:tcPr>
          <w:p w14:paraId="5E44A18D"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C09B"/>
            <w:hideMark/>
          </w:tcPr>
          <w:p w14:paraId="09F6846E"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MP-3.2.2</w:t>
            </w:r>
          </w:p>
        </w:tc>
        <w:tc>
          <w:tcPr>
            <w:tcW w:w="10420" w:type="dxa"/>
            <w:hideMark/>
          </w:tcPr>
          <w:p w14:paraId="51431A25"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Cost and Impact Assessment:</w:t>
            </w:r>
            <w:r w:rsidRPr="009F7E78">
              <w:rPr>
                <w:rFonts w:ascii="Aptos" w:eastAsia="Aptos" w:hAnsi="Aptos" w:cs="Times New Roman"/>
                <w:color w:val="auto"/>
                <w:kern w:val="2"/>
                <w:sz w:val="20"/>
                <w:szCs w:val="20"/>
                <w14:ligatures w14:val="standardContextual"/>
              </w:rPr>
              <w:t xml:space="preserve"> The organization considers and documents potential monetary and non-monetary costs and potential impacts, including system performance, functionality, and trustworthiness, in alignment with its risk tolerance.</w:t>
            </w:r>
          </w:p>
        </w:tc>
      </w:tr>
      <w:tr w:rsidR="009F7E78" w:rsidRPr="009F7E78" w14:paraId="5B219B4B" w14:textId="77777777" w:rsidTr="00F85994">
        <w:trPr>
          <w:trHeight w:val="870"/>
        </w:trPr>
        <w:tc>
          <w:tcPr>
            <w:tcW w:w="1040" w:type="dxa"/>
            <w:hideMark/>
          </w:tcPr>
          <w:p w14:paraId="6B29C55E"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S</w:t>
            </w:r>
          </w:p>
        </w:tc>
        <w:tc>
          <w:tcPr>
            <w:tcW w:w="1180" w:type="dxa"/>
            <w:shd w:val="clear" w:color="auto" w:fill="00C09B"/>
            <w:hideMark/>
          </w:tcPr>
          <w:p w14:paraId="3C8593A5"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MP-3.3</w:t>
            </w:r>
          </w:p>
        </w:tc>
        <w:tc>
          <w:tcPr>
            <w:tcW w:w="10420" w:type="dxa"/>
            <w:hideMark/>
          </w:tcPr>
          <w:p w14:paraId="6B7DFB61"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Documenting the Application Scope of the AI System:</w:t>
            </w:r>
            <w:r w:rsidRPr="009F7E78">
              <w:rPr>
                <w:rFonts w:ascii="Aptos" w:eastAsia="Aptos" w:hAnsi="Aptos" w:cs="Times New Roman"/>
                <w:color w:val="auto"/>
                <w:kern w:val="2"/>
                <w:sz w:val="20"/>
                <w:szCs w:val="20"/>
                <w14:ligatures w14:val="standardContextual"/>
              </w:rPr>
              <w:t xml:space="preserve"> Targeted application scope is specified and documented based on the system’s capability, established context, and AI system categorization.</w:t>
            </w:r>
          </w:p>
        </w:tc>
      </w:tr>
      <w:tr w:rsidR="009F7E78" w:rsidRPr="009F7E78" w14:paraId="6AE2B7D1" w14:textId="77777777" w:rsidTr="00F85994">
        <w:trPr>
          <w:trHeight w:val="1450"/>
        </w:trPr>
        <w:tc>
          <w:tcPr>
            <w:tcW w:w="1040" w:type="dxa"/>
            <w:hideMark/>
          </w:tcPr>
          <w:p w14:paraId="334F6B2E"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lastRenderedPageBreak/>
              <w:t>CO</w:t>
            </w:r>
          </w:p>
        </w:tc>
        <w:tc>
          <w:tcPr>
            <w:tcW w:w="1180" w:type="dxa"/>
            <w:shd w:val="clear" w:color="auto" w:fill="00C09B"/>
            <w:hideMark/>
          </w:tcPr>
          <w:p w14:paraId="08CFA2E0"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MP-3.3.1</w:t>
            </w:r>
          </w:p>
        </w:tc>
        <w:tc>
          <w:tcPr>
            <w:tcW w:w="10420" w:type="dxa"/>
            <w:hideMark/>
          </w:tcPr>
          <w:p w14:paraId="20A812B7"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AI Application Scope Definition:</w:t>
            </w:r>
            <w:r w:rsidRPr="009F7E78">
              <w:rPr>
                <w:rFonts w:ascii="Aptos" w:eastAsia="Aptos" w:hAnsi="Aptos" w:cs="Times New Roman"/>
                <w:color w:val="auto"/>
                <w:kern w:val="2"/>
                <w:sz w:val="20"/>
                <w:szCs w:val="20"/>
                <w14:ligatures w14:val="standardContextual"/>
              </w:rPr>
              <w:t xml:space="preserve"> The organization defines, specifies, and assesses the AI system's targeted application scope, considering its capabilities, limitations, context, and categorization. The organization engages relevant stakeholders (e.g., domain experts, end users) to validate the targeted application scope, aligning it with the AI system's intended purpose and organizational goals and AI  Trustworthy Principles.</w:t>
            </w:r>
          </w:p>
        </w:tc>
      </w:tr>
      <w:tr w:rsidR="009F7E78" w:rsidRPr="009F7E78" w14:paraId="7F64AFDE" w14:textId="77777777" w:rsidTr="00F85994">
        <w:trPr>
          <w:trHeight w:val="870"/>
        </w:trPr>
        <w:tc>
          <w:tcPr>
            <w:tcW w:w="1040" w:type="dxa"/>
            <w:hideMark/>
          </w:tcPr>
          <w:p w14:paraId="16B2B5C1"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S</w:t>
            </w:r>
          </w:p>
        </w:tc>
        <w:tc>
          <w:tcPr>
            <w:tcW w:w="1180" w:type="dxa"/>
            <w:shd w:val="clear" w:color="auto" w:fill="00C09B"/>
            <w:hideMark/>
          </w:tcPr>
          <w:p w14:paraId="60F36515"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MP-3.4</w:t>
            </w:r>
          </w:p>
        </w:tc>
        <w:tc>
          <w:tcPr>
            <w:tcW w:w="10420" w:type="dxa"/>
            <w:hideMark/>
          </w:tcPr>
          <w:p w14:paraId="7479CAC4"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Defining Operator Proficiency:</w:t>
            </w:r>
            <w:r w:rsidRPr="009F7E78">
              <w:rPr>
                <w:rFonts w:ascii="Aptos" w:eastAsia="Aptos" w:hAnsi="Aptos" w:cs="Times New Roman"/>
                <w:color w:val="auto"/>
                <w:kern w:val="2"/>
                <w:sz w:val="20"/>
                <w:szCs w:val="20"/>
                <w14:ligatures w14:val="standardContextual"/>
              </w:rPr>
              <w:t xml:space="preserve"> Processes for operator and practitioner proficiency with AI system performance and trustworthiness – and relevant technical standards and certifications – are defined, assessed, and documented.</w:t>
            </w:r>
          </w:p>
        </w:tc>
      </w:tr>
      <w:tr w:rsidR="009F7E78" w:rsidRPr="009F7E78" w14:paraId="2EF4EA5B" w14:textId="77777777" w:rsidTr="00F85994">
        <w:trPr>
          <w:trHeight w:val="1160"/>
        </w:trPr>
        <w:tc>
          <w:tcPr>
            <w:tcW w:w="1040" w:type="dxa"/>
            <w:hideMark/>
          </w:tcPr>
          <w:p w14:paraId="54BBE2CA"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C09B"/>
            <w:hideMark/>
          </w:tcPr>
          <w:p w14:paraId="46F8450F"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MP-3.4.1</w:t>
            </w:r>
          </w:p>
        </w:tc>
        <w:tc>
          <w:tcPr>
            <w:tcW w:w="10420" w:type="dxa"/>
            <w:hideMark/>
          </w:tcPr>
          <w:p w14:paraId="3D7E3CF2"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Operator and Practitioner Proficiency Levels:</w:t>
            </w:r>
            <w:r w:rsidRPr="009F7E78">
              <w:rPr>
                <w:rFonts w:ascii="Aptos" w:eastAsia="Aptos" w:hAnsi="Aptos" w:cs="Times New Roman"/>
                <w:color w:val="auto"/>
                <w:kern w:val="2"/>
                <w:sz w:val="20"/>
                <w:szCs w:val="20"/>
                <w14:ligatures w14:val="standardContextual"/>
              </w:rPr>
              <w:t xml:space="preserve"> The organization defines and documents required proficiency levels for operators and practitioners interacting with the AI system, considering performance and trustworthiness characteristics, as well as relevant technical standards and certifications.</w:t>
            </w:r>
          </w:p>
        </w:tc>
      </w:tr>
      <w:tr w:rsidR="009F7E78" w:rsidRPr="009F7E78" w14:paraId="65FA8737" w14:textId="77777777" w:rsidTr="00F85994">
        <w:trPr>
          <w:trHeight w:val="2030"/>
        </w:trPr>
        <w:tc>
          <w:tcPr>
            <w:tcW w:w="1040" w:type="dxa"/>
            <w:hideMark/>
          </w:tcPr>
          <w:p w14:paraId="04CF61C1"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C09B"/>
            <w:hideMark/>
          </w:tcPr>
          <w:p w14:paraId="22E5E189"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MP-3.4.2</w:t>
            </w:r>
          </w:p>
        </w:tc>
        <w:tc>
          <w:tcPr>
            <w:tcW w:w="10420" w:type="dxa"/>
            <w:hideMark/>
          </w:tcPr>
          <w:p w14:paraId="680A15FD"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Proficiency Assessment and Maintenance Plan:</w:t>
            </w:r>
            <w:r w:rsidRPr="009F7E78">
              <w:rPr>
                <w:rFonts w:ascii="Aptos" w:eastAsia="Aptos" w:hAnsi="Aptos" w:cs="Times New Roman"/>
                <w:color w:val="auto"/>
                <w:kern w:val="2"/>
                <w:sz w:val="20"/>
                <w:szCs w:val="20"/>
                <w14:ligatures w14:val="standardContextual"/>
              </w:rPr>
              <w:t xml:space="preserve"> The organization maintains the proficiency of operators and practitioners concerning the AI system's operation, risks, limitations, and knowledge boundaries. This is achieved through a structured proficiency assessment and maintenance plan encompassing regular training, certification, and evaluation programs. The plan incorporates continuous monitoring and performance metrics to identify areas for improvement and adapt training as needed, ensuring sustained capability for safe and effective AI system management within its sector and context of use.</w:t>
            </w:r>
          </w:p>
        </w:tc>
      </w:tr>
      <w:tr w:rsidR="009F7E78" w:rsidRPr="009F7E78" w14:paraId="014CCD31" w14:textId="77777777" w:rsidTr="00F85994">
        <w:trPr>
          <w:trHeight w:val="1160"/>
        </w:trPr>
        <w:tc>
          <w:tcPr>
            <w:tcW w:w="1040" w:type="dxa"/>
            <w:hideMark/>
          </w:tcPr>
          <w:p w14:paraId="57222FEE"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C09B"/>
            <w:hideMark/>
          </w:tcPr>
          <w:p w14:paraId="5595AD54"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MP-3.4.3</w:t>
            </w:r>
          </w:p>
        </w:tc>
        <w:tc>
          <w:tcPr>
            <w:tcW w:w="10420" w:type="dxa"/>
            <w:hideMark/>
          </w:tcPr>
          <w:p w14:paraId="6A27509F"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Operator and End-User Testing and Feedback:</w:t>
            </w:r>
            <w:r w:rsidRPr="009F7E78">
              <w:rPr>
                <w:rFonts w:ascii="Aptos" w:eastAsia="Aptos" w:hAnsi="Aptos" w:cs="Times New Roman"/>
                <w:color w:val="auto"/>
                <w:kern w:val="2"/>
                <w:sz w:val="20"/>
                <w:szCs w:val="20"/>
                <w14:ligatures w14:val="standardContextual"/>
              </w:rPr>
              <w:t xml:space="preserve"> The organization involves operators, practitioners, and end users in AI system prototyping and testing activities to gather feedback on performance and trustworthiness, validating human-AI configurations and identifying requisite proficiency levels and training needs.</w:t>
            </w:r>
          </w:p>
        </w:tc>
      </w:tr>
      <w:tr w:rsidR="009F7E78" w:rsidRPr="009F7E78" w14:paraId="64F09821" w14:textId="77777777" w:rsidTr="00F85994">
        <w:trPr>
          <w:trHeight w:val="870"/>
        </w:trPr>
        <w:tc>
          <w:tcPr>
            <w:tcW w:w="1040" w:type="dxa"/>
            <w:hideMark/>
          </w:tcPr>
          <w:p w14:paraId="7A6873B7"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S</w:t>
            </w:r>
          </w:p>
        </w:tc>
        <w:tc>
          <w:tcPr>
            <w:tcW w:w="1180" w:type="dxa"/>
            <w:shd w:val="clear" w:color="auto" w:fill="00C09B"/>
            <w:hideMark/>
          </w:tcPr>
          <w:p w14:paraId="142C260D"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MP-3.5</w:t>
            </w:r>
          </w:p>
        </w:tc>
        <w:tc>
          <w:tcPr>
            <w:tcW w:w="10420" w:type="dxa"/>
            <w:hideMark/>
          </w:tcPr>
          <w:p w14:paraId="7CBC7565"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Establishing Human Oversight Processes:</w:t>
            </w:r>
            <w:r w:rsidRPr="009F7E78">
              <w:rPr>
                <w:rFonts w:ascii="Aptos" w:eastAsia="Aptos" w:hAnsi="Aptos" w:cs="Times New Roman"/>
                <w:color w:val="auto"/>
                <w:kern w:val="2"/>
                <w:sz w:val="20"/>
                <w:szCs w:val="20"/>
                <w14:ligatures w14:val="standardContextual"/>
              </w:rPr>
              <w:t xml:space="preserve"> Processes for human oversight are defined, assessed, and documented in accordance with organizational policies from the GOVERN function.</w:t>
            </w:r>
          </w:p>
        </w:tc>
      </w:tr>
      <w:tr w:rsidR="009F7E78" w:rsidRPr="009F7E78" w14:paraId="37D58ADF" w14:textId="77777777" w:rsidTr="00F85994">
        <w:trPr>
          <w:trHeight w:val="870"/>
        </w:trPr>
        <w:tc>
          <w:tcPr>
            <w:tcW w:w="1040" w:type="dxa"/>
            <w:hideMark/>
          </w:tcPr>
          <w:p w14:paraId="7D090E50"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C09B"/>
            <w:hideMark/>
          </w:tcPr>
          <w:p w14:paraId="5F771B95"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MP-3.5.1</w:t>
            </w:r>
          </w:p>
        </w:tc>
        <w:tc>
          <w:tcPr>
            <w:tcW w:w="10420" w:type="dxa"/>
            <w:hideMark/>
          </w:tcPr>
          <w:p w14:paraId="7769FB2B"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Human Oversight Roles and Responsibilities:</w:t>
            </w:r>
            <w:r w:rsidRPr="009F7E78">
              <w:rPr>
                <w:rFonts w:ascii="Aptos" w:eastAsia="Aptos" w:hAnsi="Aptos" w:cs="Times New Roman"/>
                <w:color w:val="auto"/>
                <w:kern w:val="2"/>
                <w:sz w:val="20"/>
                <w:szCs w:val="20"/>
                <w14:ligatures w14:val="standardContextual"/>
              </w:rPr>
              <w:t xml:space="preserve"> The organization defines and documents roles and responsibilities for human oversight of the AI system, considering its capabilities, context of use, potential risks, and knowledge limits.</w:t>
            </w:r>
          </w:p>
        </w:tc>
      </w:tr>
      <w:tr w:rsidR="009F7E78" w:rsidRPr="009F7E78" w14:paraId="65D3A13F" w14:textId="77777777" w:rsidTr="00F85994">
        <w:trPr>
          <w:trHeight w:val="870"/>
        </w:trPr>
        <w:tc>
          <w:tcPr>
            <w:tcW w:w="1040" w:type="dxa"/>
            <w:hideMark/>
          </w:tcPr>
          <w:p w14:paraId="163D565F"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C09B"/>
            <w:hideMark/>
          </w:tcPr>
          <w:p w14:paraId="4A272752"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MP-3.5.2</w:t>
            </w:r>
          </w:p>
        </w:tc>
        <w:tc>
          <w:tcPr>
            <w:tcW w:w="10420" w:type="dxa"/>
            <w:hideMark/>
          </w:tcPr>
          <w:p w14:paraId="5B1C4017"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Oversight Training and Resources:</w:t>
            </w:r>
            <w:r w:rsidRPr="009F7E78">
              <w:rPr>
                <w:rFonts w:ascii="Aptos" w:eastAsia="Aptos" w:hAnsi="Aptos" w:cs="Times New Roman"/>
                <w:color w:val="auto"/>
                <w:kern w:val="2"/>
                <w:sz w:val="20"/>
                <w:szCs w:val="20"/>
                <w14:ligatures w14:val="standardContextual"/>
              </w:rPr>
              <w:t xml:space="preserve"> The organization provides training and resources to individuals responsible for human oversight of the AI system, equipping them with the necessary skills, knowledge, and authority to perform their roles effectively.</w:t>
            </w:r>
          </w:p>
        </w:tc>
      </w:tr>
      <w:tr w:rsidR="009F7E78" w:rsidRPr="009F7E78" w14:paraId="753E5F35" w14:textId="77777777" w:rsidTr="00F85994">
        <w:trPr>
          <w:trHeight w:val="1160"/>
        </w:trPr>
        <w:tc>
          <w:tcPr>
            <w:tcW w:w="1040" w:type="dxa"/>
            <w:hideMark/>
          </w:tcPr>
          <w:p w14:paraId="02DDE780"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C09B"/>
            <w:hideMark/>
          </w:tcPr>
          <w:p w14:paraId="1606C569"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MP-3.5.3</w:t>
            </w:r>
          </w:p>
        </w:tc>
        <w:tc>
          <w:tcPr>
            <w:tcW w:w="10420" w:type="dxa"/>
            <w:hideMark/>
          </w:tcPr>
          <w:p w14:paraId="1CD0118F"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Criteria and Thresholds for Intervention:</w:t>
            </w:r>
            <w:r w:rsidRPr="009F7E78">
              <w:rPr>
                <w:rFonts w:ascii="Aptos" w:eastAsia="Aptos" w:hAnsi="Aptos" w:cs="Times New Roman"/>
                <w:color w:val="auto"/>
                <w:kern w:val="2"/>
                <w:sz w:val="20"/>
                <w:szCs w:val="20"/>
                <w14:ligatures w14:val="standardContextual"/>
              </w:rPr>
              <w:t xml:space="preserve"> The organization documents and communicates criteria and thresholds for human intervention in AI system operation, procedures for escalating issues, and guidelines for making oversight decisions. Wherever possible, these criteria are embedded within the AI systems to facilitate timely human intervention.</w:t>
            </w:r>
          </w:p>
        </w:tc>
      </w:tr>
      <w:tr w:rsidR="009F7E78" w:rsidRPr="009F7E78" w14:paraId="4F2C56FE" w14:textId="77777777" w:rsidTr="00F85994">
        <w:trPr>
          <w:trHeight w:val="2030"/>
        </w:trPr>
        <w:tc>
          <w:tcPr>
            <w:tcW w:w="1040" w:type="dxa"/>
            <w:hideMark/>
          </w:tcPr>
          <w:p w14:paraId="74D7604C"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lastRenderedPageBreak/>
              <w:t>CO</w:t>
            </w:r>
          </w:p>
        </w:tc>
        <w:tc>
          <w:tcPr>
            <w:tcW w:w="1180" w:type="dxa"/>
            <w:shd w:val="clear" w:color="auto" w:fill="00C09B"/>
            <w:hideMark/>
          </w:tcPr>
          <w:p w14:paraId="0596411E"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MP-3.5.4</w:t>
            </w:r>
          </w:p>
        </w:tc>
        <w:tc>
          <w:tcPr>
            <w:tcW w:w="10420" w:type="dxa"/>
            <w:hideMark/>
          </w:tcPr>
          <w:p w14:paraId="704CD8F6"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Oversight Effectiveness Evaluation and Improvement:</w:t>
            </w:r>
            <w:r w:rsidRPr="009F7E78">
              <w:rPr>
                <w:rFonts w:ascii="Aptos" w:eastAsia="Aptos" w:hAnsi="Aptos" w:cs="Times New Roman"/>
                <w:color w:val="auto"/>
                <w:kern w:val="2"/>
                <w:sz w:val="20"/>
                <w:szCs w:val="20"/>
                <w14:ligatures w14:val="standardContextual"/>
              </w:rPr>
              <w:t xml:space="preserve"> The organization documents and reviews processes to regularly evaluate the effectiveness of human oversight mechanisms through qualitative and quantitative methods, such as audits, performance evaluations, and stakeholder feedback, while implementing a plan to assess human oversight and update documentation based on changes in the AI system's capabilities, context of use, or identified risks. These evaluations inform continuous improvement efforts and maintain alignment with governance policies.</w:t>
            </w:r>
          </w:p>
        </w:tc>
      </w:tr>
      <w:tr w:rsidR="009F7E78" w:rsidRPr="009F7E78" w14:paraId="49C2450D" w14:textId="77777777" w:rsidTr="00F85994">
        <w:trPr>
          <w:trHeight w:val="580"/>
        </w:trPr>
        <w:tc>
          <w:tcPr>
            <w:tcW w:w="1040" w:type="dxa"/>
            <w:hideMark/>
          </w:tcPr>
          <w:p w14:paraId="73123167"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w:t>
            </w:r>
          </w:p>
        </w:tc>
        <w:tc>
          <w:tcPr>
            <w:tcW w:w="1180" w:type="dxa"/>
            <w:shd w:val="clear" w:color="auto" w:fill="00C09B"/>
            <w:hideMark/>
          </w:tcPr>
          <w:p w14:paraId="1BFE222C"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MP-4</w:t>
            </w:r>
          </w:p>
        </w:tc>
        <w:tc>
          <w:tcPr>
            <w:tcW w:w="10420" w:type="dxa"/>
            <w:hideMark/>
          </w:tcPr>
          <w:p w14:paraId="7F71BF3B"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Understanding AI System Components:</w:t>
            </w:r>
            <w:r w:rsidRPr="009F7E78">
              <w:rPr>
                <w:rFonts w:ascii="Aptos" w:eastAsia="Aptos" w:hAnsi="Aptos" w:cs="Times New Roman"/>
                <w:color w:val="auto"/>
                <w:kern w:val="2"/>
                <w:sz w:val="20"/>
                <w:szCs w:val="20"/>
                <w14:ligatures w14:val="standardContextual"/>
              </w:rPr>
              <w:t xml:space="preserve"> Risks and benefits are mapped for all components of the AI system including third-party software and data.</w:t>
            </w:r>
          </w:p>
        </w:tc>
      </w:tr>
      <w:tr w:rsidR="009F7E78" w:rsidRPr="009F7E78" w14:paraId="0B4B538C" w14:textId="77777777" w:rsidTr="00F85994">
        <w:trPr>
          <w:trHeight w:val="1160"/>
        </w:trPr>
        <w:tc>
          <w:tcPr>
            <w:tcW w:w="1040" w:type="dxa"/>
            <w:hideMark/>
          </w:tcPr>
          <w:p w14:paraId="3CDFDF10"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S</w:t>
            </w:r>
          </w:p>
        </w:tc>
        <w:tc>
          <w:tcPr>
            <w:tcW w:w="1180" w:type="dxa"/>
            <w:shd w:val="clear" w:color="auto" w:fill="00C09B"/>
            <w:hideMark/>
          </w:tcPr>
          <w:p w14:paraId="737D2C65"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MP-4.1</w:t>
            </w:r>
          </w:p>
        </w:tc>
        <w:tc>
          <w:tcPr>
            <w:tcW w:w="10420" w:type="dxa"/>
            <w:hideMark/>
          </w:tcPr>
          <w:p w14:paraId="241D18C0"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Understanding the Risk of AI System Components:</w:t>
            </w:r>
            <w:r w:rsidRPr="009F7E78">
              <w:rPr>
                <w:rFonts w:ascii="Aptos" w:eastAsia="Aptos" w:hAnsi="Aptos" w:cs="Times New Roman"/>
                <w:color w:val="auto"/>
                <w:kern w:val="2"/>
                <w:sz w:val="20"/>
                <w:szCs w:val="20"/>
                <w14:ligatures w14:val="standardContextual"/>
              </w:rPr>
              <w:t xml:space="preserve"> Approaches for mapping AI technology and legal risks of its components – including the use of third-party data or software – are in place, followed, and documented, as are risks of infringement of a third party’s intellectual property or other rights.</w:t>
            </w:r>
          </w:p>
        </w:tc>
      </w:tr>
      <w:tr w:rsidR="009F7E78" w:rsidRPr="009F7E78" w14:paraId="2987240D" w14:textId="77777777" w:rsidTr="00F85994">
        <w:trPr>
          <w:trHeight w:val="1450"/>
        </w:trPr>
        <w:tc>
          <w:tcPr>
            <w:tcW w:w="1040" w:type="dxa"/>
            <w:hideMark/>
          </w:tcPr>
          <w:p w14:paraId="63D0D482"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C09B"/>
            <w:hideMark/>
          </w:tcPr>
          <w:p w14:paraId="5D757756"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MP-4.1.1</w:t>
            </w:r>
          </w:p>
        </w:tc>
        <w:tc>
          <w:tcPr>
            <w:tcW w:w="10420" w:type="dxa"/>
            <w:hideMark/>
          </w:tcPr>
          <w:p w14:paraId="7E6FFE99"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Legal Risk Management Processes:</w:t>
            </w:r>
            <w:r w:rsidRPr="009F7E78">
              <w:rPr>
                <w:rFonts w:ascii="Aptos" w:eastAsia="Aptos" w:hAnsi="Aptos" w:cs="Times New Roman"/>
                <w:color w:val="auto"/>
                <w:kern w:val="2"/>
                <w:sz w:val="20"/>
                <w:szCs w:val="20"/>
                <w14:ligatures w14:val="standardContextual"/>
              </w:rPr>
              <w:t xml:space="preserve"> The organization documents processes for identifying, mapping, assessing, and managing potential legal risks associated with the AI system and its components, including, but not limited to, fair lending practices, model risk, data privacy, intellectual property, third-party rights, and the use of third-party data or software, as available.</w:t>
            </w:r>
          </w:p>
        </w:tc>
      </w:tr>
      <w:tr w:rsidR="009F7E78" w:rsidRPr="009F7E78" w14:paraId="36871983" w14:textId="77777777" w:rsidTr="00F85994">
        <w:trPr>
          <w:trHeight w:val="1160"/>
        </w:trPr>
        <w:tc>
          <w:tcPr>
            <w:tcW w:w="1040" w:type="dxa"/>
            <w:hideMark/>
          </w:tcPr>
          <w:p w14:paraId="407ED2ED"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C09B"/>
            <w:hideMark/>
          </w:tcPr>
          <w:p w14:paraId="5C6E9D85"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MP-4.1.2</w:t>
            </w:r>
          </w:p>
        </w:tc>
        <w:tc>
          <w:tcPr>
            <w:tcW w:w="10420" w:type="dxa"/>
            <w:hideMark/>
          </w:tcPr>
          <w:p w14:paraId="1A9DE5D7"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Third-Party Resource Documentation:</w:t>
            </w:r>
            <w:r w:rsidRPr="009F7E78">
              <w:rPr>
                <w:rFonts w:ascii="Aptos" w:eastAsia="Aptos" w:hAnsi="Aptos" w:cs="Times New Roman"/>
                <w:color w:val="auto"/>
                <w:kern w:val="2"/>
                <w:sz w:val="20"/>
                <w:szCs w:val="20"/>
                <w14:ligatures w14:val="standardContextual"/>
              </w:rPr>
              <w:t xml:space="preserve"> The organization maintains documentation of third-party AI resources used in its AI systems, including information on provenance, functionality, limitations, and potential risks, regularly updating this documentation as new information becomes available.</w:t>
            </w:r>
          </w:p>
        </w:tc>
      </w:tr>
      <w:tr w:rsidR="009F7E78" w:rsidRPr="009F7E78" w14:paraId="4680194A" w14:textId="77777777" w:rsidTr="00F85994">
        <w:trPr>
          <w:trHeight w:val="1160"/>
        </w:trPr>
        <w:tc>
          <w:tcPr>
            <w:tcW w:w="1040" w:type="dxa"/>
            <w:hideMark/>
          </w:tcPr>
          <w:p w14:paraId="77EA771A"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C09B"/>
            <w:hideMark/>
          </w:tcPr>
          <w:p w14:paraId="78E80957"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MP-4.1.3</w:t>
            </w:r>
          </w:p>
        </w:tc>
        <w:tc>
          <w:tcPr>
            <w:tcW w:w="10420" w:type="dxa"/>
            <w:hideMark/>
          </w:tcPr>
          <w:p w14:paraId="78BB5A32"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Legal Risk Communication and Updates:</w:t>
            </w:r>
            <w:r w:rsidRPr="009F7E78">
              <w:rPr>
                <w:rFonts w:ascii="Aptos" w:eastAsia="Aptos" w:hAnsi="Aptos" w:cs="Times New Roman"/>
                <w:color w:val="auto"/>
                <w:kern w:val="2"/>
                <w:sz w:val="20"/>
                <w:szCs w:val="20"/>
                <w14:ligatures w14:val="standardContextual"/>
              </w:rPr>
              <w:t xml:space="preserve"> The organization communicates identified legal risks associated with the AI system, and relevant changes in laws, regulations, and industry standards, to relevant stakeholders (e.g., developers, users, decision-makers), facilitating informed decision-making and effective risk mitigation.</w:t>
            </w:r>
          </w:p>
        </w:tc>
      </w:tr>
      <w:tr w:rsidR="009F7E78" w:rsidRPr="009F7E78" w14:paraId="56FACFFE" w14:textId="77777777" w:rsidTr="00F85994">
        <w:trPr>
          <w:trHeight w:val="580"/>
        </w:trPr>
        <w:tc>
          <w:tcPr>
            <w:tcW w:w="1040" w:type="dxa"/>
            <w:hideMark/>
          </w:tcPr>
          <w:p w14:paraId="3B56FFBA"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S</w:t>
            </w:r>
          </w:p>
        </w:tc>
        <w:tc>
          <w:tcPr>
            <w:tcW w:w="1180" w:type="dxa"/>
            <w:shd w:val="clear" w:color="auto" w:fill="00C09B"/>
            <w:hideMark/>
          </w:tcPr>
          <w:p w14:paraId="139D663A"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MP-4.2</w:t>
            </w:r>
          </w:p>
        </w:tc>
        <w:tc>
          <w:tcPr>
            <w:tcW w:w="10420" w:type="dxa"/>
            <w:hideMark/>
          </w:tcPr>
          <w:p w14:paraId="186788E1"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Establishing Risk Controls for AI System Components:</w:t>
            </w:r>
            <w:r w:rsidRPr="009F7E78">
              <w:rPr>
                <w:rFonts w:ascii="Aptos" w:eastAsia="Aptos" w:hAnsi="Aptos" w:cs="Times New Roman"/>
                <w:color w:val="auto"/>
                <w:kern w:val="2"/>
                <w:sz w:val="20"/>
                <w:szCs w:val="20"/>
                <w14:ligatures w14:val="standardContextual"/>
              </w:rPr>
              <w:t xml:space="preserve"> Internal risk controls for components of the AI system, including third-party AI technologies, are identified and documented.</w:t>
            </w:r>
          </w:p>
        </w:tc>
      </w:tr>
      <w:tr w:rsidR="009F7E78" w:rsidRPr="009F7E78" w14:paraId="1B77728D" w14:textId="77777777" w:rsidTr="00F85994">
        <w:trPr>
          <w:trHeight w:val="1160"/>
        </w:trPr>
        <w:tc>
          <w:tcPr>
            <w:tcW w:w="1040" w:type="dxa"/>
            <w:hideMark/>
          </w:tcPr>
          <w:p w14:paraId="6F0A1C36"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C09B"/>
            <w:hideMark/>
          </w:tcPr>
          <w:p w14:paraId="71E934C2"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MP-4.2.1</w:t>
            </w:r>
          </w:p>
        </w:tc>
        <w:tc>
          <w:tcPr>
            <w:tcW w:w="10420" w:type="dxa"/>
            <w:hideMark/>
          </w:tcPr>
          <w:p w14:paraId="1A99DB1C"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Internal Controls for AI Components:</w:t>
            </w:r>
            <w:r w:rsidRPr="009F7E78">
              <w:rPr>
                <w:rFonts w:ascii="Aptos" w:eastAsia="Aptos" w:hAnsi="Aptos" w:cs="Times New Roman"/>
                <w:color w:val="auto"/>
                <w:kern w:val="2"/>
                <w:sz w:val="20"/>
                <w:szCs w:val="20"/>
                <w14:ligatures w14:val="standardContextual"/>
              </w:rPr>
              <w:t xml:space="preserve"> The organization identifies and documents internal controls for AI system components, including third-party technologies, to mitigate potential risks and drive system integrity. This includes mapping identified risks to the corresponding internal controls.</w:t>
            </w:r>
          </w:p>
        </w:tc>
      </w:tr>
      <w:tr w:rsidR="009F7E78" w:rsidRPr="009F7E78" w14:paraId="5AF1C5E3" w14:textId="77777777" w:rsidTr="00F85994">
        <w:trPr>
          <w:trHeight w:val="1160"/>
        </w:trPr>
        <w:tc>
          <w:tcPr>
            <w:tcW w:w="1040" w:type="dxa"/>
            <w:hideMark/>
          </w:tcPr>
          <w:p w14:paraId="50725999"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C09B"/>
            <w:hideMark/>
          </w:tcPr>
          <w:p w14:paraId="4DE41C45"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MP-4.2.2</w:t>
            </w:r>
          </w:p>
        </w:tc>
        <w:tc>
          <w:tcPr>
            <w:tcW w:w="10420" w:type="dxa"/>
            <w:hideMark/>
          </w:tcPr>
          <w:p w14:paraId="431D6D2A"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Controls Effectiveness and Incident Response:</w:t>
            </w:r>
            <w:r w:rsidRPr="009F7E78">
              <w:rPr>
                <w:rFonts w:ascii="Aptos" w:eastAsia="Aptos" w:hAnsi="Aptos" w:cs="Times New Roman"/>
                <w:color w:val="auto"/>
                <w:kern w:val="2"/>
                <w:sz w:val="20"/>
                <w:szCs w:val="20"/>
                <w14:ligatures w14:val="standardContextual"/>
              </w:rPr>
              <w:t xml:space="preserve"> The organization regularly documents and reviews the effectiveness of internal risk controls and incident response procedures for both AI system components and third-party technologies, documenting results and implementing improvements to drive secure and reliable operation.</w:t>
            </w:r>
          </w:p>
        </w:tc>
      </w:tr>
      <w:tr w:rsidR="009F7E78" w:rsidRPr="009F7E78" w14:paraId="7C240E7B" w14:textId="77777777" w:rsidTr="00F85994">
        <w:trPr>
          <w:trHeight w:val="580"/>
        </w:trPr>
        <w:tc>
          <w:tcPr>
            <w:tcW w:w="1040" w:type="dxa"/>
            <w:hideMark/>
          </w:tcPr>
          <w:p w14:paraId="0841894F"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w:t>
            </w:r>
          </w:p>
        </w:tc>
        <w:tc>
          <w:tcPr>
            <w:tcW w:w="1180" w:type="dxa"/>
            <w:shd w:val="clear" w:color="auto" w:fill="00C09B"/>
            <w:hideMark/>
          </w:tcPr>
          <w:p w14:paraId="553D4821"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MP-5</w:t>
            </w:r>
          </w:p>
        </w:tc>
        <w:tc>
          <w:tcPr>
            <w:tcW w:w="10420" w:type="dxa"/>
            <w:hideMark/>
          </w:tcPr>
          <w:p w14:paraId="2B050F2D"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Understanding AI System Impacts:</w:t>
            </w:r>
            <w:r w:rsidRPr="009F7E78">
              <w:rPr>
                <w:rFonts w:ascii="Aptos" w:eastAsia="Aptos" w:hAnsi="Aptos" w:cs="Times New Roman"/>
                <w:color w:val="auto"/>
                <w:kern w:val="2"/>
                <w:sz w:val="20"/>
                <w:szCs w:val="20"/>
                <w14:ligatures w14:val="standardContextual"/>
              </w:rPr>
              <w:t xml:space="preserve"> Impacts to individuals, groups, communities, organizations, and society are characterized.</w:t>
            </w:r>
          </w:p>
        </w:tc>
      </w:tr>
      <w:tr w:rsidR="009F7E78" w:rsidRPr="009F7E78" w14:paraId="787398E6" w14:textId="77777777" w:rsidTr="00F85994">
        <w:trPr>
          <w:trHeight w:val="1160"/>
        </w:trPr>
        <w:tc>
          <w:tcPr>
            <w:tcW w:w="1040" w:type="dxa"/>
            <w:hideMark/>
          </w:tcPr>
          <w:p w14:paraId="0E4C7C6C"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S</w:t>
            </w:r>
          </w:p>
        </w:tc>
        <w:tc>
          <w:tcPr>
            <w:tcW w:w="1180" w:type="dxa"/>
            <w:shd w:val="clear" w:color="auto" w:fill="00C09B"/>
            <w:hideMark/>
          </w:tcPr>
          <w:p w14:paraId="274DF8E7"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MP-5.1</w:t>
            </w:r>
          </w:p>
        </w:tc>
        <w:tc>
          <w:tcPr>
            <w:tcW w:w="10420" w:type="dxa"/>
            <w:hideMark/>
          </w:tcPr>
          <w:p w14:paraId="75527C33"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Identifying Risk Likelihood and Impacts:</w:t>
            </w:r>
            <w:r w:rsidRPr="009F7E78">
              <w:rPr>
                <w:rFonts w:ascii="Aptos" w:eastAsia="Aptos" w:hAnsi="Aptos" w:cs="Times New Roman"/>
                <w:color w:val="auto"/>
                <w:kern w:val="2"/>
                <w:sz w:val="20"/>
                <w:szCs w:val="20"/>
                <w14:ligatures w14:val="standardContextual"/>
              </w:rPr>
              <w:t xml:space="preserve"> Likelihood and magnitude of each identified impact (both potentially beneficial and harmful) based on expected use, past uses of AI systems in similar contexts, public incident reports, feedback from those external to the team that developed or deployed the AI system, or other data are identified and documented.</w:t>
            </w:r>
          </w:p>
        </w:tc>
      </w:tr>
      <w:tr w:rsidR="009F7E78" w:rsidRPr="009F7E78" w14:paraId="358A071F" w14:textId="77777777" w:rsidTr="00F85994">
        <w:trPr>
          <w:trHeight w:val="1740"/>
        </w:trPr>
        <w:tc>
          <w:tcPr>
            <w:tcW w:w="1040" w:type="dxa"/>
            <w:hideMark/>
          </w:tcPr>
          <w:p w14:paraId="05BDB0CF"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lastRenderedPageBreak/>
              <w:t>CO</w:t>
            </w:r>
          </w:p>
        </w:tc>
        <w:tc>
          <w:tcPr>
            <w:tcW w:w="1180" w:type="dxa"/>
            <w:shd w:val="clear" w:color="auto" w:fill="00C09B"/>
            <w:hideMark/>
          </w:tcPr>
          <w:p w14:paraId="5934B569"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MP-5.1.1</w:t>
            </w:r>
          </w:p>
        </w:tc>
        <w:tc>
          <w:tcPr>
            <w:tcW w:w="10420" w:type="dxa"/>
            <w:hideMark/>
          </w:tcPr>
          <w:p w14:paraId="56207088"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AI Risk Identification, Assessment, and Prioritization:</w:t>
            </w:r>
            <w:r w:rsidRPr="009F7E78">
              <w:rPr>
                <w:rFonts w:ascii="Aptos" w:eastAsia="Aptos" w:hAnsi="Aptos" w:cs="Times New Roman"/>
                <w:color w:val="auto"/>
                <w:kern w:val="2"/>
                <w:sz w:val="20"/>
                <w:szCs w:val="20"/>
                <w14:ligatures w14:val="standardContextual"/>
              </w:rPr>
              <w:t xml:space="preserve"> The organization documents processes for identifying, assessing, and prioritizing AI system-specific risks, including the likelihood and magnitude of potential impacts (beneficial and harmful), using structured methodologies (e.g., risk matrices, RAG ratings, econometric approaches), TEVV practices, and adversarial testing to uncover potential misuse, vulnerabilities, unintended consequences, and content provenance harms (e.g., misinformation, deepfakes).</w:t>
            </w:r>
          </w:p>
        </w:tc>
      </w:tr>
      <w:tr w:rsidR="009F7E78" w:rsidRPr="009F7E78" w14:paraId="64ACAB65" w14:textId="77777777" w:rsidTr="00F85994">
        <w:trPr>
          <w:trHeight w:val="1450"/>
        </w:trPr>
        <w:tc>
          <w:tcPr>
            <w:tcW w:w="1040" w:type="dxa"/>
            <w:hideMark/>
          </w:tcPr>
          <w:p w14:paraId="0B3FF174"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C09B"/>
            <w:hideMark/>
          </w:tcPr>
          <w:p w14:paraId="2F1EA3AB"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MP-5.1.2</w:t>
            </w:r>
          </w:p>
        </w:tc>
        <w:tc>
          <w:tcPr>
            <w:tcW w:w="10420" w:type="dxa"/>
            <w:hideMark/>
          </w:tcPr>
          <w:p w14:paraId="45799742"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AI Risk Profile Development:</w:t>
            </w:r>
            <w:r w:rsidRPr="009F7E78">
              <w:rPr>
                <w:rFonts w:ascii="Aptos" w:eastAsia="Aptos" w:hAnsi="Aptos" w:cs="Times New Roman"/>
                <w:color w:val="auto"/>
                <w:kern w:val="2"/>
                <w:sz w:val="20"/>
                <w:szCs w:val="20"/>
                <w14:ligatures w14:val="standardContextual"/>
              </w:rPr>
              <w:t xml:space="preserve"> The organization develops comprehensive risk profiles (from all risks identified throughout MAP) that outline known and potential adverse outcomes, direct costs, indirect costs, potential systemic risks to markets and consumers, and the degree of impact on the AI system and its stakeholders, and the speed of onset of these risks.</w:t>
            </w:r>
          </w:p>
        </w:tc>
      </w:tr>
      <w:tr w:rsidR="009F7E78" w:rsidRPr="009F7E78" w14:paraId="4929CBD6" w14:textId="77777777" w:rsidTr="00F85994">
        <w:trPr>
          <w:trHeight w:val="2030"/>
        </w:trPr>
        <w:tc>
          <w:tcPr>
            <w:tcW w:w="1040" w:type="dxa"/>
            <w:hideMark/>
          </w:tcPr>
          <w:p w14:paraId="4F383B86"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C09B"/>
            <w:hideMark/>
          </w:tcPr>
          <w:p w14:paraId="3B506ADB"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MP-5.1.3</w:t>
            </w:r>
          </w:p>
        </w:tc>
        <w:tc>
          <w:tcPr>
            <w:tcW w:w="10420" w:type="dxa"/>
            <w:hideMark/>
          </w:tcPr>
          <w:p w14:paraId="172031F9"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Decision Rationale and Stakeholder Validation:</w:t>
            </w:r>
            <w:r w:rsidRPr="009F7E78">
              <w:rPr>
                <w:rFonts w:ascii="Aptos" w:eastAsia="Aptos" w:hAnsi="Aptos" w:cs="Times New Roman"/>
                <w:color w:val="auto"/>
                <w:kern w:val="2"/>
                <w:sz w:val="20"/>
                <w:szCs w:val="20"/>
                <w14:ligatures w14:val="standardContextual"/>
              </w:rPr>
              <w:t xml:space="preserve"> The organization documents the rationale behind its risk prioritization decisions and risk tolerance, including the factors considered, trade-offs made between different risk response options, and input received from relevant stakeholders, while also engaging these stakeholders (e.g., technical experts, domain specialists, impacted communities) to validate its decisions on risk prioritization, risk appetite and tolerance, and resource allocation, thereby incorporating multidisciplinary perspectives into the risk response process.</w:t>
            </w:r>
          </w:p>
        </w:tc>
      </w:tr>
      <w:tr w:rsidR="009F7E78" w:rsidRPr="009F7E78" w14:paraId="692ED5BA" w14:textId="77777777" w:rsidTr="00F85994">
        <w:trPr>
          <w:trHeight w:val="870"/>
        </w:trPr>
        <w:tc>
          <w:tcPr>
            <w:tcW w:w="1040" w:type="dxa"/>
            <w:hideMark/>
          </w:tcPr>
          <w:p w14:paraId="637DBB4A"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S</w:t>
            </w:r>
          </w:p>
        </w:tc>
        <w:tc>
          <w:tcPr>
            <w:tcW w:w="1180" w:type="dxa"/>
            <w:shd w:val="clear" w:color="auto" w:fill="00C09B"/>
            <w:hideMark/>
          </w:tcPr>
          <w:p w14:paraId="6986EAF5"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MP-5.2</w:t>
            </w:r>
          </w:p>
        </w:tc>
        <w:tc>
          <w:tcPr>
            <w:tcW w:w="10420" w:type="dxa"/>
            <w:hideMark/>
          </w:tcPr>
          <w:p w14:paraId="77F0BA7A"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Collecting Feedback on AI System Impacts:</w:t>
            </w:r>
            <w:r w:rsidRPr="009F7E78">
              <w:rPr>
                <w:rFonts w:ascii="Aptos" w:eastAsia="Aptos" w:hAnsi="Aptos" w:cs="Times New Roman"/>
                <w:color w:val="auto"/>
                <w:kern w:val="2"/>
                <w:sz w:val="20"/>
                <w:szCs w:val="20"/>
                <w14:ligatures w14:val="standardContextual"/>
              </w:rPr>
              <w:t xml:space="preserve"> Practices and personnel for supporting regular engagement with relevant AI actors and integrating feedback about positive, negative, and unanticipated impacts are in place and documented.</w:t>
            </w:r>
          </w:p>
        </w:tc>
      </w:tr>
      <w:tr w:rsidR="009F7E78" w:rsidRPr="009F7E78" w14:paraId="585718AF" w14:textId="77777777" w:rsidTr="00F85994">
        <w:trPr>
          <w:trHeight w:val="1450"/>
        </w:trPr>
        <w:tc>
          <w:tcPr>
            <w:tcW w:w="1040" w:type="dxa"/>
            <w:hideMark/>
          </w:tcPr>
          <w:p w14:paraId="44CA20B4"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C09B"/>
            <w:hideMark/>
          </w:tcPr>
          <w:p w14:paraId="195574F5"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MP-5.2.1</w:t>
            </w:r>
          </w:p>
        </w:tc>
        <w:tc>
          <w:tcPr>
            <w:tcW w:w="10420" w:type="dxa"/>
            <w:hideMark/>
          </w:tcPr>
          <w:p w14:paraId="7E748D21"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Structured AI stakeholder Engagement:</w:t>
            </w:r>
            <w:r w:rsidRPr="009F7E78">
              <w:rPr>
                <w:rFonts w:ascii="Aptos" w:eastAsia="Aptos" w:hAnsi="Aptos" w:cs="Times New Roman"/>
                <w:color w:val="auto"/>
                <w:kern w:val="2"/>
                <w:sz w:val="20"/>
                <w:szCs w:val="20"/>
                <w14:ligatures w14:val="standardContextual"/>
              </w:rPr>
              <w:t xml:space="preserve"> The organization documents processes for regularly engaging relevant AI stakeholders (e.g., end-users, domain experts, potentially impacted communities) using structured methodologies such as value sensitive design (VSD) to gather feedback on the specific AI system's performance, impacts, and unanticipated consequences.</w:t>
            </w:r>
          </w:p>
        </w:tc>
      </w:tr>
      <w:tr w:rsidR="009F7E78" w:rsidRPr="009F7E78" w14:paraId="034F7C90" w14:textId="77777777" w:rsidTr="00F85994">
        <w:trPr>
          <w:trHeight w:val="870"/>
        </w:trPr>
        <w:tc>
          <w:tcPr>
            <w:tcW w:w="1040" w:type="dxa"/>
            <w:hideMark/>
          </w:tcPr>
          <w:p w14:paraId="205AC86B"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C09B"/>
            <w:hideMark/>
          </w:tcPr>
          <w:p w14:paraId="55C7785A"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MP-5.2.2</w:t>
            </w:r>
          </w:p>
        </w:tc>
        <w:tc>
          <w:tcPr>
            <w:tcW w:w="10420" w:type="dxa"/>
            <w:hideMark/>
          </w:tcPr>
          <w:p w14:paraId="6060F979"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Stakeholder Engagement and Mitigation:</w:t>
            </w:r>
            <w:r w:rsidRPr="009F7E78">
              <w:rPr>
                <w:rFonts w:ascii="Aptos" w:eastAsia="Aptos" w:hAnsi="Aptos" w:cs="Times New Roman"/>
                <w:color w:val="auto"/>
                <w:kern w:val="2"/>
                <w:sz w:val="20"/>
                <w:szCs w:val="20"/>
                <w14:ligatures w14:val="standardContextual"/>
              </w:rPr>
              <w:t xml:space="preserve"> The organization engages with relevant stakeholders to solicit context-specific insights and to develop action plans that detect, prevent, and mitigate potential risks, costs, or adverse impacts.</w:t>
            </w:r>
          </w:p>
        </w:tc>
      </w:tr>
      <w:tr w:rsidR="009F7E78" w:rsidRPr="009F7E78" w14:paraId="7E280678" w14:textId="77777777" w:rsidTr="00F85994">
        <w:trPr>
          <w:trHeight w:val="290"/>
        </w:trPr>
        <w:tc>
          <w:tcPr>
            <w:tcW w:w="1040" w:type="dxa"/>
            <w:shd w:val="clear" w:color="auto" w:fill="EDA000"/>
            <w:hideMark/>
          </w:tcPr>
          <w:p w14:paraId="1B6A5F7B"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F</w:t>
            </w:r>
          </w:p>
        </w:tc>
        <w:tc>
          <w:tcPr>
            <w:tcW w:w="1180" w:type="dxa"/>
            <w:shd w:val="clear" w:color="auto" w:fill="EDA000"/>
            <w:hideMark/>
          </w:tcPr>
          <w:p w14:paraId="5ADDA9E1"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MS</w:t>
            </w:r>
          </w:p>
        </w:tc>
        <w:tc>
          <w:tcPr>
            <w:tcW w:w="10420" w:type="dxa"/>
            <w:shd w:val="clear" w:color="auto" w:fill="EDA000"/>
            <w:hideMark/>
          </w:tcPr>
          <w:p w14:paraId="04CB166D"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MEASURE</w:t>
            </w:r>
          </w:p>
        </w:tc>
      </w:tr>
      <w:tr w:rsidR="009F7E78" w:rsidRPr="009F7E78" w14:paraId="1540D30B" w14:textId="77777777" w:rsidTr="00F85994">
        <w:trPr>
          <w:trHeight w:val="290"/>
        </w:trPr>
        <w:tc>
          <w:tcPr>
            <w:tcW w:w="1040" w:type="dxa"/>
            <w:hideMark/>
          </w:tcPr>
          <w:p w14:paraId="608D369B"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w:t>
            </w:r>
          </w:p>
        </w:tc>
        <w:tc>
          <w:tcPr>
            <w:tcW w:w="1180" w:type="dxa"/>
            <w:shd w:val="clear" w:color="auto" w:fill="EDA000"/>
            <w:hideMark/>
          </w:tcPr>
          <w:p w14:paraId="2474D2D1"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MS-1</w:t>
            </w:r>
          </w:p>
        </w:tc>
        <w:tc>
          <w:tcPr>
            <w:tcW w:w="10420" w:type="dxa"/>
            <w:hideMark/>
          </w:tcPr>
          <w:p w14:paraId="30C87517"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Methods and Metrics:</w:t>
            </w:r>
            <w:r w:rsidRPr="009F7E78">
              <w:rPr>
                <w:rFonts w:ascii="Aptos" w:eastAsia="Aptos" w:hAnsi="Aptos" w:cs="Times New Roman"/>
                <w:color w:val="auto"/>
                <w:kern w:val="2"/>
                <w:sz w:val="20"/>
                <w:szCs w:val="20"/>
                <w14:ligatures w14:val="standardContextual"/>
              </w:rPr>
              <w:t xml:space="preserve"> Appropriate methods and metrics are identified and applied.</w:t>
            </w:r>
          </w:p>
        </w:tc>
      </w:tr>
      <w:tr w:rsidR="009F7E78" w:rsidRPr="009F7E78" w14:paraId="010F712D" w14:textId="77777777" w:rsidTr="00F85994">
        <w:trPr>
          <w:trHeight w:val="1160"/>
        </w:trPr>
        <w:tc>
          <w:tcPr>
            <w:tcW w:w="1040" w:type="dxa"/>
            <w:hideMark/>
          </w:tcPr>
          <w:p w14:paraId="72ECFEBF"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S</w:t>
            </w:r>
          </w:p>
        </w:tc>
        <w:tc>
          <w:tcPr>
            <w:tcW w:w="1180" w:type="dxa"/>
            <w:shd w:val="clear" w:color="auto" w:fill="EDA000"/>
            <w:hideMark/>
          </w:tcPr>
          <w:p w14:paraId="08F5D69B"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MS-1.1</w:t>
            </w:r>
          </w:p>
        </w:tc>
        <w:tc>
          <w:tcPr>
            <w:tcW w:w="10420" w:type="dxa"/>
            <w:hideMark/>
          </w:tcPr>
          <w:p w14:paraId="5A36BD77"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Selecting and Prioritizing Measurements:</w:t>
            </w:r>
            <w:r w:rsidRPr="009F7E78">
              <w:rPr>
                <w:rFonts w:ascii="Aptos" w:eastAsia="Aptos" w:hAnsi="Aptos" w:cs="Times New Roman"/>
                <w:color w:val="auto"/>
                <w:kern w:val="2"/>
                <w:sz w:val="20"/>
                <w:szCs w:val="20"/>
                <w14:ligatures w14:val="standardContextual"/>
              </w:rPr>
              <w:t xml:space="preserve"> Approaches and metrics for measurement of AI risks enumerated during the MAP function are selected for implementation starting with the most significant AI risks. The risks or trustworthiness characteristics that will not – or cannot – be measured are properly documented.</w:t>
            </w:r>
          </w:p>
        </w:tc>
      </w:tr>
      <w:tr w:rsidR="009F7E78" w:rsidRPr="009F7E78" w14:paraId="13BC1439" w14:textId="77777777" w:rsidTr="00F85994">
        <w:trPr>
          <w:trHeight w:val="2320"/>
        </w:trPr>
        <w:tc>
          <w:tcPr>
            <w:tcW w:w="1040" w:type="dxa"/>
            <w:hideMark/>
          </w:tcPr>
          <w:p w14:paraId="487570E3"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lastRenderedPageBreak/>
              <w:t>CO</w:t>
            </w:r>
          </w:p>
        </w:tc>
        <w:tc>
          <w:tcPr>
            <w:tcW w:w="1180" w:type="dxa"/>
            <w:shd w:val="clear" w:color="auto" w:fill="EDA000"/>
            <w:hideMark/>
          </w:tcPr>
          <w:p w14:paraId="5C788E61"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MS-1.1.1</w:t>
            </w:r>
          </w:p>
        </w:tc>
        <w:tc>
          <w:tcPr>
            <w:tcW w:w="10420" w:type="dxa"/>
            <w:hideMark/>
          </w:tcPr>
          <w:p w14:paraId="17FB0358"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AI Risk Metrics and Measurement Selection:</w:t>
            </w:r>
            <w:r w:rsidRPr="009F7E78">
              <w:rPr>
                <w:rFonts w:ascii="Aptos" w:eastAsia="Aptos" w:hAnsi="Aptos" w:cs="Times New Roman"/>
                <w:color w:val="auto"/>
                <w:kern w:val="2"/>
                <w:sz w:val="20"/>
                <w:szCs w:val="20"/>
                <w14:ligatures w14:val="standardContextual"/>
              </w:rPr>
              <w:t xml:space="preserve"> The organization selects and prioritizes significant AI risks for measurement and monitoring, defining metrics and measurement approaches that consider the AI system's specific context, intended use, and potential impacts on stakeholders. The organization documents the rationale for the selection of specific metrics and measurement approaches, including their relevance, feasibility, and limitations in relation to the AI system and its associated risks. The organization determines that measurement and testing are complete when prioritized risks have been tested, measured, and tracked, and no new or serious risks have emerged.</w:t>
            </w:r>
          </w:p>
        </w:tc>
      </w:tr>
      <w:tr w:rsidR="009F7E78" w:rsidRPr="009F7E78" w14:paraId="7DF10AB3" w14:textId="77777777" w:rsidTr="00F85994">
        <w:trPr>
          <w:trHeight w:val="1450"/>
        </w:trPr>
        <w:tc>
          <w:tcPr>
            <w:tcW w:w="1040" w:type="dxa"/>
            <w:hideMark/>
          </w:tcPr>
          <w:p w14:paraId="31608C99"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EDA000"/>
            <w:hideMark/>
          </w:tcPr>
          <w:p w14:paraId="5FFEA4C5"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MS-1.1.2</w:t>
            </w:r>
          </w:p>
        </w:tc>
        <w:tc>
          <w:tcPr>
            <w:tcW w:w="10420" w:type="dxa"/>
            <w:hideMark/>
          </w:tcPr>
          <w:p w14:paraId="4703F594"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Unmeasurable Risks and Rationale Documentation:</w:t>
            </w:r>
            <w:r w:rsidRPr="009F7E78">
              <w:rPr>
                <w:rFonts w:ascii="Aptos" w:eastAsia="Aptos" w:hAnsi="Aptos" w:cs="Times New Roman"/>
                <w:color w:val="auto"/>
                <w:kern w:val="2"/>
                <w:sz w:val="20"/>
                <w:szCs w:val="20"/>
                <w14:ligatures w14:val="standardContextual"/>
              </w:rPr>
              <w:t xml:space="preserve"> The organization identifies and documents AI risks and/or trustworthiness characteristics that cannot or will not be measured, along with the reasons for exclusion. Recognizing that some risks may be difficult to measure quantitatively, the organization also considers tracking these risks qualitatively to ensure they are acknowledged and monitored as appropriate.</w:t>
            </w:r>
          </w:p>
        </w:tc>
      </w:tr>
      <w:tr w:rsidR="009F7E78" w:rsidRPr="009F7E78" w14:paraId="6B97145A" w14:textId="77777777" w:rsidTr="00F85994">
        <w:trPr>
          <w:trHeight w:val="870"/>
        </w:trPr>
        <w:tc>
          <w:tcPr>
            <w:tcW w:w="1040" w:type="dxa"/>
            <w:hideMark/>
          </w:tcPr>
          <w:p w14:paraId="2334705D"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S</w:t>
            </w:r>
          </w:p>
        </w:tc>
        <w:tc>
          <w:tcPr>
            <w:tcW w:w="1180" w:type="dxa"/>
            <w:shd w:val="clear" w:color="auto" w:fill="EDA000"/>
            <w:hideMark/>
          </w:tcPr>
          <w:p w14:paraId="2DC752AA"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MS-1.2</w:t>
            </w:r>
          </w:p>
        </w:tc>
        <w:tc>
          <w:tcPr>
            <w:tcW w:w="10420" w:type="dxa"/>
            <w:hideMark/>
          </w:tcPr>
          <w:p w14:paraId="52BB040C"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Continuously Improving Measurement:</w:t>
            </w:r>
            <w:r w:rsidRPr="009F7E78">
              <w:rPr>
                <w:rFonts w:ascii="Aptos" w:eastAsia="Aptos" w:hAnsi="Aptos" w:cs="Times New Roman"/>
                <w:color w:val="auto"/>
                <w:kern w:val="2"/>
                <w:sz w:val="20"/>
                <w:szCs w:val="20"/>
                <w14:ligatures w14:val="standardContextual"/>
              </w:rPr>
              <w:t xml:space="preserve"> Appropriateness of AI metrics and effectiveness of existing controls are regularly assessed and updated, including reports of errors and potential impacts on affected communities.</w:t>
            </w:r>
          </w:p>
        </w:tc>
      </w:tr>
      <w:tr w:rsidR="009F7E78" w:rsidRPr="009F7E78" w14:paraId="6519988D" w14:textId="77777777" w:rsidTr="00F85994">
        <w:trPr>
          <w:trHeight w:val="1740"/>
        </w:trPr>
        <w:tc>
          <w:tcPr>
            <w:tcW w:w="1040" w:type="dxa"/>
            <w:hideMark/>
          </w:tcPr>
          <w:p w14:paraId="1DF4B24A"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EDA000"/>
            <w:hideMark/>
          </w:tcPr>
          <w:p w14:paraId="4F688272"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MS-1.2.1</w:t>
            </w:r>
          </w:p>
        </w:tc>
        <w:tc>
          <w:tcPr>
            <w:tcW w:w="10420" w:type="dxa"/>
            <w:hideMark/>
          </w:tcPr>
          <w:p w14:paraId="776126C7"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Error and Incident Data Analysis:</w:t>
            </w:r>
            <w:r w:rsidRPr="009F7E78">
              <w:rPr>
                <w:rFonts w:ascii="Aptos" w:eastAsia="Aptos" w:hAnsi="Aptos" w:cs="Times New Roman"/>
                <w:color w:val="auto"/>
                <w:kern w:val="2"/>
                <w:sz w:val="20"/>
                <w:szCs w:val="20"/>
                <w14:ligatures w14:val="standardContextual"/>
              </w:rPr>
              <w:t xml:space="preserve"> The organization collects and analyzes error reports, incidents, and potential impacts associated with its AI systems, using this information to assess the effectiveness of existing risk controls and the validity of current metrics. Recognizing that metrics can be subject to issues such as calibration drift, bias, measurement uncertainty, and Goodhart's law, the organization regularly reviews whether the metrics remain meaningful and reliable in the evolving context.</w:t>
            </w:r>
          </w:p>
        </w:tc>
      </w:tr>
      <w:tr w:rsidR="009F7E78" w:rsidRPr="009F7E78" w14:paraId="75E69278" w14:textId="77777777" w:rsidTr="00F85994">
        <w:trPr>
          <w:trHeight w:val="1450"/>
        </w:trPr>
        <w:tc>
          <w:tcPr>
            <w:tcW w:w="1040" w:type="dxa"/>
            <w:hideMark/>
          </w:tcPr>
          <w:p w14:paraId="21FE4798"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S</w:t>
            </w:r>
          </w:p>
        </w:tc>
        <w:tc>
          <w:tcPr>
            <w:tcW w:w="1180" w:type="dxa"/>
            <w:shd w:val="clear" w:color="auto" w:fill="EDA000"/>
            <w:hideMark/>
          </w:tcPr>
          <w:p w14:paraId="330D5B0D"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MS-1.3</w:t>
            </w:r>
          </w:p>
        </w:tc>
        <w:tc>
          <w:tcPr>
            <w:tcW w:w="10420" w:type="dxa"/>
            <w:hideMark/>
          </w:tcPr>
          <w:p w14:paraId="226ACA7B"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External Assessment of Measurement Approaches:</w:t>
            </w:r>
            <w:r w:rsidRPr="009F7E78">
              <w:rPr>
                <w:rFonts w:ascii="Aptos" w:eastAsia="Aptos" w:hAnsi="Aptos" w:cs="Times New Roman"/>
                <w:color w:val="auto"/>
                <w:kern w:val="2"/>
                <w:sz w:val="20"/>
                <w:szCs w:val="20"/>
                <w14:ligatures w14:val="standardContextual"/>
              </w:rPr>
              <w:t xml:space="preserve"> Internal experts who did not serve as front-line developers for the system and/or independent assessors are involved in regular assessments and updates. Domain experts, users, AI actors external to the team that developed or deployed the AI system, and affected communities are consulted in support of assessments as necessary per organizational risk tolerance.</w:t>
            </w:r>
          </w:p>
        </w:tc>
      </w:tr>
      <w:tr w:rsidR="009F7E78" w:rsidRPr="009F7E78" w14:paraId="7299CC89" w14:textId="77777777" w:rsidTr="00F85994">
        <w:trPr>
          <w:trHeight w:val="2320"/>
        </w:trPr>
        <w:tc>
          <w:tcPr>
            <w:tcW w:w="1040" w:type="dxa"/>
            <w:hideMark/>
          </w:tcPr>
          <w:p w14:paraId="298DF1DE"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EDA000"/>
            <w:hideMark/>
          </w:tcPr>
          <w:p w14:paraId="45849742"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MS-1.3.1</w:t>
            </w:r>
          </w:p>
        </w:tc>
        <w:tc>
          <w:tcPr>
            <w:tcW w:w="10420" w:type="dxa"/>
            <w:hideMark/>
          </w:tcPr>
          <w:p w14:paraId="0AAB8F01"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Independent Expert Evaluation and Stakeholder Consultation:</w:t>
            </w:r>
            <w:r w:rsidRPr="009F7E78">
              <w:rPr>
                <w:rFonts w:ascii="Aptos" w:eastAsia="Aptos" w:hAnsi="Aptos" w:cs="Times New Roman"/>
                <w:color w:val="auto"/>
                <w:kern w:val="2"/>
                <w:sz w:val="20"/>
                <w:szCs w:val="20"/>
                <w14:ligatures w14:val="standardContextual"/>
              </w:rPr>
              <w:t xml:space="preserve"> The organization involves internal experts (external to front-line development) and independent assessors, including robust testing functions, in the regular assessment and updating of AI metrics and risk controls. Concurrently, it determines the need for consultation with domain experts, users, AI stakeholders external to the development team, and affected communities, based on risk appetite. This approach leverages multidisciplinary, unbiased insights to ensure a comprehensive understanding of potential impacts and the adequacy of risk management measures.</w:t>
            </w:r>
          </w:p>
        </w:tc>
      </w:tr>
      <w:tr w:rsidR="009F7E78" w:rsidRPr="009F7E78" w14:paraId="01B88189" w14:textId="77777777" w:rsidTr="00F85994">
        <w:trPr>
          <w:trHeight w:val="290"/>
        </w:trPr>
        <w:tc>
          <w:tcPr>
            <w:tcW w:w="1040" w:type="dxa"/>
            <w:hideMark/>
          </w:tcPr>
          <w:p w14:paraId="1148A64C"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w:t>
            </w:r>
          </w:p>
        </w:tc>
        <w:tc>
          <w:tcPr>
            <w:tcW w:w="1180" w:type="dxa"/>
            <w:shd w:val="clear" w:color="auto" w:fill="EDA000"/>
            <w:hideMark/>
          </w:tcPr>
          <w:p w14:paraId="2B207545"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MS-2</w:t>
            </w:r>
          </w:p>
        </w:tc>
        <w:tc>
          <w:tcPr>
            <w:tcW w:w="10420" w:type="dxa"/>
            <w:hideMark/>
          </w:tcPr>
          <w:p w14:paraId="173FB2BC"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Evaluating AI Systems:</w:t>
            </w:r>
            <w:r w:rsidRPr="009F7E78">
              <w:rPr>
                <w:rFonts w:ascii="Aptos" w:eastAsia="Aptos" w:hAnsi="Aptos" w:cs="Times New Roman"/>
                <w:color w:val="auto"/>
                <w:kern w:val="2"/>
                <w:sz w:val="20"/>
                <w:szCs w:val="20"/>
                <w14:ligatures w14:val="standardContextual"/>
              </w:rPr>
              <w:t xml:space="preserve"> AI systems are evaluated for trustworthy characteristics.</w:t>
            </w:r>
          </w:p>
        </w:tc>
      </w:tr>
      <w:tr w:rsidR="009F7E78" w:rsidRPr="009F7E78" w14:paraId="1D81610E" w14:textId="77777777" w:rsidTr="00F85994">
        <w:trPr>
          <w:trHeight w:val="580"/>
        </w:trPr>
        <w:tc>
          <w:tcPr>
            <w:tcW w:w="1040" w:type="dxa"/>
            <w:hideMark/>
          </w:tcPr>
          <w:p w14:paraId="1E4E10D4"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S</w:t>
            </w:r>
          </w:p>
        </w:tc>
        <w:tc>
          <w:tcPr>
            <w:tcW w:w="1180" w:type="dxa"/>
            <w:shd w:val="clear" w:color="auto" w:fill="EDA000"/>
            <w:hideMark/>
          </w:tcPr>
          <w:p w14:paraId="33E8675D"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MS-2.1</w:t>
            </w:r>
          </w:p>
        </w:tc>
        <w:tc>
          <w:tcPr>
            <w:tcW w:w="10420" w:type="dxa"/>
            <w:hideMark/>
          </w:tcPr>
          <w:p w14:paraId="75D23D2A"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Documenting Measurement Approaches:</w:t>
            </w:r>
            <w:r w:rsidRPr="009F7E78">
              <w:rPr>
                <w:rFonts w:ascii="Aptos" w:eastAsia="Aptos" w:hAnsi="Aptos" w:cs="Times New Roman"/>
                <w:color w:val="auto"/>
                <w:kern w:val="2"/>
                <w:sz w:val="20"/>
                <w:szCs w:val="20"/>
                <w14:ligatures w14:val="standardContextual"/>
              </w:rPr>
              <w:t xml:space="preserve"> Test sets, metrics, and details about the tools used during TEVV are documented.</w:t>
            </w:r>
          </w:p>
        </w:tc>
      </w:tr>
      <w:tr w:rsidR="009F7E78" w:rsidRPr="009F7E78" w14:paraId="71E5F876" w14:textId="77777777" w:rsidTr="00F85994">
        <w:trPr>
          <w:trHeight w:val="1740"/>
        </w:trPr>
        <w:tc>
          <w:tcPr>
            <w:tcW w:w="1040" w:type="dxa"/>
            <w:hideMark/>
          </w:tcPr>
          <w:p w14:paraId="0775260A"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lastRenderedPageBreak/>
              <w:t>CO</w:t>
            </w:r>
          </w:p>
        </w:tc>
        <w:tc>
          <w:tcPr>
            <w:tcW w:w="1180" w:type="dxa"/>
            <w:shd w:val="clear" w:color="auto" w:fill="EDA000"/>
            <w:hideMark/>
          </w:tcPr>
          <w:p w14:paraId="3440F9D7"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MS-2.1.1</w:t>
            </w:r>
          </w:p>
        </w:tc>
        <w:tc>
          <w:tcPr>
            <w:tcW w:w="10420" w:type="dxa"/>
            <w:hideMark/>
          </w:tcPr>
          <w:p w14:paraId="3BBD8D64"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TEVV Test Data and Metrics Documentation:</w:t>
            </w:r>
            <w:r w:rsidRPr="009F7E78">
              <w:rPr>
                <w:rFonts w:ascii="Aptos" w:eastAsia="Aptos" w:hAnsi="Aptos" w:cs="Times New Roman"/>
                <w:color w:val="auto"/>
                <w:kern w:val="2"/>
                <w:sz w:val="20"/>
                <w:szCs w:val="20"/>
                <w14:ligatures w14:val="standardContextual"/>
              </w:rPr>
              <w:t xml:space="preserve"> The organization documents test sets and metrics used during the testing, evaluation, verification, and validation (TEVV) of its AI systems. The documentation includes relevant information on test sets, such as data sources, preparation techniques, data splits (e.g., training, validation, and testing), and identified constraints or limitations. Metrics are documented with clear definitions, formulas, and rationale, along with any assumptions and limitations.</w:t>
            </w:r>
          </w:p>
        </w:tc>
      </w:tr>
      <w:tr w:rsidR="009F7E78" w:rsidRPr="009F7E78" w14:paraId="46087EE3" w14:textId="77777777" w:rsidTr="00F85994">
        <w:trPr>
          <w:trHeight w:val="1450"/>
        </w:trPr>
        <w:tc>
          <w:tcPr>
            <w:tcW w:w="1040" w:type="dxa"/>
            <w:hideMark/>
          </w:tcPr>
          <w:p w14:paraId="1E79BD7B"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EDA000"/>
            <w:hideMark/>
          </w:tcPr>
          <w:p w14:paraId="3F66DFD7"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MS-2.1.2</w:t>
            </w:r>
          </w:p>
        </w:tc>
        <w:tc>
          <w:tcPr>
            <w:tcW w:w="10420" w:type="dxa"/>
            <w:hideMark/>
          </w:tcPr>
          <w:p w14:paraId="68A611DF"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2. TEVV Tools and Configuration Documentation:</w:t>
            </w:r>
            <w:r w:rsidRPr="009F7E78">
              <w:rPr>
                <w:rFonts w:ascii="Aptos" w:eastAsia="Aptos" w:hAnsi="Aptos" w:cs="Times New Roman"/>
                <w:color w:val="auto"/>
                <w:kern w:val="2"/>
                <w:sz w:val="20"/>
                <w:szCs w:val="20"/>
                <w14:ligatures w14:val="standardContextual"/>
              </w:rPr>
              <w:t xml:space="preserve"> The documentation of tools used during TEVV includes details on the software packages, libraries, frameworks, and hardware components employed, specifying their versions, configurations, and implemented customizations. The organization confirms that the tools and their configurations are appropriate for the specific AI system and its intended use case.</w:t>
            </w:r>
          </w:p>
        </w:tc>
      </w:tr>
      <w:tr w:rsidR="009F7E78" w:rsidRPr="009F7E78" w14:paraId="4C9A59E1" w14:textId="77777777" w:rsidTr="00F85994">
        <w:trPr>
          <w:trHeight w:val="1450"/>
        </w:trPr>
        <w:tc>
          <w:tcPr>
            <w:tcW w:w="1040" w:type="dxa"/>
            <w:hideMark/>
          </w:tcPr>
          <w:p w14:paraId="4EF8B35D"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EDA000"/>
            <w:hideMark/>
          </w:tcPr>
          <w:p w14:paraId="3605DC04"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MS-2.1.3</w:t>
            </w:r>
          </w:p>
        </w:tc>
        <w:tc>
          <w:tcPr>
            <w:tcW w:w="10420" w:type="dxa"/>
            <w:hideMark/>
          </w:tcPr>
          <w:p w14:paraId="19D64824"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Centralized TEVV Repository and Access:</w:t>
            </w:r>
            <w:r w:rsidRPr="009F7E78">
              <w:rPr>
                <w:rFonts w:ascii="Aptos" w:eastAsia="Aptos" w:hAnsi="Aptos" w:cs="Times New Roman"/>
                <w:color w:val="auto"/>
                <w:kern w:val="2"/>
                <w:sz w:val="20"/>
                <w:szCs w:val="20"/>
                <w14:ligatures w14:val="standardContextual"/>
              </w:rPr>
              <w:t xml:space="preserve"> The organization maintains a centralized repository for TEVV documentation, promoting accessibility to relevant stakeholders and enabling updates and version control as the AI system evolves. The repository is organized to facilitate efficient retrieval and review of TEVV documentation, and access controls are implemented to ensure data security and privacy.</w:t>
            </w:r>
          </w:p>
        </w:tc>
      </w:tr>
      <w:tr w:rsidR="009F7E78" w:rsidRPr="009F7E78" w14:paraId="23587F5A" w14:textId="77777777" w:rsidTr="00F85994">
        <w:trPr>
          <w:trHeight w:val="870"/>
        </w:trPr>
        <w:tc>
          <w:tcPr>
            <w:tcW w:w="1040" w:type="dxa"/>
            <w:hideMark/>
          </w:tcPr>
          <w:p w14:paraId="5876ED8B"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S</w:t>
            </w:r>
          </w:p>
        </w:tc>
        <w:tc>
          <w:tcPr>
            <w:tcW w:w="1180" w:type="dxa"/>
            <w:shd w:val="clear" w:color="auto" w:fill="EDA000"/>
            <w:hideMark/>
          </w:tcPr>
          <w:p w14:paraId="6583E168"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MS-2.2</w:t>
            </w:r>
          </w:p>
        </w:tc>
        <w:tc>
          <w:tcPr>
            <w:tcW w:w="10420" w:type="dxa"/>
            <w:hideMark/>
          </w:tcPr>
          <w:p w14:paraId="0F6B52E9"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Evaluating AI Systems on Human Subjects:</w:t>
            </w:r>
            <w:r w:rsidRPr="009F7E78">
              <w:rPr>
                <w:rFonts w:ascii="Aptos" w:eastAsia="Aptos" w:hAnsi="Aptos" w:cs="Times New Roman"/>
                <w:color w:val="auto"/>
                <w:kern w:val="2"/>
                <w:sz w:val="20"/>
                <w:szCs w:val="20"/>
                <w14:ligatures w14:val="standardContextual"/>
              </w:rPr>
              <w:t xml:space="preserve"> Evaluations involving human subjects meet applicable requirements (including human subject protection) and are representative of the relevant population.</w:t>
            </w:r>
          </w:p>
        </w:tc>
      </w:tr>
      <w:tr w:rsidR="009F7E78" w:rsidRPr="009F7E78" w14:paraId="0F8A9566" w14:textId="77777777" w:rsidTr="00F85994">
        <w:trPr>
          <w:trHeight w:val="2610"/>
        </w:trPr>
        <w:tc>
          <w:tcPr>
            <w:tcW w:w="1040" w:type="dxa"/>
            <w:hideMark/>
          </w:tcPr>
          <w:p w14:paraId="151A56D8"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EDA000"/>
            <w:hideMark/>
          </w:tcPr>
          <w:p w14:paraId="2E826A52"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MS-2.2.1</w:t>
            </w:r>
          </w:p>
        </w:tc>
        <w:tc>
          <w:tcPr>
            <w:tcW w:w="10420" w:type="dxa"/>
            <w:hideMark/>
          </w:tcPr>
          <w:p w14:paraId="5C359B10"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Human Subject Use and Consent:</w:t>
            </w:r>
            <w:r w:rsidRPr="009F7E78">
              <w:rPr>
                <w:rFonts w:ascii="Aptos" w:eastAsia="Aptos" w:hAnsi="Aptos" w:cs="Times New Roman"/>
                <w:color w:val="auto"/>
                <w:kern w:val="2"/>
                <w:sz w:val="20"/>
                <w:szCs w:val="20"/>
                <w14:ligatures w14:val="standardContextual"/>
              </w:rPr>
              <w:t xml:space="preserve"> The organization conducts evaluations involving human subjects—potentially including focus groups, small group studies, UI/UX research, surveys for publications, structured experiments, large-scale A/B testing, or extensive human data collection—in compliance with relevant laws, regulations, guidelines, and organizational policies. It ensures clear communication of the purpose, nature, risks, and benefits to participants, protection of any human-subjects data, and obtaining informed consent prior to participation. The organization documents the specific requirements followed, the consent procedures used, and the nature of the research to ensure transparency and adherence to standards.</w:t>
            </w:r>
          </w:p>
        </w:tc>
      </w:tr>
      <w:tr w:rsidR="009F7E78" w:rsidRPr="009F7E78" w14:paraId="34C3AD40" w14:textId="77777777" w:rsidTr="00F85994">
        <w:trPr>
          <w:trHeight w:val="1450"/>
        </w:trPr>
        <w:tc>
          <w:tcPr>
            <w:tcW w:w="1040" w:type="dxa"/>
            <w:hideMark/>
          </w:tcPr>
          <w:p w14:paraId="529222B3"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EDA000"/>
            <w:hideMark/>
          </w:tcPr>
          <w:p w14:paraId="4B4A1327"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MS-2.2.2</w:t>
            </w:r>
          </w:p>
        </w:tc>
        <w:tc>
          <w:tcPr>
            <w:tcW w:w="10420" w:type="dxa"/>
            <w:hideMark/>
          </w:tcPr>
          <w:p w14:paraId="73CDAF1C"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Representation and Recruitment Process:</w:t>
            </w:r>
            <w:r w:rsidRPr="009F7E78">
              <w:rPr>
                <w:rFonts w:ascii="Aptos" w:eastAsia="Aptos" w:hAnsi="Aptos" w:cs="Times New Roman"/>
                <w:color w:val="auto"/>
                <w:kern w:val="2"/>
                <w:sz w:val="20"/>
                <w:szCs w:val="20"/>
                <w14:ligatures w14:val="standardContextual"/>
              </w:rPr>
              <w:t xml:space="preserve"> The organization takes steps to ensure human subjects involved in AI system evaluations are sufficiently representative of the relevant population. It documents the recruitment and selection process used, including the criteria applied to promote a balanced and representative sample. The organization acknowledges limitations or potential biases in the subject population that could not be fully addressed.</w:t>
            </w:r>
          </w:p>
        </w:tc>
      </w:tr>
      <w:tr w:rsidR="009F7E78" w:rsidRPr="009F7E78" w14:paraId="018F7D77" w14:textId="77777777" w:rsidTr="00F85994">
        <w:trPr>
          <w:trHeight w:val="2030"/>
        </w:trPr>
        <w:tc>
          <w:tcPr>
            <w:tcW w:w="1040" w:type="dxa"/>
            <w:hideMark/>
          </w:tcPr>
          <w:p w14:paraId="51DA2F44"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EDA000"/>
            <w:hideMark/>
          </w:tcPr>
          <w:p w14:paraId="3A541454"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MS-2.2.3</w:t>
            </w:r>
          </w:p>
        </w:tc>
        <w:tc>
          <w:tcPr>
            <w:tcW w:w="10420" w:type="dxa"/>
            <w:hideMark/>
          </w:tcPr>
          <w:p w14:paraId="469C9F13"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Adverse Event Monitoring and Review:</w:t>
            </w:r>
            <w:r w:rsidRPr="009F7E78">
              <w:rPr>
                <w:rFonts w:ascii="Aptos" w:eastAsia="Aptos" w:hAnsi="Aptos" w:cs="Times New Roman"/>
                <w:color w:val="auto"/>
                <w:kern w:val="2"/>
                <w:sz w:val="20"/>
                <w:szCs w:val="20"/>
                <w14:ligatures w14:val="standardContextual"/>
              </w:rPr>
              <w:t xml:space="preserve"> The organization has procedures in place to monitor for and document adverse events or unintended consequences experienced by human subjects during the evaluation process, such as errors in testing or negative impacts. It takes appropriate measures to address and mitigate these issues when they occur. The organization conducts post-evaluation reviews to identify lessons learned from any adverse events in order to drive improvements to its human subject evaluation practices.</w:t>
            </w:r>
          </w:p>
        </w:tc>
      </w:tr>
      <w:tr w:rsidR="009F7E78" w:rsidRPr="009F7E78" w14:paraId="320433E8" w14:textId="77777777" w:rsidTr="00F85994">
        <w:trPr>
          <w:trHeight w:val="870"/>
        </w:trPr>
        <w:tc>
          <w:tcPr>
            <w:tcW w:w="1040" w:type="dxa"/>
            <w:hideMark/>
          </w:tcPr>
          <w:p w14:paraId="78CCDE5F"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lastRenderedPageBreak/>
              <w:t>S</w:t>
            </w:r>
          </w:p>
        </w:tc>
        <w:tc>
          <w:tcPr>
            <w:tcW w:w="1180" w:type="dxa"/>
            <w:shd w:val="clear" w:color="auto" w:fill="EDA000"/>
            <w:hideMark/>
          </w:tcPr>
          <w:p w14:paraId="667BDFCA"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MS-2.3</w:t>
            </w:r>
          </w:p>
        </w:tc>
        <w:tc>
          <w:tcPr>
            <w:tcW w:w="10420" w:type="dxa"/>
            <w:hideMark/>
          </w:tcPr>
          <w:p w14:paraId="394548BC"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Ensuring Realistic Measurement:</w:t>
            </w:r>
            <w:r w:rsidRPr="009F7E78">
              <w:rPr>
                <w:rFonts w:ascii="Aptos" w:eastAsia="Aptos" w:hAnsi="Aptos" w:cs="Times New Roman"/>
                <w:color w:val="auto"/>
                <w:kern w:val="2"/>
                <w:sz w:val="20"/>
                <w:szCs w:val="20"/>
                <w14:ligatures w14:val="standardContextual"/>
              </w:rPr>
              <w:t xml:space="preserve"> AI system performance or assurance criteria are measured qualitatively or quantitatively and demonstrated for conditions similar to deployment setting(s). Measures are documented.</w:t>
            </w:r>
          </w:p>
        </w:tc>
      </w:tr>
      <w:tr w:rsidR="009F7E78" w:rsidRPr="009F7E78" w14:paraId="408ED5C3" w14:textId="77777777" w:rsidTr="00F85994">
        <w:trPr>
          <w:trHeight w:val="2030"/>
        </w:trPr>
        <w:tc>
          <w:tcPr>
            <w:tcW w:w="1040" w:type="dxa"/>
            <w:hideMark/>
          </w:tcPr>
          <w:p w14:paraId="66481C6D"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EDA000"/>
            <w:hideMark/>
          </w:tcPr>
          <w:p w14:paraId="777776EF"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MS-2.3.1</w:t>
            </w:r>
          </w:p>
        </w:tc>
        <w:tc>
          <w:tcPr>
            <w:tcW w:w="10420" w:type="dxa"/>
            <w:hideMark/>
          </w:tcPr>
          <w:p w14:paraId="3D1A99E6"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Performance and Assurance Criteria:</w:t>
            </w:r>
            <w:r w:rsidRPr="009F7E78">
              <w:rPr>
                <w:rFonts w:ascii="Aptos" w:eastAsia="Aptos" w:hAnsi="Aptos" w:cs="Times New Roman"/>
                <w:color w:val="auto"/>
                <w:kern w:val="2"/>
                <w:sz w:val="20"/>
                <w:szCs w:val="20"/>
                <w14:ligatures w14:val="standardContextual"/>
              </w:rPr>
              <w:t xml:space="preserve"> The organization defines clear performance and assurance criteria for its AI systems that are tailored to the specific intended use cases, deployment settings, and stakeholder expectations associated with each system. The organization engages a range of relevant stakeholders to review and validate that the selected measures are appropriate and meaningful for assessing the system in its real-world context of use. The stakeholder engagement process and key feedback are documented.</w:t>
            </w:r>
          </w:p>
        </w:tc>
      </w:tr>
      <w:tr w:rsidR="009F7E78" w:rsidRPr="009F7E78" w14:paraId="0B56463E" w14:textId="77777777" w:rsidTr="00F85994">
        <w:trPr>
          <w:trHeight w:val="2320"/>
        </w:trPr>
        <w:tc>
          <w:tcPr>
            <w:tcW w:w="1040" w:type="dxa"/>
            <w:hideMark/>
          </w:tcPr>
          <w:p w14:paraId="42AB5F13"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EDA000"/>
            <w:hideMark/>
          </w:tcPr>
          <w:p w14:paraId="436B2F73"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MS-2.3.2</w:t>
            </w:r>
          </w:p>
        </w:tc>
        <w:tc>
          <w:tcPr>
            <w:tcW w:w="10420" w:type="dxa"/>
            <w:hideMark/>
          </w:tcPr>
          <w:p w14:paraId="02081690"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Measurement Methods and Results:</w:t>
            </w:r>
            <w:r w:rsidRPr="009F7E78">
              <w:rPr>
                <w:rFonts w:ascii="Aptos" w:eastAsia="Aptos" w:hAnsi="Aptos" w:cs="Times New Roman"/>
                <w:color w:val="auto"/>
                <w:kern w:val="2"/>
                <w:sz w:val="20"/>
                <w:szCs w:val="20"/>
                <w14:ligatures w14:val="standardContextual"/>
              </w:rPr>
              <w:t xml:space="preserve"> The organization selects and applies a combination of quantitative and qualitative measurement methods to rigorously evaluate each AI system's performance and assurance characteristics, based on the specific criteria defined for that system. Quantitative measures may include established metrics appropriate for regression, time-series, classification, information retrieval, clustering, dimensional reduction, natural language processing or other tasks. Qualitative measures may include user feedback, expert reviews, and assessments of explainability, usability and accessibility. The measurement approaches and results are documented.</w:t>
            </w:r>
          </w:p>
        </w:tc>
      </w:tr>
      <w:tr w:rsidR="009F7E78" w:rsidRPr="009F7E78" w14:paraId="7E84CA05" w14:textId="77777777" w:rsidTr="00F85994">
        <w:trPr>
          <w:trHeight w:val="1740"/>
        </w:trPr>
        <w:tc>
          <w:tcPr>
            <w:tcW w:w="1040" w:type="dxa"/>
            <w:hideMark/>
          </w:tcPr>
          <w:p w14:paraId="07D16749"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EDA000"/>
            <w:hideMark/>
          </w:tcPr>
          <w:p w14:paraId="07740CD1"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MS-2.3.3</w:t>
            </w:r>
          </w:p>
        </w:tc>
        <w:tc>
          <w:tcPr>
            <w:tcW w:w="10420" w:type="dxa"/>
            <w:hideMark/>
          </w:tcPr>
          <w:p w14:paraId="0A1C6614"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Performance Analysis and Trends:</w:t>
            </w:r>
            <w:r w:rsidRPr="009F7E78">
              <w:rPr>
                <w:rFonts w:ascii="Aptos" w:eastAsia="Aptos" w:hAnsi="Aptos" w:cs="Times New Roman"/>
                <w:color w:val="auto"/>
                <w:kern w:val="2"/>
                <w:sz w:val="20"/>
                <w:szCs w:val="20"/>
                <w14:ligatures w14:val="standardContextual"/>
              </w:rPr>
              <w:t xml:space="preserve"> The organization analyzes the quantitative and qualitative measurement methods and results used to evaluate AI system performance and assurance across its AI systems. It identifies patterns, trends, and outliers in the results to pinpoint areas for improvement in its AI system measurement practices. The organization documents how its measurement approaches and results evolve over time, using these insights to drive continuous improvement.</w:t>
            </w:r>
          </w:p>
        </w:tc>
      </w:tr>
      <w:tr w:rsidR="009F7E78" w:rsidRPr="009F7E78" w14:paraId="6C2589C6" w14:textId="77777777" w:rsidTr="00F85994">
        <w:trPr>
          <w:trHeight w:val="1740"/>
        </w:trPr>
        <w:tc>
          <w:tcPr>
            <w:tcW w:w="1040" w:type="dxa"/>
            <w:hideMark/>
          </w:tcPr>
          <w:p w14:paraId="47471EAD"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EDA000"/>
            <w:hideMark/>
          </w:tcPr>
          <w:p w14:paraId="0E70A559"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MS-2.3.4</w:t>
            </w:r>
          </w:p>
        </w:tc>
        <w:tc>
          <w:tcPr>
            <w:tcW w:w="10420" w:type="dxa"/>
            <w:hideMark/>
          </w:tcPr>
          <w:p w14:paraId="1283FA49"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Performance Under Realistic Conditions:</w:t>
            </w:r>
            <w:r w:rsidRPr="009F7E78">
              <w:rPr>
                <w:rFonts w:ascii="Aptos" w:eastAsia="Aptos" w:hAnsi="Aptos" w:cs="Times New Roman"/>
                <w:color w:val="auto"/>
                <w:kern w:val="2"/>
                <w:sz w:val="20"/>
                <w:szCs w:val="20"/>
                <w14:ligatures w14:val="standardContextual"/>
              </w:rPr>
              <w:t xml:space="preserve"> The organization demonstrates and documents AI system performance and assurance under realistic conditions that closely approximate the intended deployment settings. Key factors, such as data quality, user interactions, and environmental variables, are considered. Limitations in replicating the deployment environment are documented and communicated to stakeholders, along with plans to address them.</w:t>
            </w:r>
          </w:p>
        </w:tc>
      </w:tr>
      <w:tr w:rsidR="009F7E78" w:rsidRPr="009F7E78" w14:paraId="573109F2" w14:textId="77777777" w:rsidTr="00F85994">
        <w:trPr>
          <w:trHeight w:val="580"/>
        </w:trPr>
        <w:tc>
          <w:tcPr>
            <w:tcW w:w="1040" w:type="dxa"/>
            <w:hideMark/>
          </w:tcPr>
          <w:p w14:paraId="7723672A"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S</w:t>
            </w:r>
          </w:p>
        </w:tc>
        <w:tc>
          <w:tcPr>
            <w:tcW w:w="1180" w:type="dxa"/>
            <w:shd w:val="clear" w:color="auto" w:fill="EDA000"/>
            <w:hideMark/>
          </w:tcPr>
          <w:p w14:paraId="2439A860"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MS-2.4</w:t>
            </w:r>
          </w:p>
        </w:tc>
        <w:tc>
          <w:tcPr>
            <w:tcW w:w="10420" w:type="dxa"/>
            <w:hideMark/>
          </w:tcPr>
          <w:p w14:paraId="52FD36ED"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Monitoring Deployed AI Systems:</w:t>
            </w:r>
            <w:r w:rsidRPr="009F7E78">
              <w:rPr>
                <w:rFonts w:ascii="Aptos" w:eastAsia="Aptos" w:hAnsi="Aptos" w:cs="Times New Roman"/>
                <w:color w:val="auto"/>
                <w:kern w:val="2"/>
                <w:sz w:val="20"/>
                <w:szCs w:val="20"/>
                <w14:ligatures w14:val="standardContextual"/>
              </w:rPr>
              <w:t xml:space="preserve"> The functionality and behavior of the AI system and its components – as identified in the MAP function – are monitored when in production.</w:t>
            </w:r>
          </w:p>
        </w:tc>
      </w:tr>
      <w:tr w:rsidR="009F7E78" w:rsidRPr="009F7E78" w14:paraId="522CDFA3" w14:textId="77777777" w:rsidTr="00F85994">
        <w:trPr>
          <w:trHeight w:val="1450"/>
        </w:trPr>
        <w:tc>
          <w:tcPr>
            <w:tcW w:w="1040" w:type="dxa"/>
            <w:hideMark/>
          </w:tcPr>
          <w:p w14:paraId="0F577FAE"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EDA000"/>
            <w:hideMark/>
          </w:tcPr>
          <w:p w14:paraId="2AC9E5DE"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MS-2.4.1</w:t>
            </w:r>
          </w:p>
        </w:tc>
        <w:tc>
          <w:tcPr>
            <w:tcW w:w="10420" w:type="dxa"/>
            <w:hideMark/>
          </w:tcPr>
          <w:p w14:paraId="1E843D35"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AI Monitoring and Anomaly Detection:</w:t>
            </w:r>
            <w:r w:rsidRPr="009F7E78">
              <w:rPr>
                <w:rFonts w:ascii="Aptos" w:eastAsia="Aptos" w:hAnsi="Aptos" w:cs="Times New Roman"/>
                <w:color w:val="auto"/>
                <w:kern w:val="2"/>
                <w:sz w:val="20"/>
                <w:szCs w:val="20"/>
                <w14:ligatures w14:val="standardContextual"/>
              </w:rPr>
              <w:t xml:space="preserve"> The organization monitors the functionality, reliability, and behavior of the AI system and its components in production, as identified during the MAP function. It implements both manual and automated monitoring tools and processes, including statistical quality control (SQC) approaches, to continuously gather data, alerting stakeholders to any deviations or anomalies.</w:t>
            </w:r>
          </w:p>
        </w:tc>
      </w:tr>
      <w:tr w:rsidR="009F7E78" w:rsidRPr="009F7E78" w14:paraId="0AB7928F" w14:textId="77777777" w:rsidTr="00F85994">
        <w:trPr>
          <w:trHeight w:val="2030"/>
        </w:trPr>
        <w:tc>
          <w:tcPr>
            <w:tcW w:w="1040" w:type="dxa"/>
            <w:hideMark/>
          </w:tcPr>
          <w:p w14:paraId="1E8C51B3"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lastRenderedPageBreak/>
              <w:t>CO</w:t>
            </w:r>
          </w:p>
        </w:tc>
        <w:tc>
          <w:tcPr>
            <w:tcW w:w="1180" w:type="dxa"/>
            <w:shd w:val="clear" w:color="auto" w:fill="EDA000"/>
            <w:hideMark/>
          </w:tcPr>
          <w:p w14:paraId="0826FF92"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MS-2.4.2</w:t>
            </w:r>
          </w:p>
        </w:tc>
        <w:tc>
          <w:tcPr>
            <w:tcW w:w="10420" w:type="dxa"/>
            <w:hideMark/>
          </w:tcPr>
          <w:p w14:paraId="5B2738B6"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Performance Tracking and Improvement:</w:t>
            </w:r>
            <w:r w:rsidRPr="009F7E78">
              <w:rPr>
                <w:rFonts w:ascii="Aptos" w:eastAsia="Aptos" w:hAnsi="Aptos" w:cs="Times New Roman"/>
                <w:color w:val="auto"/>
                <w:kern w:val="2"/>
                <w:sz w:val="20"/>
                <w:szCs w:val="20"/>
                <w14:ligatures w14:val="standardContextual"/>
              </w:rPr>
              <w:t xml:space="preserve"> The organization systematically analyzes production data to track system performance and reliability over time, comparing real-world metrics against pre-deployment expectations. This analysis includes evaluating error propagation, identifying feedback loop risks, and assessing whether the AI system is adapting appropriately to changing conditions, using statistical quality control methods to detect shifts, trends, and assignable causes. Findings from these evaluations inform iterative improvements.</w:t>
            </w:r>
          </w:p>
        </w:tc>
      </w:tr>
      <w:tr w:rsidR="009F7E78" w:rsidRPr="009F7E78" w14:paraId="538B78B6" w14:textId="77777777" w:rsidTr="00F85994">
        <w:trPr>
          <w:trHeight w:val="1740"/>
        </w:trPr>
        <w:tc>
          <w:tcPr>
            <w:tcW w:w="1040" w:type="dxa"/>
            <w:hideMark/>
          </w:tcPr>
          <w:p w14:paraId="3F7E35C4"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EDA000"/>
            <w:hideMark/>
          </w:tcPr>
          <w:p w14:paraId="67E1746C"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MS-2.4.3</w:t>
            </w:r>
          </w:p>
        </w:tc>
        <w:tc>
          <w:tcPr>
            <w:tcW w:w="10420" w:type="dxa"/>
            <w:hideMark/>
          </w:tcPr>
          <w:p w14:paraId="4F3C335E"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AI Monitoring Integration:</w:t>
            </w:r>
            <w:r w:rsidRPr="009F7E78">
              <w:rPr>
                <w:rFonts w:ascii="Aptos" w:eastAsia="Aptos" w:hAnsi="Aptos" w:cs="Times New Roman"/>
                <w:color w:val="auto"/>
                <w:kern w:val="2"/>
                <w:sz w:val="20"/>
                <w:szCs w:val="20"/>
                <w14:ligatures w14:val="standardContextual"/>
              </w:rPr>
              <w:t xml:space="preserve"> The organization integrates AI-specific monitoring activities with its broader system-wide monitoring framework. AI-related performance and reliability metrics, anomaly detection signals, decision logs, and statistical quality control indicators are incorporated into existing monitoring platforms and operational dashboards. This allows AI-related alerts to be contextualized alongside other system indicators, enabling a holistic response to incidents.</w:t>
            </w:r>
          </w:p>
        </w:tc>
      </w:tr>
      <w:tr w:rsidR="009F7E78" w:rsidRPr="009F7E78" w14:paraId="20A397BD" w14:textId="77777777" w:rsidTr="00F85994">
        <w:trPr>
          <w:trHeight w:val="2030"/>
        </w:trPr>
        <w:tc>
          <w:tcPr>
            <w:tcW w:w="1040" w:type="dxa"/>
            <w:hideMark/>
          </w:tcPr>
          <w:p w14:paraId="28A2B69C"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EDA000"/>
            <w:hideMark/>
          </w:tcPr>
          <w:p w14:paraId="05444602"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MS-2.4.4</w:t>
            </w:r>
          </w:p>
        </w:tc>
        <w:tc>
          <w:tcPr>
            <w:tcW w:w="10420" w:type="dxa"/>
            <w:hideMark/>
          </w:tcPr>
          <w:p w14:paraId="273E6B35"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Incident Investigation and Root Cause Analysis:</w:t>
            </w:r>
            <w:r w:rsidRPr="009F7E78">
              <w:rPr>
                <w:rFonts w:ascii="Aptos" w:eastAsia="Aptos" w:hAnsi="Aptos" w:cs="Times New Roman"/>
                <w:color w:val="auto"/>
                <w:kern w:val="2"/>
                <w:sz w:val="20"/>
                <w:szCs w:val="20"/>
                <w14:ligatures w14:val="standardContextual"/>
              </w:rPr>
              <w:t xml:space="preserve"> The organization conducts structured investigations, integrating with existing incident management processes where appropriate, using root cause analysis methodologies when anomalies or failures are detected. These investigations consider factors such as data integrity, model biases, potential unintended consequences, and statistical quality control evidence supporting identified causes. Corrective actions to restore reliability are documented and integrated into future risk mitigation strategies.</w:t>
            </w:r>
          </w:p>
        </w:tc>
      </w:tr>
      <w:tr w:rsidR="009F7E78" w:rsidRPr="009F7E78" w14:paraId="5673B6E3" w14:textId="77777777" w:rsidTr="00F85994">
        <w:trPr>
          <w:trHeight w:val="870"/>
        </w:trPr>
        <w:tc>
          <w:tcPr>
            <w:tcW w:w="1040" w:type="dxa"/>
            <w:hideMark/>
          </w:tcPr>
          <w:p w14:paraId="3F00EC13"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S</w:t>
            </w:r>
          </w:p>
        </w:tc>
        <w:tc>
          <w:tcPr>
            <w:tcW w:w="1180" w:type="dxa"/>
            <w:shd w:val="clear" w:color="auto" w:fill="EDA000"/>
            <w:hideMark/>
          </w:tcPr>
          <w:p w14:paraId="216D7A82"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MS-2.5</w:t>
            </w:r>
          </w:p>
        </w:tc>
        <w:tc>
          <w:tcPr>
            <w:tcW w:w="10420" w:type="dxa"/>
            <w:hideMark/>
          </w:tcPr>
          <w:p w14:paraId="00018C65"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Measuring Validity and Reliability:</w:t>
            </w:r>
            <w:r w:rsidRPr="009F7E78">
              <w:rPr>
                <w:rFonts w:ascii="Aptos" w:eastAsia="Aptos" w:hAnsi="Aptos" w:cs="Times New Roman"/>
                <w:color w:val="auto"/>
                <w:kern w:val="2"/>
                <w:sz w:val="20"/>
                <w:szCs w:val="20"/>
                <w14:ligatures w14:val="standardContextual"/>
              </w:rPr>
              <w:t xml:space="preserve"> The AI system to be deployed is demonstrated to be valid and reliable. Limitations of the generalizability beyond the conditions under which the technology was developed are documented.</w:t>
            </w:r>
          </w:p>
        </w:tc>
      </w:tr>
      <w:tr w:rsidR="009F7E78" w:rsidRPr="009F7E78" w14:paraId="76CF96D2" w14:textId="77777777" w:rsidTr="00F85994">
        <w:trPr>
          <w:trHeight w:val="2030"/>
        </w:trPr>
        <w:tc>
          <w:tcPr>
            <w:tcW w:w="1040" w:type="dxa"/>
            <w:hideMark/>
          </w:tcPr>
          <w:p w14:paraId="303C0526"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EDA000"/>
            <w:hideMark/>
          </w:tcPr>
          <w:p w14:paraId="099E4C9D"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MS-2.5.1</w:t>
            </w:r>
          </w:p>
        </w:tc>
        <w:tc>
          <w:tcPr>
            <w:tcW w:w="10420" w:type="dxa"/>
            <w:hideMark/>
          </w:tcPr>
          <w:p w14:paraId="18EDD34B"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Validation and Reliability Testing Process:</w:t>
            </w:r>
            <w:r w:rsidRPr="009F7E78">
              <w:rPr>
                <w:rFonts w:ascii="Aptos" w:eastAsia="Aptos" w:hAnsi="Aptos" w:cs="Times New Roman"/>
                <w:color w:val="auto"/>
                <w:kern w:val="2"/>
                <w:sz w:val="20"/>
                <w:szCs w:val="20"/>
                <w14:ligatures w14:val="standardContextual"/>
              </w:rPr>
              <w:t xml:space="preserve"> The organization implements a structured validation and reliability testing process that incorporates performance metrics aligned with real-world deployment conditions, including measures for robustness against distribution shifts, stress testing under varying operational scenarios, and adversarial testing, with oversight or input from the MRM program and independent model validation functions. The organization establishes and documents acceptance criteria based on statistical confidence levels.</w:t>
            </w:r>
          </w:p>
        </w:tc>
      </w:tr>
      <w:tr w:rsidR="009F7E78" w:rsidRPr="009F7E78" w14:paraId="5E7D5716" w14:textId="77777777" w:rsidTr="00F85994">
        <w:trPr>
          <w:trHeight w:val="1740"/>
        </w:trPr>
        <w:tc>
          <w:tcPr>
            <w:tcW w:w="1040" w:type="dxa"/>
            <w:hideMark/>
          </w:tcPr>
          <w:p w14:paraId="14D9E76F"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EDA000"/>
            <w:hideMark/>
          </w:tcPr>
          <w:p w14:paraId="06904B98"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MS-2.5.2</w:t>
            </w:r>
          </w:p>
        </w:tc>
        <w:tc>
          <w:tcPr>
            <w:tcW w:w="10420" w:type="dxa"/>
            <w:hideMark/>
          </w:tcPr>
          <w:p w14:paraId="68B0B785"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Validation Results and Improvement:</w:t>
            </w:r>
            <w:r w:rsidRPr="009F7E78">
              <w:rPr>
                <w:rFonts w:ascii="Aptos" w:eastAsia="Aptos" w:hAnsi="Aptos" w:cs="Times New Roman"/>
                <w:color w:val="auto"/>
                <w:kern w:val="2"/>
                <w:sz w:val="20"/>
                <w:szCs w:val="20"/>
                <w14:ligatures w14:val="standardContextual"/>
              </w:rPr>
              <w:t xml:space="preserve"> The organization documents validation results, comparing actual system performance against expected outcomes. This documentation includes model confidence intervals, performance degradation patterns, failure scenarios, and assumptions made during testing, and these outputs are reporting the MRM program and reviewed by model validation functions. The organization continuously refines system components based on identified weaknesses.</w:t>
            </w:r>
          </w:p>
        </w:tc>
      </w:tr>
      <w:tr w:rsidR="009F7E78" w:rsidRPr="009F7E78" w14:paraId="46BD02A8" w14:textId="77777777" w:rsidTr="00F85994">
        <w:trPr>
          <w:trHeight w:val="1450"/>
        </w:trPr>
        <w:tc>
          <w:tcPr>
            <w:tcW w:w="1040" w:type="dxa"/>
            <w:hideMark/>
          </w:tcPr>
          <w:p w14:paraId="0982C4CE"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EDA000"/>
            <w:hideMark/>
          </w:tcPr>
          <w:p w14:paraId="78C4D631"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MS-2.5.3</w:t>
            </w:r>
          </w:p>
        </w:tc>
        <w:tc>
          <w:tcPr>
            <w:tcW w:w="10420" w:type="dxa"/>
            <w:hideMark/>
          </w:tcPr>
          <w:p w14:paraId="325A2152"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Generalization and Bias Assessment:</w:t>
            </w:r>
            <w:r w:rsidRPr="009F7E78">
              <w:rPr>
                <w:rFonts w:ascii="Aptos" w:eastAsia="Aptos" w:hAnsi="Aptos" w:cs="Times New Roman"/>
                <w:color w:val="auto"/>
                <w:kern w:val="2"/>
                <w:sz w:val="20"/>
                <w:szCs w:val="20"/>
                <w14:ligatures w14:val="standardContextual"/>
              </w:rPr>
              <w:t xml:space="preserve"> The organization conducts evaluations to assess how well the AI system generalizes beyond its training conditions, measuring the impact of data variations, shifts in contextual factors, potential biases introduced by unseen inputs, and to establish knowledge limits. Domain expertise is leveraged to interpret results and determine system limitations.</w:t>
            </w:r>
          </w:p>
        </w:tc>
      </w:tr>
      <w:tr w:rsidR="009F7E78" w:rsidRPr="009F7E78" w14:paraId="1A2C358B" w14:textId="77777777" w:rsidTr="00F85994">
        <w:trPr>
          <w:trHeight w:val="1450"/>
        </w:trPr>
        <w:tc>
          <w:tcPr>
            <w:tcW w:w="1040" w:type="dxa"/>
            <w:hideMark/>
          </w:tcPr>
          <w:p w14:paraId="5C1BC5E4"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lastRenderedPageBreak/>
              <w:t>S</w:t>
            </w:r>
          </w:p>
        </w:tc>
        <w:tc>
          <w:tcPr>
            <w:tcW w:w="1180" w:type="dxa"/>
            <w:shd w:val="clear" w:color="auto" w:fill="EDA000"/>
            <w:hideMark/>
          </w:tcPr>
          <w:p w14:paraId="30839405"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MS-2.6</w:t>
            </w:r>
          </w:p>
        </w:tc>
        <w:tc>
          <w:tcPr>
            <w:tcW w:w="10420" w:type="dxa"/>
            <w:hideMark/>
          </w:tcPr>
          <w:p w14:paraId="42D255A3"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Measuring Safety:</w:t>
            </w:r>
            <w:r w:rsidRPr="009F7E78">
              <w:rPr>
                <w:rFonts w:ascii="Aptos" w:eastAsia="Aptos" w:hAnsi="Aptos" w:cs="Times New Roman"/>
                <w:color w:val="auto"/>
                <w:kern w:val="2"/>
                <w:sz w:val="20"/>
                <w:szCs w:val="20"/>
                <w14:ligatures w14:val="standardContextual"/>
              </w:rPr>
              <w:t xml:space="preserve"> The AI system is evaluated regularly for safety risks – as identified in the MAP function. The AI system to be deployed is demonstrated to be safe, its residual negative risk does not exceed the risk tolerance, and it can fail safely, particularly if made to operate beyond its knowledge limits. Safety metrics reflect system reliability and robustness, real-time monitoring, and response times for AI system failures.</w:t>
            </w:r>
          </w:p>
        </w:tc>
      </w:tr>
      <w:tr w:rsidR="009F7E78" w:rsidRPr="009F7E78" w14:paraId="4456128C" w14:textId="77777777" w:rsidTr="00F85994">
        <w:trPr>
          <w:trHeight w:val="1740"/>
        </w:trPr>
        <w:tc>
          <w:tcPr>
            <w:tcW w:w="1040" w:type="dxa"/>
            <w:hideMark/>
          </w:tcPr>
          <w:p w14:paraId="2D0EDB7B"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EDA000"/>
            <w:hideMark/>
          </w:tcPr>
          <w:p w14:paraId="2E06CA30"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MS-2.6.1</w:t>
            </w:r>
          </w:p>
        </w:tc>
        <w:tc>
          <w:tcPr>
            <w:tcW w:w="10420" w:type="dxa"/>
            <w:hideMark/>
          </w:tcPr>
          <w:p w14:paraId="5587585F"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Safety Risk Assessments and Stress Testing:</w:t>
            </w:r>
            <w:r w:rsidRPr="009F7E78">
              <w:rPr>
                <w:rFonts w:ascii="Aptos" w:eastAsia="Aptos" w:hAnsi="Aptos" w:cs="Times New Roman"/>
                <w:color w:val="auto"/>
                <w:kern w:val="2"/>
                <w:sz w:val="20"/>
                <w:szCs w:val="20"/>
                <w14:ligatures w14:val="standardContextual"/>
              </w:rPr>
              <w:t xml:space="preserve"> The organization conducts regular safety risk assessments of its AI systems, focusing on risks identified during the MAP function, including systemic risk to markets or consumers. These assessments include stress testing under various conditions, considering historical system failures in similar domains. The results, including identified safety concerns, failure points, and mitigation strategies, are documented and integrated into the risk management lifecycle.</w:t>
            </w:r>
          </w:p>
        </w:tc>
      </w:tr>
      <w:tr w:rsidR="009F7E78" w:rsidRPr="009F7E78" w14:paraId="65CB58D6" w14:textId="77777777" w:rsidTr="00F85994">
        <w:trPr>
          <w:trHeight w:val="1160"/>
        </w:trPr>
        <w:tc>
          <w:tcPr>
            <w:tcW w:w="1040" w:type="dxa"/>
            <w:hideMark/>
          </w:tcPr>
          <w:p w14:paraId="35125D20"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EDA000"/>
            <w:hideMark/>
          </w:tcPr>
          <w:p w14:paraId="1C8B6D6B"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MS-2.6.2</w:t>
            </w:r>
          </w:p>
        </w:tc>
        <w:tc>
          <w:tcPr>
            <w:tcW w:w="10420" w:type="dxa"/>
            <w:hideMark/>
          </w:tcPr>
          <w:p w14:paraId="2BF15EB7"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Controlled Failures and Fail-Safe Mechanisms:</w:t>
            </w:r>
            <w:r w:rsidRPr="009F7E78">
              <w:rPr>
                <w:rFonts w:ascii="Aptos" w:eastAsia="Aptos" w:hAnsi="Aptos" w:cs="Times New Roman"/>
                <w:color w:val="auto"/>
                <w:kern w:val="2"/>
                <w:sz w:val="20"/>
                <w:szCs w:val="20"/>
                <w14:ligatures w14:val="standardContextual"/>
              </w:rPr>
              <w:t xml:space="preserve"> The organization demonstrates the AI system's ability to operate safely under normal conditions and fail in a controlled manner when exceeding its knowledge limits through scenario-based testing. The organization implements and assesses fail-safe mechanisms to minimize harm.</w:t>
            </w:r>
          </w:p>
        </w:tc>
      </w:tr>
      <w:tr w:rsidR="009F7E78" w:rsidRPr="009F7E78" w14:paraId="3BE1FFB4" w14:textId="77777777" w:rsidTr="00F85994">
        <w:trPr>
          <w:trHeight w:val="580"/>
        </w:trPr>
        <w:tc>
          <w:tcPr>
            <w:tcW w:w="1040" w:type="dxa"/>
            <w:hideMark/>
          </w:tcPr>
          <w:p w14:paraId="451BF916"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S</w:t>
            </w:r>
          </w:p>
        </w:tc>
        <w:tc>
          <w:tcPr>
            <w:tcW w:w="1180" w:type="dxa"/>
            <w:shd w:val="clear" w:color="auto" w:fill="EDA000"/>
            <w:hideMark/>
          </w:tcPr>
          <w:p w14:paraId="5D2F97AF"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MS-2.7</w:t>
            </w:r>
          </w:p>
        </w:tc>
        <w:tc>
          <w:tcPr>
            <w:tcW w:w="10420" w:type="dxa"/>
            <w:hideMark/>
          </w:tcPr>
          <w:p w14:paraId="05DAF47C"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Measuring Security and Resiliency:</w:t>
            </w:r>
            <w:r w:rsidRPr="009F7E78">
              <w:rPr>
                <w:rFonts w:ascii="Aptos" w:eastAsia="Aptos" w:hAnsi="Aptos" w:cs="Times New Roman"/>
                <w:color w:val="auto"/>
                <w:kern w:val="2"/>
                <w:sz w:val="20"/>
                <w:szCs w:val="20"/>
                <w14:ligatures w14:val="standardContextual"/>
              </w:rPr>
              <w:t xml:space="preserve"> AI system security and resilience – as identified in the MAP function – are evaluated and documented.</w:t>
            </w:r>
          </w:p>
        </w:tc>
      </w:tr>
      <w:tr w:rsidR="009F7E78" w:rsidRPr="009F7E78" w14:paraId="6E87B08F" w14:textId="77777777" w:rsidTr="00F85994">
        <w:trPr>
          <w:trHeight w:val="2610"/>
        </w:trPr>
        <w:tc>
          <w:tcPr>
            <w:tcW w:w="1040" w:type="dxa"/>
            <w:hideMark/>
          </w:tcPr>
          <w:p w14:paraId="681B813E"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EDA000"/>
            <w:hideMark/>
          </w:tcPr>
          <w:p w14:paraId="023A1419"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MS-2.7.1</w:t>
            </w:r>
          </w:p>
        </w:tc>
        <w:tc>
          <w:tcPr>
            <w:tcW w:w="10420" w:type="dxa"/>
            <w:hideMark/>
          </w:tcPr>
          <w:p w14:paraId="0921BE21"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Security and Resilience Improvement Process:</w:t>
            </w:r>
            <w:r w:rsidRPr="009F7E78">
              <w:rPr>
                <w:rFonts w:ascii="Aptos" w:eastAsia="Aptos" w:hAnsi="Aptos" w:cs="Times New Roman"/>
                <w:color w:val="auto"/>
                <w:kern w:val="2"/>
                <w:sz w:val="20"/>
                <w:szCs w:val="20"/>
                <w14:ligatures w14:val="standardContextual"/>
              </w:rPr>
              <w:t xml:space="preserve"> he organization maintains a structured approach to AI system security and resilience, integrating with existing security and resilience program processes, ensuring that defenses address AI-specific threats. Regular reviews of AI system security logs, adversarial testing outcomes, historical incident intelligence (including documented misuse such as fraud, extortion, and model reverse-engineering), and current threat intelligence guide refinements in AI system security configurations, access controls, and response protocols. Changes to AI-specific defense mechanisms, model resilience strategies, and failure response protocols are formally documented.</w:t>
            </w:r>
          </w:p>
        </w:tc>
      </w:tr>
      <w:tr w:rsidR="009F7E78" w:rsidRPr="009F7E78" w14:paraId="71340758" w14:textId="77777777" w:rsidTr="00F85994">
        <w:trPr>
          <w:trHeight w:val="1450"/>
        </w:trPr>
        <w:tc>
          <w:tcPr>
            <w:tcW w:w="1040" w:type="dxa"/>
            <w:hideMark/>
          </w:tcPr>
          <w:p w14:paraId="668D541A"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EDA000"/>
            <w:hideMark/>
          </w:tcPr>
          <w:p w14:paraId="56E0453B"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MS-2.7.2</w:t>
            </w:r>
          </w:p>
        </w:tc>
        <w:tc>
          <w:tcPr>
            <w:tcW w:w="10420" w:type="dxa"/>
            <w:hideMark/>
          </w:tcPr>
          <w:p w14:paraId="74CCD5D3"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AI Security and Resilience Testing:</w:t>
            </w:r>
            <w:r w:rsidRPr="009F7E78">
              <w:rPr>
                <w:rFonts w:ascii="Aptos" w:eastAsia="Aptos" w:hAnsi="Aptos" w:cs="Times New Roman"/>
                <w:color w:val="auto"/>
                <w:kern w:val="2"/>
                <w:sz w:val="20"/>
                <w:szCs w:val="20"/>
                <w14:ligatures w14:val="standardContextual"/>
              </w:rPr>
              <w:t xml:space="preserve"> The organization conducts regular security and resilience evaluations for its AI systems, aligning these efforts with risks and vulnerabilities identified during the MAP function. These assessments include red teaming exercises, penetration testing, and stress testing. Findings from these evaluations are documented and used to refine AI-specific and enterprise-wide security strategies.</w:t>
            </w:r>
          </w:p>
        </w:tc>
      </w:tr>
      <w:tr w:rsidR="009F7E78" w:rsidRPr="009F7E78" w14:paraId="7103085A" w14:textId="77777777" w:rsidTr="00F85994">
        <w:trPr>
          <w:trHeight w:val="2030"/>
        </w:trPr>
        <w:tc>
          <w:tcPr>
            <w:tcW w:w="1040" w:type="dxa"/>
            <w:hideMark/>
          </w:tcPr>
          <w:p w14:paraId="740AB95F"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EDA000"/>
            <w:hideMark/>
          </w:tcPr>
          <w:p w14:paraId="5A765BD5"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MS-2.7.3</w:t>
            </w:r>
          </w:p>
        </w:tc>
        <w:tc>
          <w:tcPr>
            <w:tcW w:w="10420" w:type="dxa"/>
            <w:hideMark/>
          </w:tcPr>
          <w:p w14:paraId="09ADF0FE"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Ongoing AI Risk and Threat Assessments:</w:t>
            </w:r>
            <w:r w:rsidRPr="009F7E78">
              <w:rPr>
                <w:rFonts w:ascii="Aptos" w:eastAsia="Aptos" w:hAnsi="Aptos" w:cs="Times New Roman"/>
                <w:color w:val="auto"/>
                <w:kern w:val="2"/>
                <w:sz w:val="20"/>
                <w:szCs w:val="20"/>
                <w14:ligatures w14:val="standardContextual"/>
              </w:rPr>
              <w:t xml:space="preserve"> The organization conducts ongoing reviews of AI system-specific risks and, as warranted by the risk level of the AI system, performs structured assessments tailored for AI systems, such as adversarial role-playing, impact assessments, red-teaming, and chaos testing. These assessments are designed to identify potential failure modes, emergent risks, and content-related challenges (e.g., misinformation, disinformation, deepfakes, tampered content) relevant to the AI context, supporting proactive risk identification and mitigation.</w:t>
            </w:r>
          </w:p>
        </w:tc>
      </w:tr>
      <w:tr w:rsidR="009F7E78" w:rsidRPr="009F7E78" w14:paraId="78DD52CF" w14:textId="77777777" w:rsidTr="00F85994">
        <w:trPr>
          <w:trHeight w:val="1740"/>
        </w:trPr>
        <w:tc>
          <w:tcPr>
            <w:tcW w:w="1040" w:type="dxa"/>
            <w:hideMark/>
          </w:tcPr>
          <w:p w14:paraId="1C645ADC"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lastRenderedPageBreak/>
              <w:t>CO</w:t>
            </w:r>
          </w:p>
        </w:tc>
        <w:tc>
          <w:tcPr>
            <w:tcW w:w="1180" w:type="dxa"/>
            <w:shd w:val="clear" w:color="auto" w:fill="EDA000"/>
            <w:hideMark/>
          </w:tcPr>
          <w:p w14:paraId="50FE6EA1"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MS-2.7.4</w:t>
            </w:r>
          </w:p>
        </w:tc>
        <w:tc>
          <w:tcPr>
            <w:tcW w:w="10420" w:type="dxa"/>
            <w:hideMark/>
          </w:tcPr>
          <w:p w14:paraId="4BE705FB"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Security Metrics and Log Monitoring:</w:t>
            </w:r>
            <w:r w:rsidRPr="009F7E78">
              <w:rPr>
                <w:rFonts w:ascii="Aptos" w:eastAsia="Aptos" w:hAnsi="Aptos" w:cs="Times New Roman"/>
                <w:color w:val="auto"/>
                <w:kern w:val="2"/>
                <w:sz w:val="20"/>
                <w:szCs w:val="20"/>
                <w14:ligatures w14:val="standardContextual"/>
              </w:rPr>
              <w:t xml:space="preserve"> The organization defines and tracks AI security and resilience metrics, ensuring alignment with existing enterprise-wide cybersecurity and IT resilience frameworks. AI-specific security logs and monitoring outputs are integrated into centralized security information and event management (SIEM) systems. Regular audits ensure that AI systems are held to the same security and resilience standards as other critical IT assets.</w:t>
            </w:r>
          </w:p>
        </w:tc>
      </w:tr>
      <w:tr w:rsidR="009F7E78" w:rsidRPr="009F7E78" w14:paraId="7FBC7EA9" w14:textId="77777777" w:rsidTr="00F85994">
        <w:trPr>
          <w:trHeight w:val="580"/>
        </w:trPr>
        <w:tc>
          <w:tcPr>
            <w:tcW w:w="1040" w:type="dxa"/>
            <w:hideMark/>
          </w:tcPr>
          <w:p w14:paraId="5DBECD3A"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S</w:t>
            </w:r>
          </w:p>
        </w:tc>
        <w:tc>
          <w:tcPr>
            <w:tcW w:w="1180" w:type="dxa"/>
            <w:shd w:val="clear" w:color="auto" w:fill="EDA000"/>
            <w:hideMark/>
          </w:tcPr>
          <w:p w14:paraId="7BD417FD"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MS-2.8</w:t>
            </w:r>
          </w:p>
        </w:tc>
        <w:tc>
          <w:tcPr>
            <w:tcW w:w="10420" w:type="dxa"/>
            <w:hideMark/>
          </w:tcPr>
          <w:p w14:paraId="12A930A9"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Measuring Accountability and Transparency:</w:t>
            </w:r>
            <w:r w:rsidRPr="009F7E78">
              <w:rPr>
                <w:rFonts w:ascii="Aptos" w:eastAsia="Aptos" w:hAnsi="Aptos" w:cs="Times New Roman"/>
                <w:color w:val="auto"/>
                <w:kern w:val="2"/>
                <w:sz w:val="20"/>
                <w:szCs w:val="20"/>
                <w14:ligatures w14:val="standardContextual"/>
              </w:rPr>
              <w:t xml:space="preserve"> Risks associated with transparency and accountability – as identified in the MAP function – are examined and documented.</w:t>
            </w:r>
          </w:p>
        </w:tc>
      </w:tr>
      <w:tr w:rsidR="009F7E78" w:rsidRPr="009F7E78" w14:paraId="7E4C45C8" w14:textId="77777777" w:rsidTr="00F85994">
        <w:trPr>
          <w:trHeight w:val="2030"/>
        </w:trPr>
        <w:tc>
          <w:tcPr>
            <w:tcW w:w="1040" w:type="dxa"/>
            <w:hideMark/>
          </w:tcPr>
          <w:p w14:paraId="7D540D3B"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EDA000"/>
            <w:hideMark/>
          </w:tcPr>
          <w:p w14:paraId="1C8C89BF"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MS-2.8.1</w:t>
            </w:r>
          </w:p>
        </w:tc>
        <w:tc>
          <w:tcPr>
            <w:tcW w:w="10420" w:type="dxa"/>
            <w:hideMark/>
          </w:tcPr>
          <w:p w14:paraId="568D1ADC"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AI Transparency and Accountability Evaluation:</w:t>
            </w:r>
            <w:r w:rsidRPr="009F7E78">
              <w:rPr>
                <w:rFonts w:ascii="Aptos" w:eastAsia="Aptos" w:hAnsi="Aptos" w:cs="Times New Roman"/>
                <w:color w:val="auto"/>
                <w:kern w:val="2"/>
                <w:sz w:val="20"/>
                <w:szCs w:val="20"/>
                <w14:ligatures w14:val="standardContextual"/>
              </w:rPr>
              <w:t xml:space="preserve"> The organization assesses AI system transparency and accountability by evaluating the effectiveness of mechanisms that provide clear, accessible information to users, stakeholders, and non-technical actors. This includes reviewing explanations, disclosures, and communication channels, as well as interpretability methods that contextualize technical explainability for human understanding. Findings inform updates to governance policies, training, and user guidance to enhance transparency and facilitate effective oversight and human intervention.</w:t>
            </w:r>
          </w:p>
        </w:tc>
      </w:tr>
      <w:tr w:rsidR="009F7E78" w:rsidRPr="009F7E78" w14:paraId="2EF836C0" w14:textId="77777777" w:rsidTr="00F85994">
        <w:trPr>
          <w:trHeight w:val="2320"/>
        </w:trPr>
        <w:tc>
          <w:tcPr>
            <w:tcW w:w="1040" w:type="dxa"/>
            <w:hideMark/>
          </w:tcPr>
          <w:p w14:paraId="4F1DFE05"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EDA000"/>
            <w:hideMark/>
          </w:tcPr>
          <w:p w14:paraId="4CA6E31A"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MS-2.8.2</w:t>
            </w:r>
          </w:p>
        </w:tc>
        <w:tc>
          <w:tcPr>
            <w:tcW w:w="10420" w:type="dxa"/>
            <w:hideMark/>
          </w:tcPr>
          <w:p w14:paraId="39633BC1"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Metrics for Transparency and Accountability:</w:t>
            </w:r>
            <w:r w:rsidRPr="009F7E78">
              <w:rPr>
                <w:rFonts w:ascii="Aptos" w:eastAsia="Aptos" w:hAnsi="Aptos" w:cs="Times New Roman"/>
                <w:color w:val="auto"/>
                <w:kern w:val="2"/>
                <w:sz w:val="20"/>
                <w:szCs w:val="20"/>
                <w14:ligatures w14:val="standardContextual"/>
              </w:rPr>
              <w:t xml:space="preserve"> The organization establishes and monitors metrics to measure the transparency and accountability of its AI systems, including the effectiveness of explainability features, the clarity of disclosures, and the resolution times for escalated decisions. It also assesses the quality of communication to non-technical stakeholders (e.g., clear explanations, adverse action notices, appeal processes) to ensure information is accessible and meaningful. Regular review of AI system logs and stakeholder feedback helps identify trends and refine accountability mechanisms, supporting effective oversight and human intervention.</w:t>
            </w:r>
          </w:p>
        </w:tc>
      </w:tr>
      <w:tr w:rsidR="009F7E78" w:rsidRPr="009F7E78" w14:paraId="6DD9E6C1" w14:textId="77777777" w:rsidTr="00F85994">
        <w:trPr>
          <w:trHeight w:val="870"/>
        </w:trPr>
        <w:tc>
          <w:tcPr>
            <w:tcW w:w="1040" w:type="dxa"/>
            <w:hideMark/>
          </w:tcPr>
          <w:p w14:paraId="03594336"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S</w:t>
            </w:r>
          </w:p>
        </w:tc>
        <w:tc>
          <w:tcPr>
            <w:tcW w:w="1180" w:type="dxa"/>
            <w:shd w:val="clear" w:color="auto" w:fill="EDA000"/>
            <w:hideMark/>
          </w:tcPr>
          <w:p w14:paraId="127431D5"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MS-2.9</w:t>
            </w:r>
          </w:p>
        </w:tc>
        <w:tc>
          <w:tcPr>
            <w:tcW w:w="10420" w:type="dxa"/>
            <w:hideMark/>
          </w:tcPr>
          <w:p w14:paraId="0EA8693C"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Measuring Interpretability and Explainability:</w:t>
            </w:r>
            <w:r w:rsidRPr="009F7E78">
              <w:rPr>
                <w:rFonts w:ascii="Aptos" w:eastAsia="Aptos" w:hAnsi="Aptos" w:cs="Times New Roman"/>
                <w:color w:val="auto"/>
                <w:kern w:val="2"/>
                <w:sz w:val="20"/>
                <w:szCs w:val="20"/>
                <w14:ligatures w14:val="standardContextual"/>
              </w:rPr>
              <w:t xml:space="preserve"> The AI model is explained, validated, and documented, and AI system output is interpreted within its context – as identified in the MAP function – to inform responsible use and governance.</w:t>
            </w:r>
          </w:p>
        </w:tc>
      </w:tr>
      <w:tr w:rsidR="009F7E78" w:rsidRPr="009F7E78" w14:paraId="7EE850CE" w14:textId="77777777" w:rsidTr="00F85994">
        <w:trPr>
          <w:trHeight w:val="2320"/>
        </w:trPr>
        <w:tc>
          <w:tcPr>
            <w:tcW w:w="1040" w:type="dxa"/>
            <w:hideMark/>
          </w:tcPr>
          <w:p w14:paraId="5B7670A6"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EDA000"/>
            <w:hideMark/>
          </w:tcPr>
          <w:p w14:paraId="69CC77EE"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MS-2.9.1</w:t>
            </w:r>
          </w:p>
        </w:tc>
        <w:tc>
          <w:tcPr>
            <w:tcW w:w="10420" w:type="dxa"/>
            <w:hideMark/>
          </w:tcPr>
          <w:p w14:paraId="6421C751"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Model Explainability and Validation:</w:t>
            </w:r>
            <w:r w:rsidRPr="009F7E78">
              <w:rPr>
                <w:rFonts w:ascii="Aptos" w:eastAsia="Aptos" w:hAnsi="Aptos" w:cs="Times New Roman"/>
                <w:color w:val="auto"/>
                <w:kern w:val="2"/>
                <w:sz w:val="20"/>
                <w:szCs w:val="20"/>
                <w14:ligatures w14:val="standardContextual"/>
              </w:rPr>
              <w:t xml:space="preserve"> The organization provides clear and structured explanations of its AI models (e.g., design choices, training data sources, feature importance, decision pathways) that serve as the underlying reasons behind outcomes. The model validation process includes testing for stability, fairness, and performance across various conditions, with specific attention to potential biases and limitations. The organization employs interpretable models or post-hoc explainability techniques where possible and ensures that AI outputs align with intended policies and AI Trustworthy Principles.</w:t>
            </w:r>
          </w:p>
        </w:tc>
      </w:tr>
      <w:tr w:rsidR="009F7E78" w:rsidRPr="009F7E78" w14:paraId="2F2A9248" w14:textId="77777777" w:rsidTr="00F85994">
        <w:trPr>
          <w:trHeight w:val="2030"/>
        </w:trPr>
        <w:tc>
          <w:tcPr>
            <w:tcW w:w="1040" w:type="dxa"/>
            <w:hideMark/>
          </w:tcPr>
          <w:p w14:paraId="3170DBA2"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EDA000"/>
            <w:hideMark/>
          </w:tcPr>
          <w:p w14:paraId="51A6A5CD"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MS-2.9.2</w:t>
            </w:r>
          </w:p>
        </w:tc>
        <w:tc>
          <w:tcPr>
            <w:tcW w:w="10420" w:type="dxa"/>
            <w:hideMark/>
          </w:tcPr>
          <w:p w14:paraId="01337C0C"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Interpretability and Decision Context:</w:t>
            </w:r>
            <w:r w:rsidRPr="009F7E78">
              <w:rPr>
                <w:rFonts w:ascii="Aptos" w:eastAsia="Aptos" w:hAnsi="Aptos" w:cs="Times New Roman"/>
                <w:color w:val="auto"/>
                <w:kern w:val="2"/>
                <w:sz w:val="20"/>
                <w:szCs w:val="20"/>
                <w14:ligatures w14:val="standardContextual"/>
              </w:rPr>
              <w:t xml:space="preserve"> The organization ensures that AI-generated outputs are interpreted in context, helping users understand how decisions were reached and their potential limitations. Decision rationales are structured to be accessible to technical teams, end-users, and external stakeholders, ensuring they align with the expected use case, audience expertise, and impact considerations. The organization integrates human oversight mechanisms where necessary and leverages explainability testing methods to validate the clarity and effectiveness of AI-generated explanations.</w:t>
            </w:r>
          </w:p>
        </w:tc>
      </w:tr>
      <w:tr w:rsidR="009F7E78" w:rsidRPr="009F7E78" w14:paraId="0F546A53" w14:textId="77777777" w:rsidTr="00F85994">
        <w:trPr>
          <w:trHeight w:val="580"/>
        </w:trPr>
        <w:tc>
          <w:tcPr>
            <w:tcW w:w="1040" w:type="dxa"/>
            <w:hideMark/>
          </w:tcPr>
          <w:p w14:paraId="0F3A974C"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lastRenderedPageBreak/>
              <w:t>S</w:t>
            </w:r>
          </w:p>
        </w:tc>
        <w:tc>
          <w:tcPr>
            <w:tcW w:w="1180" w:type="dxa"/>
            <w:shd w:val="clear" w:color="auto" w:fill="EDA000"/>
            <w:hideMark/>
          </w:tcPr>
          <w:p w14:paraId="55CAF3FF"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MS-2.10</w:t>
            </w:r>
          </w:p>
        </w:tc>
        <w:tc>
          <w:tcPr>
            <w:tcW w:w="10420" w:type="dxa"/>
            <w:hideMark/>
          </w:tcPr>
          <w:p w14:paraId="65FF545D"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Measuring Privacy:</w:t>
            </w:r>
            <w:r w:rsidRPr="009F7E78">
              <w:rPr>
                <w:rFonts w:ascii="Aptos" w:eastAsia="Aptos" w:hAnsi="Aptos" w:cs="Times New Roman"/>
                <w:color w:val="auto"/>
                <w:kern w:val="2"/>
                <w:sz w:val="20"/>
                <w:szCs w:val="20"/>
                <w14:ligatures w14:val="standardContextual"/>
              </w:rPr>
              <w:t xml:space="preserve"> Privacy risk of the AI system – as identified in the MAP function – is examined and documented.</w:t>
            </w:r>
          </w:p>
        </w:tc>
      </w:tr>
      <w:tr w:rsidR="009F7E78" w:rsidRPr="009F7E78" w14:paraId="7E0544A5" w14:textId="77777777" w:rsidTr="00F85994">
        <w:trPr>
          <w:trHeight w:val="2030"/>
        </w:trPr>
        <w:tc>
          <w:tcPr>
            <w:tcW w:w="1040" w:type="dxa"/>
            <w:hideMark/>
          </w:tcPr>
          <w:p w14:paraId="347FB344"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EDA000"/>
            <w:hideMark/>
          </w:tcPr>
          <w:p w14:paraId="220D0BA0"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MS-2.10.1</w:t>
            </w:r>
          </w:p>
        </w:tc>
        <w:tc>
          <w:tcPr>
            <w:tcW w:w="10420" w:type="dxa"/>
            <w:hideMark/>
          </w:tcPr>
          <w:p w14:paraId="6983BD62"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Initial Privacy Risk Assessment:</w:t>
            </w:r>
            <w:r w:rsidRPr="009F7E78">
              <w:rPr>
                <w:rFonts w:ascii="Aptos" w:eastAsia="Aptos" w:hAnsi="Aptos" w:cs="Times New Roman"/>
                <w:color w:val="auto"/>
                <w:kern w:val="2"/>
                <w:sz w:val="20"/>
                <w:szCs w:val="20"/>
                <w14:ligatures w14:val="standardContextual"/>
              </w:rPr>
              <w:t xml:space="preserve"> The organization conducts an initial examination of the privacy risks associated with its AI systems, as identified during the MAP function, and documents the results of this examination, including any identified privacy issues, concerns, or potential violations specific to AI systems. It establishes accountability mechanisms for managing AI-related privacy risks and incidents, such as data breaches or unauthorized access, and assigns clear roles and responsibilities for privacy risk management.</w:t>
            </w:r>
          </w:p>
        </w:tc>
      </w:tr>
      <w:tr w:rsidR="009F7E78" w:rsidRPr="009F7E78" w14:paraId="7170CC81" w14:textId="77777777" w:rsidTr="00F85994">
        <w:trPr>
          <w:trHeight w:val="2320"/>
        </w:trPr>
        <w:tc>
          <w:tcPr>
            <w:tcW w:w="1040" w:type="dxa"/>
            <w:hideMark/>
          </w:tcPr>
          <w:p w14:paraId="2B276B4C"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EDA000"/>
            <w:hideMark/>
          </w:tcPr>
          <w:p w14:paraId="224C181B"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MS-2.10.2</w:t>
            </w:r>
          </w:p>
        </w:tc>
        <w:tc>
          <w:tcPr>
            <w:tcW w:w="10420" w:type="dxa"/>
            <w:hideMark/>
          </w:tcPr>
          <w:p w14:paraId="5C4580F3"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Ongoing AI Privacy Risk Assessment, Monitoring, and Verification:</w:t>
            </w:r>
            <w:r w:rsidRPr="009F7E78">
              <w:rPr>
                <w:rFonts w:ascii="Aptos" w:eastAsia="Aptos" w:hAnsi="Aptos" w:cs="Times New Roman"/>
                <w:color w:val="auto"/>
                <w:kern w:val="2"/>
                <w:sz w:val="20"/>
                <w:szCs w:val="20"/>
                <w14:ligatures w14:val="standardContextual"/>
              </w:rPr>
              <w:t xml:space="preserve"> The organization conducts ongoing privacy risk assessments, and actively monitors and verifies privacy risks throughout the AI lifecycle. This includes techniques such as PIAs, data flow mapping, adversarial testing, and re-identification risk analysis, focusing on risks like re-identification, inadvertent data leaks, or malicious data exfiltration through AI system outputs. These activities evaluate and verify the effectiveness of privacy controls, including anonymization methods, with findings documented and used to continuously improve privacy safeguards and risk management practices.</w:t>
            </w:r>
          </w:p>
        </w:tc>
      </w:tr>
      <w:tr w:rsidR="009F7E78" w:rsidRPr="009F7E78" w14:paraId="41F78A4D" w14:textId="77777777" w:rsidTr="00F85994">
        <w:trPr>
          <w:trHeight w:val="1450"/>
        </w:trPr>
        <w:tc>
          <w:tcPr>
            <w:tcW w:w="1040" w:type="dxa"/>
            <w:hideMark/>
          </w:tcPr>
          <w:p w14:paraId="0F627617"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EDA000"/>
            <w:hideMark/>
          </w:tcPr>
          <w:p w14:paraId="4F590255"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MS-2.10.3</w:t>
            </w:r>
          </w:p>
        </w:tc>
        <w:tc>
          <w:tcPr>
            <w:tcW w:w="10420" w:type="dxa"/>
            <w:hideMark/>
          </w:tcPr>
          <w:p w14:paraId="24BB56A4"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Data Consent and Management:</w:t>
            </w:r>
            <w:r w:rsidRPr="009F7E78">
              <w:rPr>
                <w:rFonts w:ascii="Aptos" w:eastAsia="Aptos" w:hAnsi="Aptos" w:cs="Times New Roman"/>
                <w:color w:val="auto"/>
                <w:kern w:val="2"/>
                <w:sz w:val="20"/>
                <w:szCs w:val="20"/>
                <w14:ligatures w14:val="standardContextual"/>
              </w:rPr>
              <w:t xml:space="preserve"> The organization establishes procedures for tracking and managing data subject consent, including documenting consent statuses, handling data access requests, and ensuring compliance with legal and regulatory requirements. These procedures prevent use of withdrawn or erased data both during training and post-deployment.</w:t>
            </w:r>
          </w:p>
        </w:tc>
      </w:tr>
      <w:tr w:rsidR="009F7E78" w:rsidRPr="009F7E78" w14:paraId="5AAB74F5" w14:textId="77777777" w:rsidTr="00F85994">
        <w:trPr>
          <w:trHeight w:val="580"/>
        </w:trPr>
        <w:tc>
          <w:tcPr>
            <w:tcW w:w="1040" w:type="dxa"/>
            <w:hideMark/>
          </w:tcPr>
          <w:p w14:paraId="508172B4"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S</w:t>
            </w:r>
          </w:p>
        </w:tc>
        <w:tc>
          <w:tcPr>
            <w:tcW w:w="1180" w:type="dxa"/>
            <w:shd w:val="clear" w:color="auto" w:fill="EDA000"/>
            <w:hideMark/>
          </w:tcPr>
          <w:p w14:paraId="111A4F37"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MS-2.11</w:t>
            </w:r>
          </w:p>
        </w:tc>
        <w:tc>
          <w:tcPr>
            <w:tcW w:w="10420" w:type="dxa"/>
            <w:hideMark/>
          </w:tcPr>
          <w:p w14:paraId="395DB311"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Measuring Nondiscrimination:</w:t>
            </w:r>
            <w:r w:rsidRPr="009F7E78">
              <w:rPr>
                <w:rFonts w:ascii="Aptos" w:eastAsia="Aptos" w:hAnsi="Aptos" w:cs="Times New Roman"/>
                <w:color w:val="auto"/>
                <w:kern w:val="2"/>
                <w:sz w:val="20"/>
                <w:szCs w:val="20"/>
                <w14:ligatures w14:val="standardContextual"/>
              </w:rPr>
              <w:t xml:space="preserve"> Fairness and bias – as identified in the MAP function – are evaluated and results are documented.</w:t>
            </w:r>
          </w:p>
        </w:tc>
      </w:tr>
      <w:tr w:rsidR="009F7E78" w:rsidRPr="009F7E78" w14:paraId="6040F7F2" w14:textId="77777777" w:rsidTr="00F85994">
        <w:trPr>
          <w:trHeight w:val="2610"/>
        </w:trPr>
        <w:tc>
          <w:tcPr>
            <w:tcW w:w="1040" w:type="dxa"/>
            <w:hideMark/>
          </w:tcPr>
          <w:p w14:paraId="7EB2B66A"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EDA000"/>
            <w:hideMark/>
          </w:tcPr>
          <w:p w14:paraId="290CF16D"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MS-2.11.1</w:t>
            </w:r>
          </w:p>
        </w:tc>
        <w:tc>
          <w:tcPr>
            <w:tcW w:w="10420" w:type="dxa"/>
            <w:hideMark/>
          </w:tcPr>
          <w:p w14:paraId="7096B23E"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Context-Specific Fairness and Bias Evaluation:</w:t>
            </w:r>
            <w:r w:rsidRPr="009F7E78">
              <w:rPr>
                <w:rFonts w:ascii="Aptos" w:eastAsia="Aptos" w:hAnsi="Aptos" w:cs="Times New Roman"/>
                <w:color w:val="auto"/>
                <w:kern w:val="2"/>
                <w:sz w:val="20"/>
                <w:szCs w:val="20"/>
                <w14:ligatures w14:val="standardContextual"/>
              </w:rPr>
              <w:t xml:space="preserve"> The organization conducts evaluations of fairness and bias in its AI systems, focusing on any regulatory requirements and the risks and potential impacts identified during the MAP function. The organization employs techniques and tools to assess fairness and bias, examining potential sources of bias throughout the AI lifecycle, including systemic bias, statistical and computational bias, and human cognitive bias. Based on the evaluation results, the organization develops and implements strategies to mitigate or manage identified biases and fairness issues. The organization documents the results of its fairness and bias evaluations, including identified issues and mitigation strategies.</w:t>
            </w:r>
          </w:p>
        </w:tc>
      </w:tr>
      <w:tr w:rsidR="009F7E78" w:rsidRPr="009F7E78" w14:paraId="5FAFBDD2" w14:textId="77777777" w:rsidTr="00F85994">
        <w:trPr>
          <w:trHeight w:val="580"/>
        </w:trPr>
        <w:tc>
          <w:tcPr>
            <w:tcW w:w="1040" w:type="dxa"/>
            <w:hideMark/>
          </w:tcPr>
          <w:p w14:paraId="3774EFD5"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S</w:t>
            </w:r>
          </w:p>
        </w:tc>
        <w:tc>
          <w:tcPr>
            <w:tcW w:w="1180" w:type="dxa"/>
            <w:shd w:val="clear" w:color="auto" w:fill="EDA000"/>
            <w:hideMark/>
          </w:tcPr>
          <w:p w14:paraId="1C218DF5"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MS-2.12</w:t>
            </w:r>
          </w:p>
        </w:tc>
        <w:tc>
          <w:tcPr>
            <w:tcW w:w="10420" w:type="dxa"/>
            <w:hideMark/>
          </w:tcPr>
          <w:p w14:paraId="4E4F9FBC"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Measuring Resource Efficiency:</w:t>
            </w:r>
            <w:r w:rsidRPr="009F7E78">
              <w:rPr>
                <w:rFonts w:ascii="Aptos" w:eastAsia="Aptos" w:hAnsi="Aptos" w:cs="Times New Roman"/>
                <w:color w:val="auto"/>
                <w:kern w:val="2"/>
                <w:sz w:val="20"/>
                <w:szCs w:val="20"/>
                <w14:ligatures w14:val="standardContextual"/>
              </w:rPr>
              <w:t xml:space="preserve"> Environmental impact and sustainability of AI model training and management activities – as identified in the MAP function – are assessed and documented.</w:t>
            </w:r>
          </w:p>
        </w:tc>
      </w:tr>
      <w:tr w:rsidR="009F7E78" w:rsidRPr="009F7E78" w14:paraId="0DCB5060" w14:textId="77777777" w:rsidTr="00F85994">
        <w:trPr>
          <w:trHeight w:val="1160"/>
        </w:trPr>
        <w:tc>
          <w:tcPr>
            <w:tcW w:w="1040" w:type="dxa"/>
            <w:hideMark/>
          </w:tcPr>
          <w:p w14:paraId="741208E9"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EDA000"/>
            <w:hideMark/>
          </w:tcPr>
          <w:p w14:paraId="72ECDADD"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MS-2.12.1</w:t>
            </w:r>
          </w:p>
        </w:tc>
        <w:tc>
          <w:tcPr>
            <w:tcW w:w="10420" w:type="dxa"/>
            <w:hideMark/>
          </w:tcPr>
          <w:p w14:paraId="039532D2"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AI Resource Efficiency Assessment:</w:t>
            </w:r>
            <w:r w:rsidRPr="009F7E78">
              <w:rPr>
                <w:rFonts w:ascii="Aptos" w:eastAsia="Aptos" w:hAnsi="Aptos" w:cs="Times New Roman"/>
                <w:color w:val="auto"/>
                <w:kern w:val="2"/>
                <w:sz w:val="20"/>
                <w:szCs w:val="20"/>
                <w14:ligatures w14:val="standardContextual"/>
              </w:rPr>
              <w:t xml:space="preserve"> The organization conducts an assessment of the resource efficiency of its AI systems across their entire lifecycle. This assessment evaluates energy consumption, resource utilization, and the efficiency of AI infrastructure. The results are documented, including identified opportunities for optimization.</w:t>
            </w:r>
          </w:p>
        </w:tc>
      </w:tr>
      <w:tr w:rsidR="009F7E78" w:rsidRPr="009F7E78" w14:paraId="501A9D25" w14:textId="77777777" w:rsidTr="00F85994">
        <w:trPr>
          <w:trHeight w:val="1160"/>
        </w:trPr>
        <w:tc>
          <w:tcPr>
            <w:tcW w:w="1040" w:type="dxa"/>
            <w:hideMark/>
          </w:tcPr>
          <w:p w14:paraId="4BD71B30"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lastRenderedPageBreak/>
              <w:t>CO</w:t>
            </w:r>
          </w:p>
        </w:tc>
        <w:tc>
          <w:tcPr>
            <w:tcW w:w="1180" w:type="dxa"/>
            <w:shd w:val="clear" w:color="auto" w:fill="EDA000"/>
            <w:hideMark/>
          </w:tcPr>
          <w:p w14:paraId="163ACFA4"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MS-2.12.2</w:t>
            </w:r>
          </w:p>
        </w:tc>
        <w:tc>
          <w:tcPr>
            <w:tcW w:w="10420" w:type="dxa"/>
            <w:hideMark/>
          </w:tcPr>
          <w:p w14:paraId="693C79D4"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Metrics and Monitoring of AI Resource Efficiency:</w:t>
            </w:r>
            <w:r w:rsidRPr="009F7E78">
              <w:rPr>
                <w:rFonts w:ascii="Aptos" w:eastAsia="Aptos" w:hAnsi="Aptos" w:cs="Times New Roman"/>
                <w:color w:val="auto"/>
                <w:kern w:val="2"/>
                <w:sz w:val="20"/>
                <w:szCs w:val="20"/>
                <w14:ligatures w14:val="standardContextual"/>
              </w:rPr>
              <w:t xml:space="preserve"> The organization establishes metrics and monitoring processes to track the effectiveness of its AI resource efficiency efforts. It regularly reviews and updates its resource efficiency assessment and optimization strategies based on new data, technologies, and best practices in efficient AI.</w:t>
            </w:r>
          </w:p>
        </w:tc>
      </w:tr>
      <w:tr w:rsidR="009F7E78" w:rsidRPr="009F7E78" w14:paraId="5E4C733F" w14:textId="77777777" w:rsidTr="00F85994">
        <w:trPr>
          <w:trHeight w:val="1160"/>
        </w:trPr>
        <w:tc>
          <w:tcPr>
            <w:tcW w:w="1040" w:type="dxa"/>
            <w:hideMark/>
          </w:tcPr>
          <w:p w14:paraId="280B7A32"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EDA000"/>
            <w:hideMark/>
          </w:tcPr>
          <w:p w14:paraId="5B5B9D44"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MS-2.12.3</w:t>
            </w:r>
          </w:p>
        </w:tc>
        <w:tc>
          <w:tcPr>
            <w:tcW w:w="10420" w:type="dxa"/>
            <w:hideMark/>
          </w:tcPr>
          <w:p w14:paraId="64AD1005"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Optimization Strategies for AI Resource Efficiency:</w:t>
            </w:r>
            <w:r w:rsidRPr="009F7E78">
              <w:rPr>
                <w:rFonts w:ascii="Aptos" w:eastAsia="Aptos" w:hAnsi="Aptos" w:cs="Times New Roman"/>
                <w:color w:val="auto"/>
                <w:kern w:val="2"/>
                <w:sz w:val="20"/>
                <w:szCs w:val="20"/>
                <w14:ligatures w14:val="standardContextual"/>
              </w:rPr>
              <w:t xml:space="preserve"> The organization ensures that the systems continue to deliver value and meet performance objectives through measurement of AI resource efficiency. These strategies consider the specific performance requirements and operational contexts of each AI system.</w:t>
            </w:r>
          </w:p>
        </w:tc>
      </w:tr>
      <w:tr w:rsidR="009F7E78" w:rsidRPr="009F7E78" w14:paraId="74A4D815" w14:textId="77777777" w:rsidTr="00F85994">
        <w:trPr>
          <w:trHeight w:val="580"/>
        </w:trPr>
        <w:tc>
          <w:tcPr>
            <w:tcW w:w="1040" w:type="dxa"/>
            <w:hideMark/>
          </w:tcPr>
          <w:p w14:paraId="35EE1326"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S</w:t>
            </w:r>
          </w:p>
        </w:tc>
        <w:tc>
          <w:tcPr>
            <w:tcW w:w="1180" w:type="dxa"/>
            <w:shd w:val="clear" w:color="auto" w:fill="EDA000"/>
            <w:hideMark/>
          </w:tcPr>
          <w:p w14:paraId="09617BCA"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MS-2.13</w:t>
            </w:r>
          </w:p>
        </w:tc>
        <w:tc>
          <w:tcPr>
            <w:tcW w:w="10420" w:type="dxa"/>
            <w:hideMark/>
          </w:tcPr>
          <w:p w14:paraId="7BD6A5D5"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Measuring AI Metrics:</w:t>
            </w:r>
            <w:r w:rsidRPr="009F7E78">
              <w:rPr>
                <w:rFonts w:ascii="Aptos" w:eastAsia="Aptos" w:hAnsi="Aptos" w:cs="Times New Roman"/>
                <w:color w:val="auto"/>
                <w:kern w:val="2"/>
                <w:sz w:val="20"/>
                <w:szCs w:val="20"/>
                <w14:ligatures w14:val="standardContextual"/>
              </w:rPr>
              <w:t xml:space="preserve"> Effectiveness of the employed TEVV metrics and processes in the MEASURE function are evaluated and documented.</w:t>
            </w:r>
          </w:p>
        </w:tc>
      </w:tr>
      <w:tr w:rsidR="009F7E78" w:rsidRPr="009F7E78" w14:paraId="68AF772A" w14:textId="77777777" w:rsidTr="00F85994">
        <w:trPr>
          <w:trHeight w:val="2320"/>
        </w:trPr>
        <w:tc>
          <w:tcPr>
            <w:tcW w:w="1040" w:type="dxa"/>
            <w:hideMark/>
          </w:tcPr>
          <w:p w14:paraId="730299A2"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EDA000"/>
            <w:hideMark/>
          </w:tcPr>
          <w:p w14:paraId="45CCCD5E"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MS-2.13.1</w:t>
            </w:r>
          </w:p>
        </w:tc>
        <w:tc>
          <w:tcPr>
            <w:tcW w:w="10420" w:type="dxa"/>
            <w:hideMark/>
          </w:tcPr>
          <w:p w14:paraId="5CEF702E"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TEVV Process Review and Continuous Improvement:</w:t>
            </w:r>
            <w:r w:rsidRPr="009F7E78">
              <w:rPr>
                <w:rFonts w:ascii="Aptos" w:eastAsia="Aptos" w:hAnsi="Aptos" w:cs="Times New Roman"/>
                <w:color w:val="auto"/>
                <w:kern w:val="2"/>
                <w:sz w:val="20"/>
                <w:szCs w:val="20"/>
                <w14:ligatures w14:val="standardContextual"/>
              </w:rPr>
              <w:t xml:space="preserve"> The organization schedules regular reviews and continuously monitors and updates its TEVV processes. This ensures accuracy, completeness, and alignment with industry best practices, regulatory requirements, evaluation results, stakeholder feedback, and evolving industry standards. The review process incorporates lessons learned from each iteration and reflects pertinent changes in testing methodologies or tools, with frequency determined by AI system complexity, risk profile, and pace of development. All updates are documented to maintain effectiveness, efficiency, and alignment with AI risk management goals.</w:t>
            </w:r>
          </w:p>
        </w:tc>
      </w:tr>
      <w:tr w:rsidR="009F7E78" w:rsidRPr="009F7E78" w14:paraId="77690A3E" w14:textId="77777777" w:rsidTr="00F85994">
        <w:trPr>
          <w:trHeight w:val="2030"/>
        </w:trPr>
        <w:tc>
          <w:tcPr>
            <w:tcW w:w="1040" w:type="dxa"/>
            <w:hideMark/>
          </w:tcPr>
          <w:p w14:paraId="2E7B7A06"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EDA000"/>
            <w:hideMark/>
          </w:tcPr>
          <w:p w14:paraId="52050402"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MS-2.13.2</w:t>
            </w:r>
          </w:p>
        </w:tc>
        <w:tc>
          <w:tcPr>
            <w:tcW w:w="10420" w:type="dxa"/>
            <w:hideMark/>
          </w:tcPr>
          <w:p w14:paraId="257793AD"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TEVV Metrics Analysis:</w:t>
            </w:r>
            <w:r w:rsidRPr="009F7E78">
              <w:rPr>
                <w:rFonts w:ascii="Aptos" w:eastAsia="Aptos" w:hAnsi="Aptos" w:cs="Times New Roman"/>
                <w:color w:val="auto"/>
                <w:kern w:val="2"/>
                <w:sz w:val="20"/>
                <w:szCs w:val="20"/>
                <w14:ligatures w14:val="standardContextual"/>
              </w:rPr>
              <w:t xml:space="preserve"> The organization regularly evaluates the effectiveness of its TEVV metrics, including trustworthiness characteristics and environmental metrics, and continuously monitors and updates them. It assesses whether these metrics effectively identify and mitigate risks within acceptable levels defined by its risk appetite. Results, strengths, weaknesses, and areas for improvement are documented, and corrective actions are taken to refine the TEVV approach, ensuring continuous improvement and alignment with AI risk management goals.</w:t>
            </w:r>
          </w:p>
        </w:tc>
      </w:tr>
      <w:tr w:rsidR="009F7E78" w:rsidRPr="009F7E78" w14:paraId="2BACE7BE" w14:textId="77777777" w:rsidTr="00F85994">
        <w:trPr>
          <w:trHeight w:val="2320"/>
        </w:trPr>
        <w:tc>
          <w:tcPr>
            <w:tcW w:w="1040" w:type="dxa"/>
            <w:hideMark/>
          </w:tcPr>
          <w:p w14:paraId="13BAE7C9"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EDA000"/>
            <w:hideMark/>
          </w:tcPr>
          <w:p w14:paraId="045AB5DB"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MS-2.13.3</w:t>
            </w:r>
          </w:p>
        </w:tc>
        <w:tc>
          <w:tcPr>
            <w:tcW w:w="10420" w:type="dxa"/>
            <w:hideMark/>
          </w:tcPr>
          <w:p w14:paraId="26FF5000"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Cost-Effectiveness and Optimization of TEVV:</w:t>
            </w:r>
            <w:r w:rsidRPr="009F7E78">
              <w:rPr>
                <w:rFonts w:ascii="Aptos" w:eastAsia="Aptos" w:hAnsi="Aptos" w:cs="Times New Roman"/>
                <w:color w:val="auto"/>
                <w:kern w:val="2"/>
                <w:sz w:val="20"/>
                <w:szCs w:val="20"/>
                <w14:ligatures w14:val="standardContextual"/>
              </w:rPr>
              <w:t xml:space="preserve"> The organization analyzes the efficiency and cost-effectiveness of its TEVV metrics and processes, considering the level of risk associated with each AI system and the potential impact of system failures or performance issues. The organization evaluates the cost of implementing and maintaining each TEVV measure relative to the expected risk reduction benefits it provides, prioritizing investments in the most critical and impactful measures. The results of this analysis, including key cost, risk, and optimization trade-offs, are documented and regularly reviewed to inform ongoing refinements to the organization's TEVV strategy and practices.</w:t>
            </w:r>
          </w:p>
        </w:tc>
      </w:tr>
      <w:tr w:rsidR="009F7E78" w:rsidRPr="009F7E78" w14:paraId="6F5D29E4" w14:textId="77777777" w:rsidTr="00F85994">
        <w:trPr>
          <w:trHeight w:val="290"/>
        </w:trPr>
        <w:tc>
          <w:tcPr>
            <w:tcW w:w="1040" w:type="dxa"/>
            <w:hideMark/>
          </w:tcPr>
          <w:p w14:paraId="23433267"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w:t>
            </w:r>
          </w:p>
        </w:tc>
        <w:tc>
          <w:tcPr>
            <w:tcW w:w="1180" w:type="dxa"/>
            <w:shd w:val="clear" w:color="auto" w:fill="EDA000"/>
            <w:hideMark/>
          </w:tcPr>
          <w:p w14:paraId="63F14CBE"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MS-3</w:t>
            </w:r>
          </w:p>
        </w:tc>
        <w:tc>
          <w:tcPr>
            <w:tcW w:w="10420" w:type="dxa"/>
            <w:hideMark/>
          </w:tcPr>
          <w:p w14:paraId="3B19FF1F"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Tracking AI Risks:</w:t>
            </w:r>
            <w:r w:rsidRPr="009F7E78">
              <w:rPr>
                <w:rFonts w:ascii="Aptos" w:eastAsia="Aptos" w:hAnsi="Aptos" w:cs="Times New Roman"/>
                <w:color w:val="auto"/>
                <w:kern w:val="2"/>
                <w:sz w:val="20"/>
                <w:szCs w:val="20"/>
                <w14:ligatures w14:val="standardContextual"/>
              </w:rPr>
              <w:t xml:space="preserve"> Mechanisms for tracking identified AI risks over time are in place.</w:t>
            </w:r>
          </w:p>
        </w:tc>
      </w:tr>
      <w:tr w:rsidR="009F7E78" w:rsidRPr="009F7E78" w14:paraId="5239EE15" w14:textId="77777777" w:rsidTr="00F85994">
        <w:trPr>
          <w:trHeight w:val="870"/>
        </w:trPr>
        <w:tc>
          <w:tcPr>
            <w:tcW w:w="1040" w:type="dxa"/>
            <w:hideMark/>
          </w:tcPr>
          <w:p w14:paraId="641D03AA"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S</w:t>
            </w:r>
          </w:p>
        </w:tc>
        <w:tc>
          <w:tcPr>
            <w:tcW w:w="1180" w:type="dxa"/>
            <w:shd w:val="clear" w:color="auto" w:fill="EDA000"/>
            <w:hideMark/>
          </w:tcPr>
          <w:p w14:paraId="48228A11"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MS-3.1</w:t>
            </w:r>
          </w:p>
        </w:tc>
        <w:tc>
          <w:tcPr>
            <w:tcW w:w="10420" w:type="dxa"/>
            <w:hideMark/>
          </w:tcPr>
          <w:p w14:paraId="70178AEF"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Tracking Known and Emergent Risks:</w:t>
            </w:r>
            <w:r w:rsidRPr="009F7E78">
              <w:rPr>
                <w:rFonts w:ascii="Aptos" w:eastAsia="Aptos" w:hAnsi="Aptos" w:cs="Times New Roman"/>
                <w:color w:val="auto"/>
                <w:kern w:val="2"/>
                <w:sz w:val="20"/>
                <w:szCs w:val="20"/>
                <w14:ligatures w14:val="standardContextual"/>
              </w:rPr>
              <w:t xml:space="preserve"> Approaches, personnel, and documentation are in place to regularly identify and track existing, unanticipated, and emergent AI risks based on factors such as intended and actual performance in deployed contexts.</w:t>
            </w:r>
          </w:p>
        </w:tc>
      </w:tr>
      <w:tr w:rsidR="009F7E78" w:rsidRPr="009F7E78" w14:paraId="6CA05242" w14:textId="77777777" w:rsidTr="00F85994">
        <w:trPr>
          <w:trHeight w:val="2320"/>
        </w:trPr>
        <w:tc>
          <w:tcPr>
            <w:tcW w:w="1040" w:type="dxa"/>
            <w:hideMark/>
          </w:tcPr>
          <w:p w14:paraId="136F6DD4"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lastRenderedPageBreak/>
              <w:t>CO</w:t>
            </w:r>
          </w:p>
        </w:tc>
        <w:tc>
          <w:tcPr>
            <w:tcW w:w="1180" w:type="dxa"/>
            <w:shd w:val="clear" w:color="auto" w:fill="EDA000"/>
            <w:hideMark/>
          </w:tcPr>
          <w:p w14:paraId="34D51B75"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MS-3.1.1</w:t>
            </w:r>
          </w:p>
        </w:tc>
        <w:tc>
          <w:tcPr>
            <w:tcW w:w="10420" w:type="dxa"/>
            <w:hideMark/>
          </w:tcPr>
          <w:p w14:paraId="6E8B2F3E"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AI Risk Tracking and Resource Allocation:</w:t>
            </w:r>
            <w:r w:rsidRPr="009F7E78">
              <w:rPr>
                <w:rFonts w:ascii="Aptos" w:eastAsia="Aptos" w:hAnsi="Aptos" w:cs="Times New Roman"/>
                <w:color w:val="auto"/>
                <w:kern w:val="2"/>
                <w:sz w:val="20"/>
                <w:szCs w:val="20"/>
                <w14:ligatures w14:val="standardContextual"/>
              </w:rPr>
              <w:t xml:space="preserve"> The organization allocates resources to support an approach for identifying and tracking AI risks. This approach includes monitoring AI system performance, considering the nature of AI risks, and analyzing external factors such as operational environment changes, stakeholder feedback, and industry developments. Resources are allocated to develop and implement AI risk management techniques, addressing opacity and explainability challenges. The organization reviews and adjusts resource allocation to ensure the effectiveness of its AI risk identification and tracking processes, adapting to the evolving regulatory landscape.</w:t>
            </w:r>
          </w:p>
        </w:tc>
      </w:tr>
      <w:tr w:rsidR="009F7E78" w:rsidRPr="009F7E78" w14:paraId="57F4FC63" w14:textId="77777777" w:rsidTr="00F85994">
        <w:trPr>
          <w:trHeight w:val="2030"/>
        </w:trPr>
        <w:tc>
          <w:tcPr>
            <w:tcW w:w="1040" w:type="dxa"/>
            <w:hideMark/>
          </w:tcPr>
          <w:p w14:paraId="5D80AE2D"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EDA000"/>
            <w:hideMark/>
          </w:tcPr>
          <w:p w14:paraId="2CA6EC76"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MS-3.1.2</w:t>
            </w:r>
          </w:p>
        </w:tc>
        <w:tc>
          <w:tcPr>
            <w:tcW w:w="10420" w:type="dxa"/>
            <w:hideMark/>
          </w:tcPr>
          <w:p w14:paraId="1ACA24DD"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AI Risk Documentation and Review:</w:t>
            </w:r>
            <w:r w:rsidRPr="009F7E78">
              <w:rPr>
                <w:rFonts w:ascii="Aptos" w:eastAsia="Aptos" w:hAnsi="Aptos" w:cs="Times New Roman"/>
                <w:color w:val="auto"/>
                <w:kern w:val="2"/>
                <w:sz w:val="20"/>
                <w:szCs w:val="20"/>
                <w14:ligatures w14:val="standardContextual"/>
              </w:rPr>
              <w:t xml:space="preserve"> For each AI system, the organization documents the identified risks, their likelihood and potential impact, and the effectiveness of risk tracking methods employed. The documentation includes methodologies, tools, data sources, and personnel roles and responsibilities. The organization reviews and updates this documentation to reflect changes in the AI system's risk profile and assesses the effectiveness of its risk identification and tracking processes to drive continuous improvement.</w:t>
            </w:r>
          </w:p>
        </w:tc>
      </w:tr>
      <w:tr w:rsidR="009F7E78" w:rsidRPr="009F7E78" w14:paraId="2B564935" w14:textId="77777777" w:rsidTr="00F85994">
        <w:trPr>
          <w:trHeight w:val="870"/>
        </w:trPr>
        <w:tc>
          <w:tcPr>
            <w:tcW w:w="1040" w:type="dxa"/>
            <w:hideMark/>
          </w:tcPr>
          <w:p w14:paraId="6C835474"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S</w:t>
            </w:r>
          </w:p>
        </w:tc>
        <w:tc>
          <w:tcPr>
            <w:tcW w:w="1180" w:type="dxa"/>
            <w:shd w:val="clear" w:color="auto" w:fill="EDA000"/>
            <w:hideMark/>
          </w:tcPr>
          <w:p w14:paraId="054BD4F7"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MS-3.2</w:t>
            </w:r>
          </w:p>
        </w:tc>
        <w:tc>
          <w:tcPr>
            <w:tcW w:w="10420" w:type="dxa"/>
            <w:hideMark/>
          </w:tcPr>
          <w:p w14:paraId="4935ADB8"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Qualitative Risk Tracking:</w:t>
            </w:r>
            <w:r w:rsidRPr="009F7E78">
              <w:rPr>
                <w:rFonts w:ascii="Aptos" w:eastAsia="Aptos" w:hAnsi="Aptos" w:cs="Times New Roman"/>
                <w:color w:val="auto"/>
                <w:kern w:val="2"/>
                <w:sz w:val="20"/>
                <w:szCs w:val="20"/>
                <w14:ligatures w14:val="standardContextual"/>
              </w:rPr>
              <w:t xml:space="preserve"> Risk tracking approaches are considered for settings where AI risks are difficult to assess using currently available measurement techniques or where metrics are not yet available.</w:t>
            </w:r>
          </w:p>
        </w:tc>
      </w:tr>
      <w:tr w:rsidR="009F7E78" w:rsidRPr="009F7E78" w14:paraId="64B425E9" w14:textId="77777777" w:rsidTr="00F85994">
        <w:trPr>
          <w:trHeight w:val="2030"/>
        </w:trPr>
        <w:tc>
          <w:tcPr>
            <w:tcW w:w="1040" w:type="dxa"/>
            <w:hideMark/>
          </w:tcPr>
          <w:p w14:paraId="2843362B"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EDA000"/>
            <w:hideMark/>
          </w:tcPr>
          <w:p w14:paraId="3581E723"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MS-3.2.1</w:t>
            </w:r>
          </w:p>
        </w:tc>
        <w:tc>
          <w:tcPr>
            <w:tcW w:w="10420" w:type="dxa"/>
            <w:hideMark/>
          </w:tcPr>
          <w:p w14:paraId="538D098C"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Measurement Technique Gap Analysis:</w:t>
            </w:r>
            <w:r w:rsidRPr="009F7E78">
              <w:rPr>
                <w:rFonts w:ascii="Aptos" w:eastAsia="Aptos" w:hAnsi="Aptos" w:cs="Times New Roman"/>
                <w:color w:val="auto"/>
                <w:kern w:val="2"/>
                <w:sz w:val="20"/>
                <w:szCs w:val="20"/>
                <w14:ligatures w14:val="standardContextual"/>
              </w:rPr>
              <w:t xml:space="preserve"> The organization identifies AI risk scenarios where current measurement techniques may be unavailable or insufficient, documenting these scenarios and limitations. It explores alternative risk tracking approaches and evaluates the suitability of each approach, considering data availability, interpretability, and the ability to incorporate domain knowledge. The selection of modeling techniques is guided by the AI system's characteristics, the nature of the risks, and risk management objectives. The rationale for the chosen approaches, assumptions, and limitations is documented.</w:t>
            </w:r>
          </w:p>
        </w:tc>
      </w:tr>
      <w:tr w:rsidR="009F7E78" w:rsidRPr="009F7E78" w14:paraId="5DFD6FFB" w14:textId="77777777" w:rsidTr="00F85994">
        <w:trPr>
          <w:trHeight w:val="1450"/>
        </w:trPr>
        <w:tc>
          <w:tcPr>
            <w:tcW w:w="1040" w:type="dxa"/>
            <w:hideMark/>
          </w:tcPr>
          <w:p w14:paraId="6E1F449E"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EDA000"/>
            <w:hideMark/>
          </w:tcPr>
          <w:p w14:paraId="40984D98"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MS-3.2.2</w:t>
            </w:r>
          </w:p>
        </w:tc>
        <w:tc>
          <w:tcPr>
            <w:tcW w:w="10420" w:type="dxa"/>
            <w:hideMark/>
          </w:tcPr>
          <w:p w14:paraId="2DE5A526"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Pilot Studies and Approach Refinement:</w:t>
            </w:r>
            <w:r w:rsidRPr="009F7E78">
              <w:rPr>
                <w:rFonts w:ascii="Aptos" w:eastAsia="Aptos" w:hAnsi="Aptos" w:cs="Times New Roman"/>
                <w:color w:val="auto"/>
                <w:kern w:val="2"/>
                <w:sz w:val="20"/>
                <w:szCs w:val="20"/>
                <w14:ligatures w14:val="standardContextual"/>
              </w:rPr>
              <w:t xml:space="preserve"> The organization conducts pilot studies or proof-of-concept trials to test the feasibility and effectiveness of alternative risk identification and tracking approaches, based on best practices, industry trends, collaborative endeavors, and internal innovation, in real-world settings, documenting lessons learned, limitations encountered, or areas for further refinement.</w:t>
            </w:r>
          </w:p>
        </w:tc>
      </w:tr>
      <w:tr w:rsidR="009F7E78" w:rsidRPr="009F7E78" w14:paraId="585F470B" w14:textId="77777777" w:rsidTr="00F85994">
        <w:trPr>
          <w:trHeight w:val="1160"/>
        </w:trPr>
        <w:tc>
          <w:tcPr>
            <w:tcW w:w="1040" w:type="dxa"/>
            <w:hideMark/>
          </w:tcPr>
          <w:p w14:paraId="5EBDCD78"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EDA000"/>
            <w:hideMark/>
          </w:tcPr>
          <w:p w14:paraId="328053E7"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MS-3.2.3</w:t>
            </w:r>
          </w:p>
        </w:tc>
        <w:tc>
          <w:tcPr>
            <w:tcW w:w="10420" w:type="dxa"/>
            <w:hideMark/>
          </w:tcPr>
          <w:p w14:paraId="001FA08F"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Long-term Impact Evaluation Framework:</w:t>
            </w:r>
            <w:r w:rsidRPr="009F7E78">
              <w:rPr>
                <w:rFonts w:ascii="Aptos" w:eastAsia="Aptos" w:hAnsi="Aptos" w:cs="Times New Roman"/>
                <w:color w:val="auto"/>
                <w:kern w:val="2"/>
                <w:sz w:val="20"/>
                <w:szCs w:val="20"/>
                <w14:ligatures w14:val="standardContextual"/>
              </w:rPr>
              <w:t xml:space="preserve"> The organization develops a framework for evaluating the long-term impacts of deployed AI systems on organizational objectives and AI  Trustworthy Principles, ensuring sustained value and alignment with evolving expectations.</w:t>
            </w:r>
          </w:p>
        </w:tc>
      </w:tr>
      <w:tr w:rsidR="009F7E78" w:rsidRPr="009F7E78" w14:paraId="5B7A175E" w14:textId="77777777" w:rsidTr="00F85994">
        <w:trPr>
          <w:trHeight w:val="870"/>
        </w:trPr>
        <w:tc>
          <w:tcPr>
            <w:tcW w:w="1040" w:type="dxa"/>
            <w:hideMark/>
          </w:tcPr>
          <w:p w14:paraId="5A355A92"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S</w:t>
            </w:r>
          </w:p>
        </w:tc>
        <w:tc>
          <w:tcPr>
            <w:tcW w:w="1180" w:type="dxa"/>
            <w:shd w:val="clear" w:color="auto" w:fill="EDA000"/>
            <w:hideMark/>
          </w:tcPr>
          <w:p w14:paraId="4BE078A4"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MS-3.3</w:t>
            </w:r>
          </w:p>
        </w:tc>
        <w:tc>
          <w:tcPr>
            <w:tcW w:w="10420" w:type="dxa"/>
            <w:hideMark/>
          </w:tcPr>
          <w:p w14:paraId="7D81111A"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Enabling Feedback, Appeal, and Override:</w:t>
            </w:r>
            <w:r w:rsidRPr="009F7E78">
              <w:rPr>
                <w:rFonts w:ascii="Aptos" w:eastAsia="Aptos" w:hAnsi="Aptos" w:cs="Times New Roman"/>
                <w:color w:val="auto"/>
                <w:kern w:val="2"/>
                <w:sz w:val="20"/>
                <w:szCs w:val="20"/>
                <w14:ligatures w14:val="standardContextual"/>
              </w:rPr>
              <w:t xml:space="preserve"> Feedback processes for end users and impacted communities to report problems and appeal system outcomes are established and integrated into AI system evaluation metrics.</w:t>
            </w:r>
          </w:p>
        </w:tc>
      </w:tr>
      <w:tr w:rsidR="009F7E78" w:rsidRPr="009F7E78" w14:paraId="4C71B29D" w14:textId="77777777" w:rsidTr="00F85994">
        <w:trPr>
          <w:trHeight w:val="2320"/>
        </w:trPr>
        <w:tc>
          <w:tcPr>
            <w:tcW w:w="1040" w:type="dxa"/>
            <w:hideMark/>
          </w:tcPr>
          <w:p w14:paraId="75DF53FA"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lastRenderedPageBreak/>
              <w:t>CO</w:t>
            </w:r>
          </w:p>
        </w:tc>
        <w:tc>
          <w:tcPr>
            <w:tcW w:w="1180" w:type="dxa"/>
            <w:shd w:val="clear" w:color="auto" w:fill="EDA000"/>
            <w:hideMark/>
          </w:tcPr>
          <w:p w14:paraId="13A58E11"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MS-3.3.1</w:t>
            </w:r>
          </w:p>
        </w:tc>
        <w:tc>
          <w:tcPr>
            <w:tcW w:w="10420" w:type="dxa"/>
            <w:hideMark/>
          </w:tcPr>
          <w:p w14:paraId="5147D98C"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Feedback and Appeals Processes:</w:t>
            </w:r>
            <w:r w:rsidRPr="009F7E78">
              <w:rPr>
                <w:rFonts w:ascii="Aptos" w:eastAsia="Aptos" w:hAnsi="Aptos" w:cs="Times New Roman"/>
                <w:color w:val="auto"/>
                <w:kern w:val="2"/>
                <w:sz w:val="20"/>
                <w:szCs w:val="20"/>
                <w14:ligatures w14:val="standardContextual"/>
              </w:rPr>
              <w:t xml:space="preserve"> The organization establishes feedback processes for relevant stakeholders to report problems, concerns, or unintended consequences related to AI system outcomes, integrating with existing processes for reporting security issues and potential vulnerabilities. This includes implementing an appeals mechanism that allows users to challenge or request reviews of outcomes they believe to be inaccurate, unfair, or harmful. Both processes are documented clearly, including channels, timeframes, responsibilities, escalation procedures, and criteria for decision-making, with all reported issues tracked to closure.</w:t>
            </w:r>
          </w:p>
        </w:tc>
      </w:tr>
      <w:tr w:rsidR="009F7E78" w:rsidRPr="009F7E78" w14:paraId="310AFBBF" w14:textId="77777777" w:rsidTr="00F85994">
        <w:trPr>
          <w:trHeight w:val="2030"/>
        </w:trPr>
        <w:tc>
          <w:tcPr>
            <w:tcW w:w="1040" w:type="dxa"/>
            <w:hideMark/>
          </w:tcPr>
          <w:p w14:paraId="40DE1A4F"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EDA000"/>
            <w:hideMark/>
          </w:tcPr>
          <w:p w14:paraId="23A42A68"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MS-3.3.2</w:t>
            </w:r>
          </w:p>
        </w:tc>
        <w:tc>
          <w:tcPr>
            <w:tcW w:w="10420" w:type="dxa"/>
            <w:hideMark/>
          </w:tcPr>
          <w:p w14:paraId="6BFBAC39"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Feedback Integration and Process Refinement:</w:t>
            </w:r>
            <w:r w:rsidRPr="009F7E78">
              <w:rPr>
                <w:rFonts w:ascii="Aptos" w:eastAsia="Aptos" w:hAnsi="Aptos" w:cs="Times New Roman"/>
                <w:color w:val="auto"/>
                <w:kern w:val="2"/>
                <w:sz w:val="20"/>
                <w:szCs w:val="20"/>
                <w14:ligatures w14:val="standardContextual"/>
              </w:rPr>
              <w:t xml:space="preserve"> The organization integrates user feedback and appeal data into its AI system evaluation metrics, tracking key indicators to identify patterns or systemic issues related to AI system outcomes. Feedback and appeal processes are continuously monitored and refined based on user input, system performance data, and evolving best practices, with refinements documented to ensure the processes remain effective, inclusive, and aligned with the organization's AI governance framework.</w:t>
            </w:r>
          </w:p>
        </w:tc>
      </w:tr>
      <w:tr w:rsidR="009F7E78" w:rsidRPr="009F7E78" w14:paraId="6EB7F858" w14:textId="77777777" w:rsidTr="00F85994">
        <w:trPr>
          <w:trHeight w:val="580"/>
        </w:trPr>
        <w:tc>
          <w:tcPr>
            <w:tcW w:w="1040" w:type="dxa"/>
            <w:hideMark/>
          </w:tcPr>
          <w:p w14:paraId="0D689DBD"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w:t>
            </w:r>
          </w:p>
        </w:tc>
        <w:tc>
          <w:tcPr>
            <w:tcW w:w="1180" w:type="dxa"/>
            <w:shd w:val="clear" w:color="auto" w:fill="EDA000"/>
            <w:hideMark/>
          </w:tcPr>
          <w:p w14:paraId="01781CDA"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MS-4</w:t>
            </w:r>
          </w:p>
        </w:tc>
        <w:tc>
          <w:tcPr>
            <w:tcW w:w="10420" w:type="dxa"/>
            <w:hideMark/>
          </w:tcPr>
          <w:p w14:paraId="77F78BB8"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Gathering Feedback on AI Measurement:</w:t>
            </w:r>
            <w:r w:rsidRPr="009F7E78">
              <w:rPr>
                <w:rFonts w:ascii="Aptos" w:eastAsia="Aptos" w:hAnsi="Aptos" w:cs="Times New Roman"/>
                <w:color w:val="auto"/>
                <w:kern w:val="2"/>
                <w:sz w:val="20"/>
                <w:szCs w:val="20"/>
                <w14:ligatures w14:val="standardContextual"/>
              </w:rPr>
              <w:t xml:space="preserve"> Feedback about efficacy of measurement is gathered and assessed.</w:t>
            </w:r>
          </w:p>
        </w:tc>
      </w:tr>
      <w:tr w:rsidR="009F7E78" w:rsidRPr="009F7E78" w14:paraId="040BF80D" w14:textId="77777777" w:rsidTr="00F85994">
        <w:trPr>
          <w:trHeight w:val="870"/>
        </w:trPr>
        <w:tc>
          <w:tcPr>
            <w:tcW w:w="1040" w:type="dxa"/>
            <w:hideMark/>
          </w:tcPr>
          <w:p w14:paraId="22BF3FEE"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S</w:t>
            </w:r>
          </w:p>
        </w:tc>
        <w:tc>
          <w:tcPr>
            <w:tcW w:w="1180" w:type="dxa"/>
            <w:shd w:val="clear" w:color="auto" w:fill="EDA000"/>
            <w:hideMark/>
          </w:tcPr>
          <w:p w14:paraId="1E045FF6"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MS-4.1</w:t>
            </w:r>
          </w:p>
        </w:tc>
        <w:tc>
          <w:tcPr>
            <w:tcW w:w="10420" w:type="dxa"/>
            <w:hideMark/>
          </w:tcPr>
          <w:p w14:paraId="28E21352"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Gathering Feedback on Measurement Approaches:</w:t>
            </w:r>
            <w:r w:rsidRPr="009F7E78">
              <w:rPr>
                <w:rFonts w:ascii="Aptos" w:eastAsia="Aptos" w:hAnsi="Aptos" w:cs="Times New Roman"/>
                <w:color w:val="auto"/>
                <w:kern w:val="2"/>
                <w:sz w:val="20"/>
                <w:szCs w:val="20"/>
                <w14:ligatures w14:val="standardContextual"/>
              </w:rPr>
              <w:t xml:space="preserve"> Measurement approaches for identifying AI risks are connected to deployment context(s) and informed through consultation with domain experts and other end users. Approaches are documented.</w:t>
            </w:r>
          </w:p>
        </w:tc>
      </w:tr>
      <w:tr w:rsidR="009F7E78" w:rsidRPr="009F7E78" w14:paraId="173F1FA2" w14:textId="77777777" w:rsidTr="00F85994">
        <w:trPr>
          <w:trHeight w:val="2900"/>
        </w:trPr>
        <w:tc>
          <w:tcPr>
            <w:tcW w:w="1040" w:type="dxa"/>
            <w:hideMark/>
          </w:tcPr>
          <w:p w14:paraId="5A37B43B"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EDA000"/>
            <w:hideMark/>
          </w:tcPr>
          <w:p w14:paraId="260A2D67"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MS-4.1.1</w:t>
            </w:r>
          </w:p>
        </w:tc>
        <w:tc>
          <w:tcPr>
            <w:tcW w:w="10420" w:type="dxa"/>
            <w:hideMark/>
          </w:tcPr>
          <w:p w14:paraId="6F7C8675"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Context-Specific Risk Identification:</w:t>
            </w:r>
            <w:r w:rsidRPr="009F7E78">
              <w:rPr>
                <w:rFonts w:ascii="Aptos" w:eastAsia="Aptos" w:hAnsi="Aptos" w:cs="Times New Roman"/>
                <w:color w:val="auto"/>
                <w:kern w:val="2"/>
                <w:sz w:val="20"/>
                <w:szCs w:val="20"/>
                <w14:ligatures w14:val="standardContextual"/>
              </w:rPr>
              <w:t xml:space="preserve"> The organization reviews AI risk identification processes for alignment with the specific deployment context(s) of its AI systems, considering intended use cases, user populations, operational environments, trustworthiness characteristics, and potential impacts on individuals. It actively consults with domain experts, end users, and other relevant stakeholders to gather input on risks and challenges, documenting the outcomes. Additionally, the organization documents the involvement of internal experts, independent assessors, domain experts, users, and other external AI stakeholders in the assessment process, including their contributions, recommendations, and actions taken based on their input, to ensure transparency, accountability, and a comprehensive record of the assessment activities.</w:t>
            </w:r>
          </w:p>
        </w:tc>
      </w:tr>
      <w:tr w:rsidR="009F7E78" w:rsidRPr="009F7E78" w14:paraId="3CE1BDD6" w14:textId="77777777" w:rsidTr="00F85994">
        <w:trPr>
          <w:trHeight w:val="1740"/>
        </w:trPr>
        <w:tc>
          <w:tcPr>
            <w:tcW w:w="1040" w:type="dxa"/>
            <w:hideMark/>
          </w:tcPr>
          <w:p w14:paraId="6BAD3755"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EDA000"/>
            <w:hideMark/>
          </w:tcPr>
          <w:p w14:paraId="6F309B88"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MS-4.1.2</w:t>
            </w:r>
          </w:p>
        </w:tc>
        <w:tc>
          <w:tcPr>
            <w:tcW w:w="10420" w:type="dxa"/>
            <w:hideMark/>
          </w:tcPr>
          <w:p w14:paraId="36CBA0BA"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Integration with Organizational Processes:</w:t>
            </w:r>
            <w:r w:rsidRPr="009F7E78">
              <w:rPr>
                <w:rFonts w:ascii="Aptos" w:eastAsia="Aptos" w:hAnsi="Aptos" w:cs="Times New Roman"/>
                <w:color w:val="auto"/>
                <w:kern w:val="2"/>
                <w:sz w:val="20"/>
                <w:szCs w:val="20"/>
                <w14:ligatures w14:val="standardContextual"/>
              </w:rPr>
              <w:t xml:space="preserve"> The organization assesses the integration of its AI risk identification processes with other relevant organizational processes, such as cybersecurity, resilience planning, and incident management. Internal and external experts provide feedback on integration. It documents how AI risk identification aligns with and supports these processes to ensure consistency and effectiveness of risk management practices. Areas for improvement are identified and addressed.</w:t>
            </w:r>
          </w:p>
        </w:tc>
      </w:tr>
      <w:tr w:rsidR="009F7E78" w:rsidRPr="009F7E78" w14:paraId="659A74A1" w14:textId="77777777" w:rsidTr="00F85994">
        <w:trPr>
          <w:trHeight w:val="1450"/>
        </w:trPr>
        <w:tc>
          <w:tcPr>
            <w:tcW w:w="1040" w:type="dxa"/>
            <w:hideMark/>
          </w:tcPr>
          <w:p w14:paraId="3B3C9269"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EDA000"/>
            <w:hideMark/>
          </w:tcPr>
          <w:p w14:paraId="1DC98D8E"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MS-4.1.3</w:t>
            </w:r>
          </w:p>
        </w:tc>
        <w:tc>
          <w:tcPr>
            <w:tcW w:w="10420" w:type="dxa"/>
            <w:hideMark/>
          </w:tcPr>
          <w:p w14:paraId="58483808"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Incorporating Real-World Data:</w:t>
            </w:r>
            <w:r w:rsidRPr="009F7E78">
              <w:rPr>
                <w:rFonts w:ascii="Aptos" w:eastAsia="Aptos" w:hAnsi="Aptos" w:cs="Times New Roman"/>
                <w:color w:val="auto"/>
                <w:kern w:val="2"/>
                <w:sz w:val="20"/>
                <w:szCs w:val="20"/>
                <w14:ligatures w14:val="standardContextual"/>
              </w:rPr>
              <w:t xml:space="preserve"> The organization incorporates insights from user feedback, incident reports, and other real-world data sources into its AI risk identification approaches. This grounding in actual experiences and concerns of end users and impacted communities is documented, highlighting how these insights are integrated into the risk identification process.</w:t>
            </w:r>
          </w:p>
        </w:tc>
      </w:tr>
      <w:tr w:rsidR="009F7E78" w:rsidRPr="009F7E78" w14:paraId="0E7EA1BC" w14:textId="77777777" w:rsidTr="00F85994">
        <w:trPr>
          <w:trHeight w:val="2320"/>
        </w:trPr>
        <w:tc>
          <w:tcPr>
            <w:tcW w:w="1040" w:type="dxa"/>
            <w:hideMark/>
          </w:tcPr>
          <w:p w14:paraId="717929A4"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lastRenderedPageBreak/>
              <w:t>CO</w:t>
            </w:r>
          </w:p>
        </w:tc>
        <w:tc>
          <w:tcPr>
            <w:tcW w:w="1180" w:type="dxa"/>
            <w:shd w:val="clear" w:color="auto" w:fill="EDA000"/>
            <w:hideMark/>
          </w:tcPr>
          <w:p w14:paraId="503F5AA9"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MS-4.1.4</w:t>
            </w:r>
          </w:p>
        </w:tc>
        <w:tc>
          <w:tcPr>
            <w:tcW w:w="10420" w:type="dxa"/>
            <w:hideMark/>
          </w:tcPr>
          <w:p w14:paraId="2985D665"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Validation, Testing, and Effectiveness Evaluation of AI Risk Approaches:</w:t>
            </w:r>
            <w:r w:rsidRPr="009F7E78">
              <w:rPr>
                <w:rFonts w:ascii="Aptos" w:eastAsia="Aptos" w:hAnsi="Aptos" w:cs="Times New Roman"/>
                <w:color w:val="auto"/>
                <w:kern w:val="2"/>
                <w:sz w:val="20"/>
                <w:szCs w:val="20"/>
                <w14:ligatures w14:val="standardContextual"/>
              </w:rPr>
              <w:t xml:space="preserve"> The organization validates the efficacy of its AI risk identification approaches through targeted testing, simulations, or pilot studies in the deployment context(s). Concurrently, it regularly reviews and assesses the effectiveness of its AI risk identification and tracking approaches by evaluating the timeliness and accuracy of risk detection, risk coverage, and adaptability to changing circumstances. All results, including any limitations, assumptions, strengths, weaknesses, or areas for improvement, are documented and used to refine and continuously enhance the risk approaches.</w:t>
            </w:r>
          </w:p>
        </w:tc>
      </w:tr>
      <w:tr w:rsidR="009F7E78" w:rsidRPr="009F7E78" w14:paraId="35E0D898" w14:textId="77777777" w:rsidTr="00F85994">
        <w:trPr>
          <w:trHeight w:val="1160"/>
        </w:trPr>
        <w:tc>
          <w:tcPr>
            <w:tcW w:w="1040" w:type="dxa"/>
            <w:hideMark/>
          </w:tcPr>
          <w:p w14:paraId="2B0F4FE3"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S</w:t>
            </w:r>
          </w:p>
        </w:tc>
        <w:tc>
          <w:tcPr>
            <w:tcW w:w="1180" w:type="dxa"/>
            <w:shd w:val="clear" w:color="auto" w:fill="EDA000"/>
            <w:hideMark/>
          </w:tcPr>
          <w:p w14:paraId="05787FD9"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MS-4.2</w:t>
            </w:r>
          </w:p>
        </w:tc>
        <w:tc>
          <w:tcPr>
            <w:tcW w:w="10420" w:type="dxa"/>
            <w:hideMark/>
          </w:tcPr>
          <w:p w14:paraId="7ACD6D23"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Gathering Feedback on Measurement Results:</w:t>
            </w:r>
            <w:r w:rsidRPr="009F7E78">
              <w:rPr>
                <w:rFonts w:ascii="Aptos" w:eastAsia="Aptos" w:hAnsi="Aptos" w:cs="Times New Roman"/>
                <w:color w:val="auto"/>
                <w:kern w:val="2"/>
                <w:sz w:val="20"/>
                <w:szCs w:val="20"/>
                <w14:ligatures w14:val="standardContextual"/>
              </w:rPr>
              <w:t xml:space="preserve"> Measurement results regarding AI system trustworthiness in deployment context(s) and across the AI lifecycle are informed by input from domain experts and relevant AI actors to validate whether the system is performing consistently as intended. Results are documented.</w:t>
            </w:r>
          </w:p>
        </w:tc>
      </w:tr>
      <w:tr w:rsidR="009F7E78" w:rsidRPr="009F7E78" w14:paraId="4A4BB4E0" w14:textId="77777777" w:rsidTr="00F85994">
        <w:trPr>
          <w:trHeight w:val="870"/>
        </w:trPr>
        <w:tc>
          <w:tcPr>
            <w:tcW w:w="1040" w:type="dxa"/>
            <w:hideMark/>
          </w:tcPr>
          <w:p w14:paraId="0DE202E2"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EDA000"/>
            <w:hideMark/>
          </w:tcPr>
          <w:p w14:paraId="32954C67"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MS-4.2.1</w:t>
            </w:r>
          </w:p>
        </w:tc>
        <w:tc>
          <w:tcPr>
            <w:tcW w:w="10420" w:type="dxa"/>
            <w:hideMark/>
          </w:tcPr>
          <w:p w14:paraId="24A0DD04"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Benefits and Performance Assessment:</w:t>
            </w:r>
            <w:r w:rsidRPr="009F7E78">
              <w:rPr>
                <w:rFonts w:ascii="Aptos" w:eastAsia="Aptos" w:hAnsi="Aptos" w:cs="Times New Roman"/>
                <w:color w:val="auto"/>
                <w:kern w:val="2"/>
                <w:sz w:val="20"/>
                <w:szCs w:val="20"/>
                <w14:ligatures w14:val="standardContextual"/>
              </w:rPr>
              <w:t xml:space="preserve"> The organization assesses and documents the AI system's anticipated capabilities and benefits, and alignment to organizational objectives and AI  Trustworthy Principles, against accepted benchmarks.</w:t>
            </w:r>
          </w:p>
        </w:tc>
      </w:tr>
      <w:tr w:rsidR="009F7E78" w:rsidRPr="009F7E78" w14:paraId="6797EB65" w14:textId="77777777" w:rsidTr="00F85994">
        <w:trPr>
          <w:trHeight w:val="1450"/>
        </w:trPr>
        <w:tc>
          <w:tcPr>
            <w:tcW w:w="1040" w:type="dxa"/>
            <w:hideMark/>
          </w:tcPr>
          <w:p w14:paraId="5566C7B8"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EDA000"/>
            <w:hideMark/>
          </w:tcPr>
          <w:p w14:paraId="6308CF95"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MS-4.2.2</w:t>
            </w:r>
          </w:p>
        </w:tc>
        <w:tc>
          <w:tcPr>
            <w:tcW w:w="10420" w:type="dxa"/>
            <w:hideMark/>
          </w:tcPr>
          <w:p w14:paraId="64107CFD"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Performance Validation via Stakeholder Input:</w:t>
            </w:r>
            <w:r w:rsidRPr="009F7E78">
              <w:rPr>
                <w:rFonts w:ascii="Aptos" w:eastAsia="Aptos" w:hAnsi="Aptos" w:cs="Times New Roman"/>
                <w:color w:val="auto"/>
                <w:kern w:val="2"/>
                <w:sz w:val="20"/>
                <w:szCs w:val="20"/>
                <w14:ligatures w14:val="standardContextual"/>
              </w:rPr>
              <w:t xml:space="preserve"> The organization actively seeks input from domain experts and relevant AI stakeholders, such as system developers, operators, users, and impacted communities, to validate whether the AI system is performing consistently as intended in its specific deployment context(s), and documents the outcomes of these consultations, including any discrepancies or concerns raised.</w:t>
            </w:r>
          </w:p>
        </w:tc>
      </w:tr>
      <w:tr w:rsidR="009F7E78" w:rsidRPr="009F7E78" w14:paraId="2DB199AF" w14:textId="77777777" w:rsidTr="00F85994">
        <w:trPr>
          <w:trHeight w:val="1740"/>
        </w:trPr>
        <w:tc>
          <w:tcPr>
            <w:tcW w:w="1040" w:type="dxa"/>
            <w:hideMark/>
          </w:tcPr>
          <w:p w14:paraId="4A2E7AB3"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EDA000"/>
            <w:hideMark/>
          </w:tcPr>
          <w:p w14:paraId="74260C47"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MS-4.2.3</w:t>
            </w:r>
          </w:p>
        </w:tc>
        <w:tc>
          <w:tcPr>
            <w:tcW w:w="10420" w:type="dxa"/>
            <w:hideMark/>
          </w:tcPr>
          <w:p w14:paraId="72B1E52B"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Analysis of Performance and Trustworthiness Trends:</w:t>
            </w:r>
            <w:r w:rsidRPr="009F7E78">
              <w:rPr>
                <w:rFonts w:ascii="Aptos" w:eastAsia="Aptos" w:hAnsi="Aptos" w:cs="Times New Roman"/>
                <w:color w:val="auto"/>
                <w:kern w:val="2"/>
                <w:sz w:val="20"/>
                <w:szCs w:val="20"/>
                <w14:ligatures w14:val="standardContextual"/>
              </w:rPr>
              <w:t xml:space="preserve"> The organization regularly analyzes the measurement results to identify patterns, trends, or anomalies indicating issues with AI system trustworthiness while engaging in dialogue with domain experts and relevant AI stakeholders to interpret these results and their implications. Findings are documented alongside insights, recommendations, and areas of consensus or disagreement</w:t>
            </w:r>
          </w:p>
        </w:tc>
      </w:tr>
      <w:tr w:rsidR="009F7E78" w:rsidRPr="009F7E78" w14:paraId="4D62CF25" w14:textId="77777777" w:rsidTr="00F85994">
        <w:trPr>
          <w:trHeight w:val="1450"/>
        </w:trPr>
        <w:tc>
          <w:tcPr>
            <w:tcW w:w="1040" w:type="dxa"/>
            <w:hideMark/>
          </w:tcPr>
          <w:p w14:paraId="11619A2E"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EDA000"/>
            <w:hideMark/>
          </w:tcPr>
          <w:p w14:paraId="686494C0"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MS-4.2.4</w:t>
            </w:r>
          </w:p>
        </w:tc>
        <w:tc>
          <w:tcPr>
            <w:tcW w:w="10420" w:type="dxa"/>
            <w:hideMark/>
          </w:tcPr>
          <w:p w14:paraId="75AB72DF"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Continuous Improvement of AI Trustworthiness:</w:t>
            </w:r>
            <w:r w:rsidRPr="009F7E78">
              <w:rPr>
                <w:rFonts w:ascii="Aptos" w:eastAsia="Aptos" w:hAnsi="Aptos" w:cs="Times New Roman"/>
                <w:color w:val="auto"/>
                <w:kern w:val="2"/>
                <w:sz w:val="20"/>
                <w:szCs w:val="20"/>
                <w14:ligatures w14:val="standardContextual"/>
              </w:rPr>
              <w:t xml:space="preserve"> The organization regularly reviews and updates its risk controls and performance metrics across trustworthy characteristics based on assessment results, stakeholder feedback, and evolving risk landscapes, ensuring continuous improvement and alignment with best practices and regulatory requirements to maintain AI system trustworthiness.</w:t>
            </w:r>
          </w:p>
        </w:tc>
      </w:tr>
      <w:tr w:rsidR="009F7E78" w:rsidRPr="009F7E78" w14:paraId="69E1FD1D" w14:textId="77777777" w:rsidTr="00F85994">
        <w:trPr>
          <w:trHeight w:val="1160"/>
        </w:trPr>
        <w:tc>
          <w:tcPr>
            <w:tcW w:w="1040" w:type="dxa"/>
            <w:hideMark/>
          </w:tcPr>
          <w:p w14:paraId="62B19B47"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S</w:t>
            </w:r>
          </w:p>
        </w:tc>
        <w:tc>
          <w:tcPr>
            <w:tcW w:w="1180" w:type="dxa"/>
            <w:shd w:val="clear" w:color="auto" w:fill="EDA000"/>
            <w:hideMark/>
          </w:tcPr>
          <w:p w14:paraId="529ECEA7"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MS-4.3</w:t>
            </w:r>
          </w:p>
        </w:tc>
        <w:tc>
          <w:tcPr>
            <w:tcW w:w="10420" w:type="dxa"/>
            <w:hideMark/>
          </w:tcPr>
          <w:p w14:paraId="316AD108"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Gathering Feedback on Real-World Performance:</w:t>
            </w:r>
            <w:r w:rsidRPr="009F7E78">
              <w:rPr>
                <w:rFonts w:ascii="Aptos" w:eastAsia="Aptos" w:hAnsi="Aptos" w:cs="Times New Roman"/>
                <w:color w:val="auto"/>
                <w:kern w:val="2"/>
                <w:sz w:val="20"/>
                <w:szCs w:val="20"/>
                <w14:ligatures w14:val="standardContextual"/>
              </w:rPr>
              <w:t xml:space="preserve"> Measurable performance improvements or declines based on consultations with relevant AI actors, including affected communities, and field data about context-relevant risks and trustworthiness characteristics are identified and documented.</w:t>
            </w:r>
          </w:p>
        </w:tc>
      </w:tr>
      <w:tr w:rsidR="009F7E78" w:rsidRPr="009F7E78" w14:paraId="26F2E83D" w14:textId="77777777" w:rsidTr="00F85994">
        <w:trPr>
          <w:trHeight w:val="1450"/>
        </w:trPr>
        <w:tc>
          <w:tcPr>
            <w:tcW w:w="1040" w:type="dxa"/>
            <w:hideMark/>
          </w:tcPr>
          <w:p w14:paraId="1DB8403E"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EDA000"/>
            <w:hideMark/>
          </w:tcPr>
          <w:p w14:paraId="408543EB"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MS-4.3.1</w:t>
            </w:r>
          </w:p>
        </w:tc>
        <w:tc>
          <w:tcPr>
            <w:tcW w:w="10420" w:type="dxa"/>
            <w:hideMark/>
          </w:tcPr>
          <w:p w14:paraId="538B6D74"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Stakeholder Feedback on Performance:</w:t>
            </w:r>
            <w:r w:rsidRPr="009F7E78">
              <w:rPr>
                <w:rFonts w:ascii="Aptos" w:eastAsia="Aptos" w:hAnsi="Aptos" w:cs="Times New Roman"/>
                <w:color w:val="auto"/>
                <w:kern w:val="2"/>
                <w:sz w:val="20"/>
                <w:szCs w:val="20"/>
                <w14:ligatures w14:val="standardContextual"/>
              </w:rPr>
              <w:t xml:space="preserve"> The organization engages in regular consultations with relevant AI stakeholders (e.g., system developers, operators, users, and impacted communities), to gather insights on observed performance changes. Outcomes of these consultations are documented, including areas of agreement, disagreement, or concern.</w:t>
            </w:r>
          </w:p>
        </w:tc>
      </w:tr>
      <w:tr w:rsidR="009F7E78" w:rsidRPr="009F7E78" w14:paraId="6C9D6272" w14:textId="77777777" w:rsidTr="00F85994">
        <w:trPr>
          <w:trHeight w:val="1450"/>
        </w:trPr>
        <w:tc>
          <w:tcPr>
            <w:tcW w:w="1040" w:type="dxa"/>
            <w:hideMark/>
          </w:tcPr>
          <w:p w14:paraId="4FC4319E"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lastRenderedPageBreak/>
              <w:t>CO</w:t>
            </w:r>
          </w:p>
        </w:tc>
        <w:tc>
          <w:tcPr>
            <w:tcW w:w="1180" w:type="dxa"/>
            <w:shd w:val="clear" w:color="auto" w:fill="EDA000"/>
            <w:hideMark/>
          </w:tcPr>
          <w:p w14:paraId="34B062D9"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MS-4.3.2</w:t>
            </w:r>
          </w:p>
        </w:tc>
        <w:tc>
          <w:tcPr>
            <w:tcW w:w="10420" w:type="dxa"/>
            <w:hideMark/>
          </w:tcPr>
          <w:p w14:paraId="6DCD009C"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Root Cause Analysis and Action Plans:</w:t>
            </w:r>
            <w:r w:rsidRPr="009F7E78">
              <w:rPr>
                <w:rFonts w:ascii="Aptos" w:eastAsia="Aptos" w:hAnsi="Aptos" w:cs="Times New Roman"/>
                <w:color w:val="auto"/>
                <w:kern w:val="2"/>
                <w:sz w:val="20"/>
                <w:szCs w:val="20"/>
                <w14:ligatures w14:val="standardContextual"/>
              </w:rPr>
              <w:t xml:space="preserve"> The organization conducts root cause analyses to investigate the factors contributing to identified performance changes, integrating with existing incident and problem management processes where appropriate, documenting findings along with recommended actions for sustaining improvements, mitigating declines, or addressing related risks and trustworthiness issues.</w:t>
            </w:r>
          </w:p>
        </w:tc>
      </w:tr>
      <w:tr w:rsidR="009F7E78" w:rsidRPr="009F7E78" w14:paraId="24457A16" w14:textId="77777777" w:rsidTr="00F85994">
        <w:trPr>
          <w:trHeight w:val="1450"/>
        </w:trPr>
        <w:tc>
          <w:tcPr>
            <w:tcW w:w="1040" w:type="dxa"/>
            <w:hideMark/>
          </w:tcPr>
          <w:p w14:paraId="6CD6A054"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EDA000"/>
            <w:hideMark/>
          </w:tcPr>
          <w:p w14:paraId="00D1AC88"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MS-4.3.3</w:t>
            </w:r>
          </w:p>
        </w:tc>
        <w:tc>
          <w:tcPr>
            <w:tcW w:w="10420" w:type="dxa"/>
            <w:hideMark/>
          </w:tcPr>
          <w:p w14:paraId="06D4942F"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Knowledge Sharing and Industry Contribution:</w:t>
            </w:r>
            <w:r w:rsidRPr="009F7E78">
              <w:rPr>
                <w:rFonts w:ascii="Aptos" w:eastAsia="Aptos" w:hAnsi="Aptos" w:cs="Times New Roman"/>
                <w:color w:val="auto"/>
                <w:kern w:val="2"/>
                <w:sz w:val="20"/>
                <w:szCs w:val="20"/>
                <w14:ligatures w14:val="standardContextual"/>
              </w:rPr>
              <w:t xml:space="preserve"> The organization shares its findings and receives feedback regarding measurable performance improvements or declines with the broader AI community through publications, conferences, or industry forums, contributing to collective knowledge and best practices in context-specific AI performance management and trustworthiness assurance.</w:t>
            </w:r>
          </w:p>
        </w:tc>
      </w:tr>
      <w:tr w:rsidR="009F7E78" w:rsidRPr="009F7E78" w14:paraId="51FDA53D" w14:textId="77777777" w:rsidTr="00F85994">
        <w:trPr>
          <w:trHeight w:val="290"/>
        </w:trPr>
        <w:tc>
          <w:tcPr>
            <w:tcW w:w="1040" w:type="dxa"/>
            <w:shd w:val="clear" w:color="auto" w:fill="005B8E"/>
            <w:hideMark/>
          </w:tcPr>
          <w:p w14:paraId="18696703" w14:textId="77777777" w:rsidR="009F7E78" w:rsidRPr="00F85994" w:rsidRDefault="009F7E78" w:rsidP="009F7E78">
            <w:pPr>
              <w:rPr>
                <w:rFonts w:ascii="Aptos" w:eastAsia="Aptos" w:hAnsi="Aptos" w:cs="Times New Roman"/>
                <w:color w:val="FFFFFF" w:themeColor="background1"/>
                <w:kern w:val="2"/>
                <w:sz w:val="20"/>
                <w:szCs w:val="20"/>
                <w14:ligatures w14:val="standardContextual"/>
              </w:rPr>
            </w:pPr>
            <w:r w:rsidRPr="00F85994">
              <w:rPr>
                <w:rFonts w:ascii="Aptos" w:eastAsia="Aptos" w:hAnsi="Aptos" w:cs="Times New Roman"/>
                <w:color w:val="FFFFFF" w:themeColor="background1"/>
                <w:kern w:val="2"/>
                <w:sz w:val="20"/>
                <w:szCs w:val="20"/>
                <w14:ligatures w14:val="standardContextual"/>
              </w:rPr>
              <w:t>F</w:t>
            </w:r>
          </w:p>
        </w:tc>
        <w:tc>
          <w:tcPr>
            <w:tcW w:w="1180" w:type="dxa"/>
            <w:shd w:val="clear" w:color="auto" w:fill="005B8E"/>
            <w:hideMark/>
          </w:tcPr>
          <w:p w14:paraId="1EA1A516"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MG</w:t>
            </w:r>
          </w:p>
        </w:tc>
        <w:tc>
          <w:tcPr>
            <w:tcW w:w="10420" w:type="dxa"/>
            <w:shd w:val="clear" w:color="auto" w:fill="005B8E"/>
            <w:hideMark/>
          </w:tcPr>
          <w:p w14:paraId="3A4707A9"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MANAGE</w:t>
            </w:r>
          </w:p>
        </w:tc>
      </w:tr>
      <w:tr w:rsidR="009F7E78" w:rsidRPr="009F7E78" w14:paraId="192C6F8B" w14:textId="77777777" w:rsidTr="00F85994">
        <w:trPr>
          <w:trHeight w:val="580"/>
        </w:trPr>
        <w:tc>
          <w:tcPr>
            <w:tcW w:w="1040" w:type="dxa"/>
            <w:hideMark/>
          </w:tcPr>
          <w:p w14:paraId="0AB8F838"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w:t>
            </w:r>
          </w:p>
        </w:tc>
        <w:tc>
          <w:tcPr>
            <w:tcW w:w="1180" w:type="dxa"/>
            <w:shd w:val="clear" w:color="auto" w:fill="005B8E"/>
            <w:hideMark/>
          </w:tcPr>
          <w:p w14:paraId="751734C3"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MG-1</w:t>
            </w:r>
          </w:p>
        </w:tc>
        <w:tc>
          <w:tcPr>
            <w:tcW w:w="10420" w:type="dxa"/>
            <w:hideMark/>
          </w:tcPr>
          <w:p w14:paraId="1650146E"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Prioritizing and Responding to Risks:</w:t>
            </w:r>
            <w:r w:rsidRPr="009F7E78">
              <w:rPr>
                <w:rFonts w:ascii="Aptos" w:eastAsia="Aptos" w:hAnsi="Aptos" w:cs="Times New Roman"/>
                <w:color w:val="auto"/>
                <w:kern w:val="2"/>
                <w:sz w:val="20"/>
                <w:szCs w:val="20"/>
                <w14:ligatures w14:val="standardContextual"/>
              </w:rPr>
              <w:t xml:space="preserve"> AI risks based on assessments and other analytical output from the MAP and MEASURE functions are prioritized, responded to, and managed.</w:t>
            </w:r>
          </w:p>
        </w:tc>
      </w:tr>
      <w:tr w:rsidR="009F7E78" w:rsidRPr="009F7E78" w14:paraId="5D64DDF2" w14:textId="77777777" w:rsidTr="00F85994">
        <w:trPr>
          <w:trHeight w:val="580"/>
        </w:trPr>
        <w:tc>
          <w:tcPr>
            <w:tcW w:w="1040" w:type="dxa"/>
            <w:hideMark/>
          </w:tcPr>
          <w:p w14:paraId="58BFE815"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S</w:t>
            </w:r>
          </w:p>
        </w:tc>
        <w:tc>
          <w:tcPr>
            <w:tcW w:w="1180" w:type="dxa"/>
            <w:shd w:val="clear" w:color="auto" w:fill="005B8E"/>
            <w:hideMark/>
          </w:tcPr>
          <w:p w14:paraId="55375D7F"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MG-1.1</w:t>
            </w:r>
          </w:p>
        </w:tc>
        <w:tc>
          <w:tcPr>
            <w:tcW w:w="10420" w:type="dxa"/>
            <w:hideMark/>
          </w:tcPr>
          <w:p w14:paraId="480AB23E"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Deciding to Deploy:</w:t>
            </w:r>
            <w:r w:rsidRPr="009F7E78">
              <w:rPr>
                <w:rFonts w:ascii="Aptos" w:eastAsia="Aptos" w:hAnsi="Aptos" w:cs="Times New Roman"/>
                <w:color w:val="auto"/>
                <w:kern w:val="2"/>
                <w:sz w:val="20"/>
                <w:szCs w:val="20"/>
                <w14:ligatures w14:val="standardContextual"/>
              </w:rPr>
              <w:t xml:space="preserve"> A determination is made as to whether the AI system achieves its intended purposes and stated objectives and whether its development or deployment should proceed.</w:t>
            </w:r>
          </w:p>
        </w:tc>
      </w:tr>
      <w:tr w:rsidR="009F7E78" w:rsidRPr="009F7E78" w14:paraId="03773BEB" w14:textId="77777777" w:rsidTr="00F85994">
        <w:trPr>
          <w:trHeight w:val="1450"/>
        </w:trPr>
        <w:tc>
          <w:tcPr>
            <w:tcW w:w="1040" w:type="dxa"/>
            <w:hideMark/>
          </w:tcPr>
          <w:p w14:paraId="01A37C90"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5B8E"/>
            <w:hideMark/>
          </w:tcPr>
          <w:p w14:paraId="77EE4626"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MG-1.1.1</w:t>
            </w:r>
          </w:p>
        </w:tc>
        <w:tc>
          <w:tcPr>
            <w:tcW w:w="10420" w:type="dxa"/>
            <w:hideMark/>
          </w:tcPr>
          <w:p w14:paraId="0B061599"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AI System Evaluation and Gap Analysis:</w:t>
            </w:r>
            <w:r w:rsidRPr="009F7E78">
              <w:rPr>
                <w:rFonts w:ascii="Aptos" w:eastAsia="Aptos" w:hAnsi="Aptos" w:cs="Times New Roman"/>
                <w:color w:val="auto"/>
                <w:kern w:val="2"/>
                <w:sz w:val="20"/>
                <w:szCs w:val="20"/>
                <w14:ligatures w14:val="standardContextual"/>
              </w:rPr>
              <w:t xml:space="preserve"> The organization establishes a formal evaluation process to determine if the AI system achieves its intended purposes and objectives, assessing performance metrics, stakeholder feedback, alignment with organizational goals and values, and the system's trustworthiness (including fairness, transparency, accountability, privacy), while identifying gaps, risks, and potential improvements.</w:t>
            </w:r>
          </w:p>
        </w:tc>
      </w:tr>
      <w:tr w:rsidR="009F7E78" w:rsidRPr="009F7E78" w14:paraId="022049B1" w14:textId="77777777" w:rsidTr="00F85994">
        <w:trPr>
          <w:trHeight w:val="1450"/>
        </w:trPr>
        <w:tc>
          <w:tcPr>
            <w:tcW w:w="1040" w:type="dxa"/>
            <w:hideMark/>
          </w:tcPr>
          <w:p w14:paraId="104255BB"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5B8E"/>
            <w:hideMark/>
          </w:tcPr>
          <w:p w14:paraId="5BDF929E"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MG-1.1.2</w:t>
            </w:r>
          </w:p>
        </w:tc>
        <w:tc>
          <w:tcPr>
            <w:tcW w:w="10420" w:type="dxa"/>
            <w:hideMark/>
          </w:tcPr>
          <w:p w14:paraId="2B088D45"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Go/No-Go Decision Criteria:</w:t>
            </w:r>
            <w:r w:rsidRPr="009F7E78">
              <w:rPr>
                <w:rFonts w:ascii="Aptos" w:eastAsia="Aptos" w:hAnsi="Aptos" w:cs="Times New Roman"/>
                <w:color w:val="auto"/>
                <w:kern w:val="2"/>
                <w:sz w:val="20"/>
                <w:szCs w:val="20"/>
                <w14:ligatures w14:val="standardContextual"/>
              </w:rPr>
              <w:t xml:space="preserve"> The organization makes a determination as to whether to proceed using clear criteria and thresholds to guide decisions on whether an AI system's development or deployment should proceed, pause, or be terminated based on evaluation results, its risk tolerance, and confirmation that all identified risks and vulnerabilities have been remediated or formally accepted.</w:t>
            </w:r>
          </w:p>
        </w:tc>
      </w:tr>
      <w:tr w:rsidR="009F7E78" w:rsidRPr="009F7E78" w14:paraId="39AFD4BC" w14:textId="77777777" w:rsidTr="00F85994">
        <w:trPr>
          <w:trHeight w:val="580"/>
        </w:trPr>
        <w:tc>
          <w:tcPr>
            <w:tcW w:w="1040" w:type="dxa"/>
            <w:hideMark/>
          </w:tcPr>
          <w:p w14:paraId="2BB7B291"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S</w:t>
            </w:r>
          </w:p>
        </w:tc>
        <w:tc>
          <w:tcPr>
            <w:tcW w:w="1180" w:type="dxa"/>
            <w:shd w:val="clear" w:color="auto" w:fill="005B8E"/>
            <w:hideMark/>
          </w:tcPr>
          <w:p w14:paraId="414A1F0C"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MG-1.2</w:t>
            </w:r>
          </w:p>
        </w:tc>
        <w:tc>
          <w:tcPr>
            <w:tcW w:w="10420" w:type="dxa"/>
            <w:hideMark/>
          </w:tcPr>
          <w:p w14:paraId="5395ECF2"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Prioritizing Risk Responses:</w:t>
            </w:r>
            <w:r w:rsidRPr="009F7E78">
              <w:rPr>
                <w:rFonts w:ascii="Aptos" w:eastAsia="Aptos" w:hAnsi="Aptos" w:cs="Times New Roman"/>
                <w:color w:val="auto"/>
                <w:kern w:val="2"/>
                <w:sz w:val="20"/>
                <w:szCs w:val="20"/>
                <w14:ligatures w14:val="standardContextual"/>
              </w:rPr>
              <w:t xml:space="preserve"> Treatment of documented AI risks is prioritized based on impact, likelihood, and available resources or methods.</w:t>
            </w:r>
          </w:p>
        </w:tc>
      </w:tr>
      <w:tr w:rsidR="009F7E78" w:rsidRPr="009F7E78" w14:paraId="6E095E8A" w14:textId="77777777" w:rsidTr="00F85994">
        <w:trPr>
          <w:trHeight w:val="1450"/>
        </w:trPr>
        <w:tc>
          <w:tcPr>
            <w:tcW w:w="1040" w:type="dxa"/>
            <w:hideMark/>
          </w:tcPr>
          <w:p w14:paraId="2980FB74"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5B8E"/>
            <w:hideMark/>
          </w:tcPr>
          <w:p w14:paraId="543B4BBC"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MG-1.2.1</w:t>
            </w:r>
          </w:p>
        </w:tc>
        <w:tc>
          <w:tcPr>
            <w:tcW w:w="10420" w:type="dxa"/>
            <w:hideMark/>
          </w:tcPr>
          <w:p w14:paraId="01D546CA"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AI Risk Prioritization and Framework:</w:t>
            </w:r>
            <w:r w:rsidRPr="009F7E78">
              <w:rPr>
                <w:rFonts w:ascii="Aptos" w:eastAsia="Aptos" w:hAnsi="Aptos" w:cs="Times New Roman"/>
                <w:color w:val="auto"/>
                <w:kern w:val="2"/>
                <w:sz w:val="20"/>
                <w:szCs w:val="20"/>
                <w14:ligatures w14:val="standardContextual"/>
              </w:rPr>
              <w:t xml:space="preserve"> The organization prioritizes AI risks withing the existing enterprise risk framework that takes into account the impact and likelihood of documented AI risks, risk appetite and tolerance, the availability of resources, and options for risk treatment, utilizing methodologies such as risk matrices, risk scores, or multi-criteria decision analysis to ensure a consistent and transparent assessment of AI risks.</w:t>
            </w:r>
          </w:p>
        </w:tc>
      </w:tr>
      <w:tr w:rsidR="009F7E78" w:rsidRPr="009F7E78" w14:paraId="069A46A8" w14:textId="77777777" w:rsidTr="00F85994">
        <w:trPr>
          <w:trHeight w:val="1160"/>
        </w:trPr>
        <w:tc>
          <w:tcPr>
            <w:tcW w:w="1040" w:type="dxa"/>
            <w:hideMark/>
          </w:tcPr>
          <w:p w14:paraId="787CC5F3"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5B8E"/>
            <w:hideMark/>
          </w:tcPr>
          <w:p w14:paraId="65C2E8BF"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MG-1.2.2</w:t>
            </w:r>
          </w:p>
        </w:tc>
        <w:tc>
          <w:tcPr>
            <w:tcW w:w="10420" w:type="dxa"/>
            <w:hideMark/>
          </w:tcPr>
          <w:p w14:paraId="0167CFC4"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Framework Updates and Performance Monitoring:</w:t>
            </w:r>
            <w:r w:rsidRPr="009F7E78">
              <w:rPr>
                <w:rFonts w:ascii="Aptos" w:eastAsia="Aptos" w:hAnsi="Aptos" w:cs="Times New Roman"/>
                <w:color w:val="auto"/>
                <w:kern w:val="2"/>
                <w:sz w:val="20"/>
                <w:szCs w:val="20"/>
                <w14:ligatures w14:val="standardContextual"/>
              </w:rPr>
              <w:t xml:space="preserve"> The organization regularly assesses and updates its risk prioritization framework and risk tolerance based on changes in the AI system's performance, the operational environment, or the availability of new risk response methods and resources.</w:t>
            </w:r>
          </w:p>
        </w:tc>
      </w:tr>
      <w:tr w:rsidR="009F7E78" w:rsidRPr="009F7E78" w14:paraId="6190211B" w14:textId="77777777" w:rsidTr="00F85994">
        <w:trPr>
          <w:trHeight w:val="870"/>
        </w:trPr>
        <w:tc>
          <w:tcPr>
            <w:tcW w:w="1040" w:type="dxa"/>
            <w:hideMark/>
          </w:tcPr>
          <w:p w14:paraId="67955433"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S</w:t>
            </w:r>
          </w:p>
        </w:tc>
        <w:tc>
          <w:tcPr>
            <w:tcW w:w="1180" w:type="dxa"/>
            <w:shd w:val="clear" w:color="auto" w:fill="005B8E"/>
            <w:hideMark/>
          </w:tcPr>
          <w:p w14:paraId="66CC2490"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MG-1.3</w:t>
            </w:r>
          </w:p>
        </w:tc>
        <w:tc>
          <w:tcPr>
            <w:tcW w:w="10420" w:type="dxa"/>
            <w:hideMark/>
          </w:tcPr>
          <w:p w14:paraId="40A3A8D1"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Responding to High-Priority Risks:</w:t>
            </w:r>
            <w:r w:rsidRPr="009F7E78">
              <w:rPr>
                <w:rFonts w:ascii="Aptos" w:eastAsia="Aptos" w:hAnsi="Aptos" w:cs="Times New Roman"/>
                <w:color w:val="auto"/>
                <w:kern w:val="2"/>
                <w:sz w:val="20"/>
                <w:szCs w:val="20"/>
                <w14:ligatures w14:val="standardContextual"/>
              </w:rPr>
              <w:t xml:space="preserve"> Responses to the AI risks deemed high priority, as identified by the MAP function, are developed, planned, and documented. Risk response options can include mitigating, transferring, avoiding, or accepting.</w:t>
            </w:r>
          </w:p>
        </w:tc>
      </w:tr>
      <w:tr w:rsidR="009F7E78" w:rsidRPr="009F7E78" w14:paraId="13F0F2D6" w14:textId="77777777" w:rsidTr="00F85994">
        <w:trPr>
          <w:trHeight w:val="1160"/>
        </w:trPr>
        <w:tc>
          <w:tcPr>
            <w:tcW w:w="1040" w:type="dxa"/>
            <w:hideMark/>
          </w:tcPr>
          <w:p w14:paraId="7152F813"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lastRenderedPageBreak/>
              <w:t>CO</w:t>
            </w:r>
          </w:p>
        </w:tc>
        <w:tc>
          <w:tcPr>
            <w:tcW w:w="1180" w:type="dxa"/>
            <w:shd w:val="clear" w:color="auto" w:fill="005B8E"/>
            <w:hideMark/>
          </w:tcPr>
          <w:p w14:paraId="1703E6FE"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MG-1.3.1</w:t>
            </w:r>
          </w:p>
        </w:tc>
        <w:tc>
          <w:tcPr>
            <w:tcW w:w="10420" w:type="dxa"/>
            <w:hideMark/>
          </w:tcPr>
          <w:p w14:paraId="0BC15BF1"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Risk Response Strategy and Options:</w:t>
            </w:r>
            <w:r w:rsidRPr="009F7E78">
              <w:rPr>
                <w:rFonts w:ascii="Aptos" w:eastAsia="Aptos" w:hAnsi="Aptos" w:cs="Times New Roman"/>
                <w:color w:val="auto"/>
                <w:kern w:val="2"/>
                <w:sz w:val="20"/>
                <w:szCs w:val="20"/>
                <w14:ligatures w14:val="standardContextual"/>
              </w:rPr>
              <w:t xml:space="preserve"> The organization responds to high-priority AI risks, considering options such as risk mitigation, transfer, avoidance, or acceptance. These strategies align with risk management policies, risk tolerance, and relevant industry standards.</w:t>
            </w:r>
          </w:p>
        </w:tc>
      </w:tr>
      <w:tr w:rsidR="009F7E78" w:rsidRPr="009F7E78" w14:paraId="7E312F07" w14:textId="77777777" w:rsidTr="00F85994">
        <w:trPr>
          <w:trHeight w:val="1740"/>
        </w:trPr>
        <w:tc>
          <w:tcPr>
            <w:tcW w:w="1040" w:type="dxa"/>
            <w:hideMark/>
          </w:tcPr>
          <w:p w14:paraId="1DA0BDC2"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5B8E"/>
            <w:hideMark/>
          </w:tcPr>
          <w:p w14:paraId="3A9C6FED"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MG-1.3.2</w:t>
            </w:r>
          </w:p>
        </w:tc>
        <w:tc>
          <w:tcPr>
            <w:tcW w:w="10420" w:type="dxa"/>
            <w:hideMark/>
          </w:tcPr>
          <w:p w14:paraId="1E7EB6A2"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Responsibility and Decision Criteria:</w:t>
            </w:r>
            <w:r w:rsidRPr="009F7E78">
              <w:rPr>
                <w:rFonts w:ascii="Aptos" w:eastAsia="Aptos" w:hAnsi="Aptos" w:cs="Times New Roman"/>
                <w:color w:val="auto"/>
                <w:kern w:val="2"/>
                <w:sz w:val="20"/>
                <w:szCs w:val="20"/>
                <w14:ligatures w14:val="standardContextual"/>
              </w:rPr>
              <w:t xml:space="preserve"> The organization assigns responsibility to a designated person, group, or role with decision-making authority to establish and document clear criteria for selecting the appropriate risk response option for each high-priority AI risk. The criteria should consider potential impact, risk appetite and tolerance, and the feasibility and effectiveness of available risk response methods. Agreed upon risk responses are tracked and monitored to closure.</w:t>
            </w:r>
          </w:p>
        </w:tc>
      </w:tr>
      <w:tr w:rsidR="009F7E78" w:rsidRPr="009F7E78" w14:paraId="425849F9" w14:textId="77777777" w:rsidTr="00F85994">
        <w:trPr>
          <w:trHeight w:val="580"/>
        </w:trPr>
        <w:tc>
          <w:tcPr>
            <w:tcW w:w="1040" w:type="dxa"/>
            <w:hideMark/>
          </w:tcPr>
          <w:p w14:paraId="3FE61901"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S</w:t>
            </w:r>
          </w:p>
        </w:tc>
        <w:tc>
          <w:tcPr>
            <w:tcW w:w="1180" w:type="dxa"/>
            <w:shd w:val="clear" w:color="auto" w:fill="005B8E"/>
            <w:hideMark/>
          </w:tcPr>
          <w:p w14:paraId="7959FFC5"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MG-1.4</w:t>
            </w:r>
          </w:p>
        </w:tc>
        <w:tc>
          <w:tcPr>
            <w:tcW w:w="10420" w:type="dxa"/>
            <w:hideMark/>
          </w:tcPr>
          <w:p w14:paraId="0CB6228E"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Managing Residual Risk:</w:t>
            </w:r>
            <w:r w:rsidRPr="009F7E78">
              <w:rPr>
                <w:rFonts w:ascii="Aptos" w:eastAsia="Aptos" w:hAnsi="Aptos" w:cs="Times New Roman"/>
                <w:color w:val="auto"/>
                <w:kern w:val="2"/>
                <w:sz w:val="20"/>
                <w:szCs w:val="20"/>
                <w14:ligatures w14:val="standardContextual"/>
              </w:rPr>
              <w:t xml:space="preserve"> Negative residual risks (defined as the sum of all unmitigated risks) to both downstream acquirers of AI systems and end users are documented.</w:t>
            </w:r>
          </w:p>
        </w:tc>
      </w:tr>
      <w:tr w:rsidR="009F7E78" w:rsidRPr="009F7E78" w14:paraId="29AEAE27" w14:textId="77777777" w:rsidTr="00F85994">
        <w:trPr>
          <w:trHeight w:val="1450"/>
        </w:trPr>
        <w:tc>
          <w:tcPr>
            <w:tcW w:w="1040" w:type="dxa"/>
            <w:hideMark/>
          </w:tcPr>
          <w:p w14:paraId="501AABA0"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5B8E"/>
            <w:hideMark/>
          </w:tcPr>
          <w:p w14:paraId="2A36EE9F"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MG-1.4.1</w:t>
            </w:r>
          </w:p>
        </w:tc>
        <w:tc>
          <w:tcPr>
            <w:tcW w:w="10420" w:type="dxa"/>
            <w:hideMark/>
          </w:tcPr>
          <w:p w14:paraId="186D06E8"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Residual Risk Documentation and Management:</w:t>
            </w:r>
            <w:r w:rsidRPr="009F7E78">
              <w:rPr>
                <w:rFonts w:ascii="Aptos" w:eastAsia="Aptos" w:hAnsi="Aptos" w:cs="Times New Roman"/>
                <w:color w:val="auto"/>
                <w:kern w:val="2"/>
                <w:sz w:val="20"/>
                <w:szCs w:val="20"/>
                <w14:ligatures w14:val="standardContextual"/>
              </w:rPr>
              <w:t xml:space="preserve"> The organization identifies and documents negative risks associated with its AI systems, including risks that have been accepted, transferred, or mitigated to the extent possible. For partially mitigated risks, the organization documents both the mitigated and unmitigated aspects of the risk to maintain a comprehensive view of the system's risk landscape.</w:t>
            </w:r>
          </w:p>
        </w:tc>
      </w:tr>
      <w:tr w:rsidR="009F7E78" w:rsidRPr="009F7E78" w14:paraId="1C38E969" w14:textId="77777777" w:rsidTr="00F85994">
        <w:trPr>
          <w:trHeight w:val="1160"/>
        </w:trPr>
        <w:tc>
          <w:tcPr>
            <w:tcW w:w="1040" w:type="dxa"/>
            <w:hideMark/>
          </w:tcPr>
          <w:p w14:paraId="2D5BC6AA"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5B8E"/>
            <w:hideMark/>
          </w:tcPr>
          <w:p w14:paraId="34E13FF3"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MG-1.4.2</w:t>
            </w:r>
          </w:p>
        </w:tc>
        <w:tc>
          <w:tcPr>
            <w:tcW w:w="10420" w:type="dxa"/>
            <w:hideMark/>
          </w:tcPr>
          <w:p w14:paraId="405F1F19"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Guidance for Downstream Stakeholders:</w:t>
            </w:r>
            <w:r w:rsidRPr="009F7E78">
              <w:rPr>
                <w:rFonts w:ascii="Aptos" w:eastAsia="Aptos" w:hAnsi="Aptos" w:cs="Times New Roman"/>
                <w:color w:val="auto"/>
                <w:kern w:val="2"/>
                <w:sz w:val="20"/>
                <w:szCs w:val="20"/>
                <w14:ligatures w14:val="standardContextual"/>
              </w:rPr>
              <w:t xml:space="preserve"> The organization provides downstream acquirers and end users with guidance on the proper use, limitations, and potential risks of its AI systems, including any requirements for safe operation, decision-making considerations, or monitoring to mitigate negative residual risks.</w:t>
            </w:r>
          </w:p>
        </w:tc>
      </w:tr>
      <w:tr w:rsidR="009F7E78" w:rsidRPr="009F7E78" w14:paraId="47D33CCA" w14:textId="77777777" w:rsidTr="00F85994">
        <w:trPr>
          <w:trHeight w:val="1160"/>
        </w:trPr>
        <w:tc>
          <w:tcPr>
            <w:tcW w:w="1040" w:type="dxa"/>
            <w:hideMark/>
          </w:tcPr>
          <w:p w14:paraId="4E5F2721"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5B8E"/>
            <w:hideMark/>
          </w:tcPr>
          <w:p w14:paraId="336CE97E"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MG-1.4.3</w:t>
            </w:r>
          </w:p>
        </w:tc>
        <w:tc>
          <w:tcPr>
            <w:tcW w:w="10420" w:type="dxa"/>
            <w:hideMark/>
          </w:tcPr>
          <w:p w14:paraId="74464BB4"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Regular Residual Risk Reviews:</w:t>
            </w:r>
            <w:r w:rsidRPr="009F7E78">
              <w:rPr>
                <w:rFonts w:ascii="Aptos" w:eastAsia="Aptos" w:hAnsi="Aptos" w:cs="Times New Roman"/>
                <w:color w:val="auto"/>
                <w:kern w:val="2"/>
                <w:sz w:val="20"/>
                <w:szCs w:val="20"/>
                <w14:ligatures w14:val="standardContextual"/>
              </w:rPr>
              <w:t xml:space="preserve"> The organization regularly reviews and updates its assessment and documentation of negative residual risks to ensure accuracy and relevance, considering changes in the AI system, operational environment, or risk landscape.</w:t>
            </w:r>
          </w:p>
        </w:tc>
      </w:tr>
      <w:tr w:rsidR="009F7E78" w:rsidRPr="009F7E78" w14:paraId="550617BB" w14:textId="77777777" w:rsidTr="00F85994">
        <w:trPr>
          <w:trHeight w:val="1740"/>
        </w:trPr>
        <w:tc>
          <w:tcPr>
            <w:tcW w:w="1040" w:type="dxa"/>
            <w:hideMark/>
          </w:tcPr>
          <w:p w14:paraId="0DCFE9BA"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5B8E"/>
            <w:hideMark/>
          </w:tcPr>
          <w:p w14:paraId="7C463DF6"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MG-1.4.4</w:t>
            </w:r>
          </w:p>
        </w:tc>
        <w:tc>
          <w:tcPr>
            <w:tcW w:w="10420" w:type="dxa"/>
            <w:hideMark/>
          </w:tcPr>
          <w:p w14:paraId="2DC40BD1"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Residual Risk Reporting and Feedback:</w:t>
            </w:r>
            <w:r w:rsidRPr="009F7E78">
              <w:rPr>
                <w:rFonts w:ascii="Aptos" w:eastAsia="Aptos" w:hAnsi="Aptos" w:cs="Times New Roman"/>
                <w:color w:val="auto"/>
                <w:kern w:val="2"/>
                <w:sz w:val="20"/>
                <w:szCs w:val="20"/>
                <w14:ligatures w14:val="standardContextual"/>
              </w:rPr>
              <w:t xml:space="preserve"> The organization maintains documentation of residual risks, including descriptions of each risk, their potential impact on downstream acquirers and end users, and the rationale and remediation status for the chosen risk treatment approach. The organization also engages with these stakeholders to gather feedback on their experiences with residual risks, using this information to support ongoing risk management and system enhancements.</w:t>
            </w:r>
          </w:p>
        </w:tc>
      </w:tr>
      <w:tr w:rsidR="009F7E78" w:rsidRPr="009F7E78" w14:paraId="0C7C6524" w14:textId="77777777" w:rsidTr="00F85994">
        <w:trPr>
          <w:trHeight w:val="580"/>
        </w:trPr>
        <w:tc>
          <w:tcPr>
            <w:tcW w:w="1040" w:type="dxa"/>
            <w:hideMark/>
          </w:tcPr>
          <w:p w14:paraId="65C953B9"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w:t>
            </w:r>
          </w:p>
        </w:tc>
        <w:tc>
          <w:tcPr>
            <w:tcW w:w="1180" w:type="dxa"/>
            <w:shd w:val="clear" w:color="auto" w:fill="005B8E"/>
            <w:hideMark/>
          </w:tcPr>
          <w:p w14:paraId="779DC488"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MG-2</w:t>
            </w:r>
          </w:p>
        </w:tc>
        <w:tc>
          <w:tcPr>
            <w:tcW w:w="10420" w:type="dxa"/>
            <w:hideMark/>
          </w:tcPr>
          <w:p w14:paraId="7A899DEC"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Maximizing Benefits:</w:t>
            </w:r>
            <w:r w:rsidRPr="009F7E78">
              <w:rPr>
                <w:rFonts w:ascii="Aptos" w:eastAsia="Aptos" w:hAnsi="Aptos" w:cs="Times New Roman"/>
                <w:color w:val="auto"/>
                <w:kern w:val="2"/>
                <w:sz w:val="20"/>
                <w:szCs w:val="20"/>
                <w14:ligatures w14:val="standardContextual"/>
              </w:rPr>
              <w:t xml:space="preserve"> Strategies to maximize AI benefits and minimize negative impacts are planned, prepared, implemented, documented, and informed by input from relevant AI actors.</w:t>
            </w:r>
          </w:p>
        </w:tc>
      </w:tr>
      <w:tr w:rsidR="009F7E78" w:rsidRPr="009F7E78" w14:paraId="198707FC" w14:textId="77777777" w:rsidTr="00F85994">
        <w:trPr>
          <w:trHeight w:val="870"/>
        </w:trPr>
        <w:tc>
          <w:tcPr>
            <w:tcW w:w="1040" w:type="dxa"/>
            <w:hideMark/>
          </w:tcPr>
          <w:p w14:paraId="1B40DA0A"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S</w:t>
            </w:r>
          </w:p>
        </w:tc>
        <w:tc>
          <w:tcPr>
            <w:tcW w:w="1180" w:type="dxa"/>
            <w:shd w:val="clear" w:color="auto" w:fill="005B8E"/>
            <w:hideMark/>
          </w:tcPr>
          <w:p w14:paraId="21F981CF"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MG-2.1</w:t>
            </w:r>
          </w:p>
        </w:tc>
        <w:tc>
          <w:tcPr>
            <w:tcW w:w="10420" w:type="dxa"/>
            <w:hideMark/>
          </w:tcPr>
          <w:p w14:paraId="7BF5A34F"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Allocating Resources:</w:t>
            </w:r>
            <w:r w:rsidRPr="009F7E78">
              <w:rPr>
                <w:rFonts w:ascii="Aptos" w:eastAsia="Aptos" w:hAnsi="Aptos" w:cs="Times New Roman"/>
                <w:color w:val="auto"/>
                <w:kern w:val="2"/>
                <w:sz w:val="20"/>
                <w:szCs w:val="20"/>
                <w14:ligatures w14:val="standardContextual"/>
              </w:rPr>
              <w:t xml:space="preserve"> Resources required to manage AI risks are taken into account – along with viable non-AI alternative systems, approaches, or methods – to reduce the magnitude or likelihood of potential impacts.</w:t>
            </w:r>
          </w:p>
        </w:tc>
      </w:tr>
      <w:tr w:rsidR="009F7E78" w:rsidRPr="009F7E78" w14:paraId="1AF1E2F5" w14:textId="77777777" w:rsidTr="00F85994">
        <w:trPr>
          <w:trHeight w:val="1450"/>
        </w:trPr>
        <w:tc>
          <w:tcPr>
            <w:tcW w:w="1040" w:type="dxa"/>
            <w:hideMark/>
          </w:tcPr>
          <w:p w14:paraId="6C4A12CE"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5B8E"/>
            <w:hideMark/>
          </w:tcPr>
          <w:p w14:paraId="70C054E1"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MG-2.1.1</w:t>
            </w:r>
          </w:p>
        </w:tc>
        <w:tc>
          <w:tcPr>
            <w:tcW w:w="10420" w:type="dxa"/>
            <w:hideMark/>
          </w:tcPr>
          <w:p w14:paraId="1D85393F"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AI Risk Management Resource Planning:</w:t>
            </w:r>
            <w:r w:rsidRPr="009F7E78">
              <w:rPr>
                <w:rFonts w:ascii="Aptos" w:eastAsia="Aptos" w:hAnsi="Aptos" w:cs="Times New Roman"/>
                <w:color w:val="auto"/>
                <w:kern w:val="2"/>
                <w:sz w:val="20"/>
                <w:szCs w:val="20"/>
                <w14:ligatures w14:val="standardContextual"/>
              </w:rPr>
              <w:t xml:space="preserve"> The organization determines resource needs—such as personnel, budget, and technical capabilities—into its established risk management framework to effectively manage AI risks in alignment with organizational risk tolerance, while regularly reviewing these needs based on changes in the AI system's performance, risk profile, operational context, and evolving industry standards.</w:t>
            </w:r>
          </w:p>
        </w:tc>
      </w:tr>
      <w:tr w:rsidR="009F7E78" w:rsidRPr="009F7E78" w14:paraId="50C6DDDB" w14:textId="77777777" w:rsidTr="00F85994">
        <w:trPr>
          <w:trHeight w:val="1450"/>
        </w:trPr>
        <w:tc>
          <w:tcPr>
            <w:tcW w:w="1040" w:type="dxa"/>
            <w:hideMark/>
          </w:tcPr>
          <w:p w14:paraId="4C9C85E7"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lastRenderedPageBreak/>
              <w:t>CO</w:t>
            </w:r>
          </w:p>
        </w:tc>
        <w:tc>
          <w:tcPr>
            <w:tcW w:w="1180" w:type="dxa"/>
            <w:shd w:val="clear" w:color="auto" w:fill="005B8E"/>
            <w:hideMark/>
          </w:tcPr>
          <w:p w14:paraId="2BC9D1E6"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MG-2.1.2</w:t>
            </w:r>
          </w:p>
        </w:tc>
        <w:tc>
          <w:tcPr>
            <w:tcW w:w="10420" w:type="dxa"/>
            <w:hideMark/>
          </w:tcPr>
          <w:p w14:paraId="78863C5E"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Resource Allocation and Budgeting:</w:t>
            </w:r>
            <w:r w:rsidRPr="009F7E78">
              <w:rPr>
                <w:rFonts w:ascii="Aptos" w:eastAsia="Aptos" w:hAnsi="Aptos" w:cs="Times New Roman"/>
                <w:color w:val="auto"/>
                <w:kern w:val="2"/>
                <w:sz w:val="20"/>
                <w:szCs w:val="20"/>
                <w14:ligatures w14:val="standardContextual"/>
              </w:rPr>
              <w:t xml:space="preserve"> The organization allocates resources for AI risk management into its existing budgeting processes, ensuring that adequate resources are dedicated to managing AI risks effectively. This integration ensures that AI risk management resource needs are aligned with overall organizational priorities and strategies, and are considered as part of the regular budgeting cycle</w:t>
            </w:r>
          </w:p>
        </w:tc>
      </w:tr>
      <w:tr w:rsidR="009F7E78" w:rsidRPr="009F7E78" w14:paraId="75A4E5FA" w14:textId="77777777" w:rsidTr="00F85994">
        <w:trPr>
          <w:trHeight w:val="1160"/>
        </w:trPr>
        <w:tc>
          <w:tcPr>
            <w:tcW w:w="1040" w:type="dxa"/>
            <w:hideMark/>
          </w:tcPr>
          <w:p w14:paraId="7839F033"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5B8E"/>
            <w:hideMark/>
          </w:tcPr>
          <w:p w14:paraId="61C0C5F8"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MG-2.1.3</w:t>
            </w:r>
          </w:p>
        </w:tc>
        <w:tc>
          <w:tcPr>
            <w:tcW w:w="10420" w:type="dxa"/>
            <w:hideMark/>
          </w:tcPr>
          <w:p w14:paraId="3B77953C"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Resource Effectiveness Monitoring:</w:t>
            </w:r>
            <w:r w:rsidRPr="009F7E78">
              <w:rPr>
                <w:rFonts w:ascii="Aptos" w:eastAsia="Aptos" w:hAnsi="Aptos" w:cs="Times New Roman"/>
                <w:color w:val="auto"/>
                <w:kern w:val="2"/>
                <w:sz w:val="20"/>
                <w:szCs w:val="20"/>
                <w14:ligatures w14:val="standardContextual"/>
              </w:rPr>
              <w:t xml:space="preserve"> The organization establishes mechanisms to monitor the effectiveness of AI risk management resource allocation, including metrics for evaluating risk reduction, impact mitigation, benefits realization, and stakeholder satisfaction.</w:t>
            </w:r>
          </w:p>
        </w:tc>
      </w:tr>
      <w:tr w:rsidR="009F7E78" w:rsidRPr="009F7E78" w14:paraId="35C1CFC9" w14:textId="77777777" w:rsidTr="00F85994">
        <w:trPr>
          <w:trHeight w:val="580"/>
        </w:trPr>
        <w:tc>
          <w:tcPr>
            <w:tcW w:w="1040" w:type="dxa"/>
            <w:hideMark/>
          </w:tcPr>
          <w:p w14:paraId="52179717"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S</w:t>
            </w:r>
          </w:p>
        </w:tc>
        <w:tc>
          <w:tcPr>
            <w:tcW w:w="1180" w:type="dxa"/>
            <w:shd w:val="clear" w:color="auto" w:fill="005B8E"/>
            <w:hideMark/>
          </w:tcPr>
          <w:p w14:paraId="6E0C1D27"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MG-2.2</w:t>
            </w:r>
          </w:p>
        </w:tc>
        <w:tc>
          <w:tcPr>
            <w:tcW w:w="10420" w:type="dxa"/>
            <w:hideMark/>
          </w:tcPr>
          <w:p w14:paraId="61C74C2A"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Ensuring Sustained Value:</w:t>
            </w:r>
            <w:r w:rsidRPr="009F7E78">
              <w:rPr>
                <w:rFonts w:ascii="Aptos" w:eastAsia="Aptos" w:hAnsi="Aptos" w:cs="Times New Roman"/>
                <w:color w:val="auto"/>
                <w:kern w:val="2"/>
                <w:sz w:val="20"/>
                <w:szCs w:val="20"/>
                <w14:ligatures w14:val="standardContextual"/>
              </w:rPr>
              <w:t xml:space="preserve"> Mechanisms are in place and applied to sustain the value of deployed AI systems.</w:t>
            </w:r>
          </w:p>
        </w:tc>
      </w:tr>
      <w:tr w:rsidR="009F7E78" w:rsidRPr="009F7E78" w14:paraId="12F8E76F" w14:textId="77777777" w:rsidTr="00F85994">
        <w:trPr>
          <w:trHeight w:val="1160"/>
        </w:trPr>
        <w:tc>
          <w:tcPr>
            <w:tcW w:w="1040" w:type="dxa"/>
            <w:hideMark/>
          </w:tcPr>
          <w:p w14:paraId="674D1467"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5B8E"/>
            <w:hideMark/>
          </w:tcPr>
          <w:p w14:paraId="1314B113"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MG-2.2.1</w:t>
            </w:r>
          </w:p>
        </w:tc>
        <w:tc>
          <w:tcPr>
            <w:tcW w:w="10420" w:type="dxa"/>
            <w:hideMark/>
          </w:tcPr>
          <w:p w14:paraId="1BD9F0D5"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Ongoing AI Performance and Trustworthiness Monitoring:</w:t>
            </w:r>
            <w:r w:rsidRPr="009F7E78">
              <w:rPr>
                <w:rFonts w:ascii="Aptos" w:eastAsia="Aptos" w:hAnsi="Aptos" w:cs="Times New Roman"/>
                <w:color w:val="auto"/>
                <w:kern w:val="2"/>
                <w:sz w:val="20"/>
                <w:szCs w:val="20"/>
                <w14:ligatures w14:val="standardContextual"/>
              </w:rPr>
              <w:t xml:space="preserve"> The organization implements and applies mechanisms to sustain the performance, trustworthiness, and alignment of deployed AI systems with organizational values, norms, and risk tolerances, ensuring their continued value delivery.</w:t>
            </w:r>
          </w:p>
        </w:tc>
      </w:tr>
      <w:tr w:rsidR="009F7E78" w:rsidRPr="009F7E78" w14:paraId="07A61D65" w14:textId="77777777" w:rsidTr="00F85994">
        <w:trPr>
          <w:trHeight w:val="1450"/>
        </w:trPr>
        <w:tc>
          <w:tcPr>
            <w:tcW w:w="1040" w:type="dxa"/>
            <w:hideMark/>
          </w:tcPr>
          <w:p w14:paraId="71D34ECF"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5B8E"/>
            <w:hideMark/>
          </w:tcPr>
          <w:p w14:paraId="528351F6"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MG-2.2.2</w:t>
            </w:r>
          </w:p>
        </w:tc>
        <w:tc>
          <w:tcPr>
            <w:tcW w:w="10420" w:type="dxa"/>
            <w:hideMark/>
          </w:tcPr>
          <w:p w14:paraId="12EC2076"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Feedback-Driven System Optimization:</w:t>
            </w:r>
            <w:r w:rsidRPr="009F7E78">
              <w:rPr>
                <w:rFonts w:ascii="Aptos" w:eastAsia="Aptos" w:hAnsi="Aptos" w:cs="Times New Roman"/>
                <w:color w:val="auto"/>
                <w:kern w:val="2"/>
                <w:sz w:val="20"/>
                <w:szCs w:val="20"/>
                <w14:ligatures w14:val="standardContextual"/>
              </w:rPr>
              <w:t xml:space="preserve"> The organization incorporates insights gained from performance measurements, stakeholder consultations, and root cause analyses into ongoing efforts to optimize AI system performance and trustworthiness, documenting how these insights are used to inform system updates, process improvements, or risk management strategies.</w:t>
            </w:r>
          </w:p>
        </w:tc>
      </w:tr>
      <w:tr w:rsidR="009F7E78" w:rsidRPr="009F7E78" w14:paraId="399D54C0" w14:textId="77777777" w:rsidTr="00F85994">
        <w:trPr>
          <w:trHeight w:val="870"/>
        </w:trPr>
        <w:tc>
          <w:tcPr>
            <w:tcW w:w="1040" w:type="dxa"/>
            <w:hideMark/>
          </w:tcPr>
          <w:p w14:paraId="0AC26CF5"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5B8E"/>
            <w:hideMark/>
          </w:tcPr>
          <w:p w14:paraId="5FDAAE7F"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MG-2.2.3</w:t>
            </w:r>
          </w:p>
        </w:tc>
        <w:tc>
          <w:tcPr>
            <w:tcW w:w="10420" w:type="dxa"/>
            <w:hideMark/>
          </w:tcPr>
          <w:p w14:paraId="63652084"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Risk Control Effectiveness Review:</w:t>
            </w:r>
            <w:r w:rsidRPr="009F7E78">
              <w:rPr>
                <w:rFonts w:ascii="Aptos" w:eastAsia="Aptos" w:hAnsi="Aptos" w:cs="Times New Roman"/>
                <w:color w:val="auto"/>
                <w:kern w:val="2"/>
                <w:sz w:val="20"/>
                <w:szCs w:val="20"/>
                <w14:ligatures w14:val="standardContextual"/>
              </w:rPr>
              <w:t xml:space="preserve"> The organization regularly assess and updates its AI system risk controls across trustworthiness principles as needed to maintain system value and trustworthiness.</w:t>
            </w:r>
          </w:p>
        </w:tc>
      </w:tr>
      <w:tr w:rsidR="009F7E78" w:rsidRPr="009F7E78" w14:paraId="23048AC9" w14:textId="77777777" w:rsidTr="00F85994">
        <w:trPr>
          <w:trHeight w:val="580"/>
        </w:trPr>
        <w:tc>
          <w:tcPr>
            <w:tcW w:w="1040" w:type="dxa"/>
            <w:hideMark/>
          </w:tcPr>
          <w:p w14:paraId="63C919B2"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S</w:t>
            </w:r>
          </w:p>
        </w:tc>
        <w:tc>
          <w:tcPr>
            <w:tcW w:w="1180" w:type="dxa"/>
            <w:shd w:val="clear" w:color="auto" w:fill="005B8E"/>
            <w:hideMark/>
          </w:tcPr>
          <w:p w14:paraId="34EBBA99"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MG-2.3</w:t>
            </w:r>
          </w:p>
        </w:tc>
        <w:tc>
          <w:tcPr>
            <w:tcW w:w="10420" w:type="dxa"/>
            <w:hideMark/>
          </w:tcPr>
          <w:p w14:paraId="52625FDD"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Responding to Emergent Risks:</w:t>
            </w:r>
            <w:r w:rsidRPr="009F7E78">
              <w:rPr>
                <w:rFonts w:ascii="Aptos" w:eastAsia="Aptos" w:hAnsi="Aptos" w:cs="Times New Roman"/>
                <w:color w:val="auto"/>
                <w:kern w:val="2"/>
                <w:sz w:val="20"/>
                <w:szCs w:val="20"/>
                <w14:ligatures w14:val="standardContextual"/>
              </w:rPr>
              <w:t xml:space="preserve"> Procedures are followed to respond to and recover from a previously unknown risk when it is identified.</w:t>
            </w:r>
          </w:p>
        </w:tc>
      </w:tr>
      <w:tr w:rsidR="009F7E78" w:rsidRPr="009F7E78" w14:paraId="61D69654" w14:textId="77777777" w:rsidTr="00F85994">
        <w:trPr>
          <w:trHeight w:val="2320"/>
        </w:trPr>
        <w:tc>
          <w:tcPr>
            <w:tcW w:w="1040" w:type="dxa"/>
            <w:hideMark/>
          </w:tcPr>
          <w:p w14:paraId="004D1146"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5B8E"/>
            <w:hideMark/>
          </w:tcPr>
          <w:p w14:paraId="279C4C26"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MG-2.3.1</w:t>
            </w:r>
          </w:p>
        </w:tc>
        <w:tc>
          <w:tcPr>
            <w:tcW w:w="10420" w:type="dxa"/>
            <w:hideMark/>
          </w:tcPr>
          <w:p w14:paraId="32221D9B"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Monitoring and Responding to Emergent AI Risks:</w:t>
            </w:r>
            <w:r w:rsidRPr="009F7E78">
              <w:rPr>
                <w:rFonts w:ascii="Aptos" w:eastAsia="Aptos" w:hAnsi="Aptos" w:cs="Times New Roman"/>
                <w:color w:val="auto"/>
                <w:kern w:val="2"/>
                <w:sz w:val="20"/>
                <w:szCs w:val="20"/>
                <w14:ligatures w14:val="standardContextual"/>
              </w:rPr>
              <w:t xml:space="preserve"> The organization establishes practices to continuously check for unplanned or emergent risks and capabilities of the AI system, triggering a review of prior risk management and TEVV steps when such capabilities are identified. It then responds to these newly identified, emergent risks within its existing risk assessment processes, documenting steps to address previously unknown risks in deployed AI systems. These procedures include provisions for rapidly assessing the potential impact of the identified risk, along with defined escalation pathways and decision-making protocols to initiate mitigation actions as warranted.</w:t>
            </w:r>
          </w:p>
        </w:tc>
      </w:tr>
      <w:tr w:rsidR="009F7E78" w:rsidRPr="009F7E78" w14:paraId="46586487" w14:textId="77777777" w:rsidTr="00F85994">
        <w:trPr>
          <w:trHeight w:val="2030"/>
        </w:trPr>
        <w:tc>
          <w:tcPr>
            <w:tcW w:w="1040" w:type="dxa"/>
            <w:hideMark/>
          </w:tcPr>
          <w:p w14:paraId="0051F840"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5B8E"/>
            <w:hideMark/>
          </w:tcPr>
          <w:p w14:paraId="63AD59A8"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MG-2.3.2</w:t>
            </w:r>
          </w:p>
        </w:tc>
        <w:tc>
          <w:tcPr>
            <w:tcW w:w="10420" w:type="dxa"/>
            <w:hideMark/>
          </w:tcPr>
          <w:p w14:paraId="0C557AE5"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Emergent Risk Stakeholder Communication and Transparency:</w:t>
            </w:r>
            <w:r w:rsidRPr="009F7E78">
              <w:rPr>
                <w:rFonts w:ascii="Aptos" w:eastAsia="Aptos" w:hAnsi="Aptos" w:cs="Times New Roman"/>
                <w:color w:val="auto"/>
                <w:kern w:val="2"/>
                <w:sz w:val="20"/>
                <w:szCs w:val="20"/>
                <w14:ligatures w14:val="standardContextual"/>
              </w:rPr>
              <w:t xml:space="preserve"> The organization communicates with relevant internal and external stakeholders in a timely and transparent fashion regarding identified emergent risks, their potential implications, and the organization's ongoing assessment and evolving management strategies. This includes utilizing pre-planned communication channels and templates, and coordinating with third parties as necessary, with an approach tailored to the unique characteristics of emergent risks.</w:t>
            </w:r>
          </w:p>
        </w:tc>
      </w:tr>
      <w:tr w:rsidR="009F7E78" w:rsidRPr="009F7E78" w14:paraId="166D80A5" w14:textId="77777777" w:rsidTr="00F85994">
        <w:trPr>
          <w:trHeight w:val="1450"/>
        </w:trPr>
        <w:tc>
          <w:tcPr>
            <w:tcW w:w="1040" w:type="dxa"/>
            <w:hideMark/>
          </w:tcPr>
          <w:p w14:paraId="481577DE"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lastRenderedPageBreak/>
              <w:t>CO</w:t>
            </w:r>
          </w:p>
        </w:tc>
        <w:tc>
          <w:tcPr>
            <w:tcW w:w="1180" w:type="dxa"/>
            <w:shd w:val="clear" w:color="auto" w:fill="005B8E"/>
            <w:hideMark/>
          </w:tcPr>
          <w:p w14:paraId="7AA45DE8"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MG-2.3.3</w:t>
            </w:r>
          </w:p>
        </w:tc>
        <w:tc>
          <w:tcPr>
            <w:tcW w:w="10420" w:type="dxa"/>
            <w:hideMark/>
          </w:tcPr>
          <w:p w14:paraId="0EB37A75"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AI Risk Response Team and Training:</w:t>
            </w:r>
            <w:r w:rsidRPr="009F7E78">
              <w:rPr>
                <w:rFonts w:ascii="Aptos" w:eastAsia="Aptos" w:hAnsi="Aptos" w:cs="Times New Roman"/>
                <w:color w:val="auto"/>
                <w:kern w:val="2"/>
                <w:sz w:val="20"/>
                <w:szCs w:val="20"/>
                <w14:ligatures w14:val="standardContextual"/>
              </w:rPr>
              <w:t xml:space="preserve"> The organization designates and trains a cross-functional incident response team, involving representatives from relevant business units, technical teams, and risk management functions, to effectively coordinate and execute escalation procedures when a previously unknown risk is identified, including non-security incidents that may impact AI systems or business operations.</w:t>
            </w:r>
          </w:p>
        </w:tc>
      </w:tr>
      <w:tr w:rsidR="009F7E78" w:rsidRPr="009F7E78" w14:paraId="2CEF8D04" w14:textId="77777777" w:rsidTr="00F85994">
        <w:trPr>
          <w:trHeight w:val="870"/>
        </w:trPr>
        <w:tc>
          <w:tcPr>
            <w:tcW w:w="1040" w:type="dxa"/>
            <w:hideMark/>
          </w:tcPr>
          <w:p w14:paraId="01ECFEE1"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S</w:t>
            </w:r>
          </w:p>
        </w:tc>
        <w:tc>
          <w:tcPr>
            <w:tcW w:w="1180" w:type="dxa"/>
            <w:shd w:val="clear" w:color="auto" w:fill="005B8E"/>
            <w:hideMark/>
          </w:tcPr>
          <w:p w14:paraId="7BFAB568"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MG-2.4</w:t>
            </w:r>
          </w:p>
        </w:tc>
        <w:tc>
          <w:tcPr>
            <w:tcW w:w="10420" w:type="dxa"/>
            <w:hideMark/>
          </w:tcPr>
          <w:p w14:paraId="5C0E5569"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Decommissioning or Superseding AI Systems:</w:t>
            </w:r>
            <w:r w:rsidRPr="009F7E78">
              <w:rPr>
                <w:rFonts w:ascii="Aptos" w:eastAsia="Aptos" w:hAnsi="Aptos" w:cs="Times New Roman"/>
                <w:color w:val="auto"/>
                <w:kern w:val="2"/>
                <w:sz w:val="20"/>
                <w:szCs w:val="20"/>
                <w14:ligatures w14:val="standardContextual"/>
              </w:rPr>
              <w:t xml:space="preserve"> Mechanisms are in place and applied, and responsibilities are assigned and understood, to supersede, disengage, or deactivate AI systems that demonstrate performance or outcomes inconsistent with intended use.</w:t>
            </w:r>
          </w:p>
        </w:tc>
      </w:tr>
      <w:tr w:rsidR="009F7E78" w:rsidRPr="009F7E78" w14:paraId="42EE0CCA" w14:textId="77777777" w:rsidTr="00F85994">
        <w:trPr>
          <w:trHeight w:val="1450"/>
        </w:trPr>
        <w:tc>
          <w:tcPr>
            <w:tcW w:w="1040" w:type="dxa"/>
            <w:hideMark/>
          </w:tcPr>
          <w:p w14:paraId="7D018D32"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5B8E"/>
            <w:hideMark/>
          </w:tcPr>
          <w:p w14:paraId="3F92A097"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MG-2.4.1</w:t>
            </w:r>
          </w:p>
        </w:tc>
        <w:tc>
          <w:tcPr>
            <w:tcW w:w="10420" w:type="dxa"/>
            <w:hideMark/>
          </w:tcPr>
          <w:p w14:paraId="77278A35"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Performance Monitoring and Action Triggers:</w:t>
            </w:r>
            <w:r w:rsidRPr="009F7E78">
              <w:rPr>
                <w:rFonts w:ascii="Aptos" w:eastAsia="Aptos" w:hAnsi="Aptos" w:cs="Times New Roman"/>
                <w:color w:val="auto"/>
                <w:kern w:val="2"/>
                <w:sz w:val="20"/>
                <w:szCs w:val="20"/>
                <w14:ligatures w14:val="standardContextual"/>
              </w:rPr>
              <w:t xml:space="preserve"> The organization determines when an AI system's performance or outcomes are inconsistent with its intended use, necessitating supersession, disengagement, or deactivation, and assigns specific roles and responsibilities for monitoring performance, making decisions regarding these actions, and executing them when necessary.</w:t>
            </w:r>
          </w:p>
        </w:tc>
      </w:tr>
      <w:tr w:rsidR="009F7E78" w:rsidRPr="009F7E78" w14:paraId="685404C8" w14:textId="77777777" w:rsidTr="00F85994">
        <w:trPr>
          <w:trHeight w:val="1740"/>
        </w:trPr>
        <w:tc>
          <w:tcPr>
            <w:tcW w:w="1040" w:type="dxa"/>
            <w:hideMark/>
          </w:tcPr>
          <w:p w14:paraId="416D6CD6"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5B8E"/>
            <w:hideMark/>
          </w:tcPr>
          <w:p w14:paraId="1DF52436"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MG-2.4.2</w:t>
            </w:r>
          </w:p>
        </w:tc>
        <w:tc>
          <w:tcPr>
            <w:tcW w:w="10420" w:type="dxa"/>
            <w:hideMark/>
          </w:tcPr>
          <w:p w14:paraId="607AF69E"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Disengagement Management and Post-Incident Review:</w:t>
            </w:r>
            <w:r w:rsidRPr="009F7E78">
              <w:rPr>
                <w:rFonts w:ascii="Aptos" w:eastAsia="Aptos" w:hAnsi="Aptos" w:cs="Times New Roman"/>
                <w:color w:val="auto"/>
                <w:kern w:val="2"/>
                <w:sz w:val="20"/>
                <w:szCs w:val="20"/>
                <w14:ligatures w14:val="standardContextual"/>
              </w:rPr>
              <w:t xml:space="preserve"> The organization manages the consequences of AI system supersession, disengagement, or deactivation, including communication with affected stakeholders, archiving data and models, and conducting post-incident review and analysis, while also providing training and resources to ensure all relevant personnel understand their roles, responsibilities, and procedures for these actions, thereby promoting a culture of responsible AI governance.</w:t>
            </w:r>
          </w:p>
        </w:tc>
      </w:tr>
      <w:tr w:rsidR="009F7E78" w:rsidRPr="009F7E78" w14:paraId="72B5EE96" w14:textId="77777777" w:rsidTr="00F85994">
        <w:trPr>
          <w:trHeight w:val="2320"/>
        </w:trPr>
        <w:tc>
          <w:tcPr>
            <w:tcW w:w="1040" w:type="dxa"/>
            <w:hideMark/>
          </w:tcPr>
          <w:p w14:paraId="7A485062"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5B8E"/>
            <w:hideMark/>
          </w:tcPr>
          <w:p w14:paraId="4340B6BD"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MG-2.4.3</w:t>
            </w:r>
          </w:p>
        </w:tc>
        <w:tc>
          <w:tcPr>
            <w:tcW w:w="10420" w:type="dxa"/>
            <w:hideMark/>
          </w:tcPr>
          <w:p w14:paraId="24AF434F"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Technical Mechanisms for System Shutdown / Disconnection:</w:t>
            </w:r>
            <w:r w:rsidRPr="009F7E78">
              <w:rPr>
                <w:rFonts w:ascii="Aptos" w:eastAsia="Aptos" w:hAnsi="Aptos" w:cs="Times New Roman"/>
                <w:color w:val="auto"/>
                <w:kern w:val="2"/>
                <w:sz w:val="20"/>
                <w:szCs w:val="20"/>
                <w14:ligatures w14:val="standardContextual"/>
              </w:rPr>
              <w:t xml:space="preserve"> The organization designs, implements, and regularly tests technical mechanisms and safeguards, including fallback, rollback, contingency, and deactivation systems, for the rapid, controlled disengagement of AI systems with inconsistent performance or outcomes. Plans for disconnecting third-party services are detailed, specifying coordination, responsibilities, and decision-making to ensure seamless transitions and maintain system integrity. These measures are validated and updated based on lessons learned and industry best practices to ensure effectiveness, reliability, and to minimize negative impacts.</w:t>
            </w:r>
          </w:p>
        </w:tc>
      </w:tr>
      <w:tr w:rsidR="009F7E78" w:rsidRPr="009F7E78" w14:paraId="79474060" w14:textId="77777777" w:rsidTr="00F85994">
        <w:trPr>
          <w:trHeight w:val="290"/>
        </w:trPr>
        <w:tc>
          <w:tcPr>
            <w:tcW w:w="1040" w:type="dxa"/>
            <w:hideMark/>
          </w:tcPr>
          <w:p w14:paraId="488ED5DF"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w:t>
            </w:r>
          </w:p>
        </w:tc>
        <w:tc>
          <w:tcPr>
            <w:tcW w:w="1180" w:type="dxa"/>
            <w:shd w:val="clear" w:color="auto" w:fill="005B8E"/>
            <w:hideMark/>
          </w:tcPr>
          <w:p w14:paraId="2AAF9CB6"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MG-3</w:t>
            </w:r>
          </w:p>
        </w:tc>
        <w:tc>
          <w:tcPr>
            <w:tcW w:w="10420" w:type="dxa"/>
            <w:hideMark/>
          </w:tcPr>
          <w:p w14:paraId="2E1BBDA5"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Managing Third-Party Risk:</w:t>
            </w:r>
            <w:r w:rsidRPr="009F7E78">
              <w:rPr>
                <w:rFonts w:ascii="Aptos" w:eastAsia="Aptos" w:hAnsi="Aptos" w:cs="Times New Roman"/>
                <w:color w:val="auto"/>
                <w:kern w:val="2"/>
                <w:sz w:val="20"/>
                <w:szCs w:val="20"/>
                <w14:ligatures w14:val="standardContextual"/>
              </w:rPr>
              <w:t xml:space="preserve"> AI risks and benefits from third-party entities are managed.</w:t>
            </w:r>
          </w:p>
        </w:tc>
      </w:tr>
      <w:tr w:rsidR="009F7E78" w:rsidRPr="009F7E78" w14:paraId="24A69B79" w14:textId="77777777" w:rsidTr="00F85994">
        <w:trPr>
          <w:trHeight w:val="580"/>
        </w:trPr>
        <w:tc>
          <w:tcPr>
            <w:tcW w:w="1040" w:type="dxa"/>
            <w:hideMark/>
          </w:tcPr>
          <w:p w14:paraId="3D7D901F"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S</w:t>
            </w:r>
          </w:p>
        </w:tc>
        <w:tc>
          <w:tcPr>
            <w:tcW w:w="1180" w:type="dxa"/>
            <w:shd w:val="clear" w:color="auto" w:fill="005B8E"/>
            <w:hideMark/>
          </w:tcPr>
          <w:p w14:paraId="150EC8CF"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MG-3.1</w:t>
            </w:r>
          </w:p>
        </w:tc>
        <w:tc>
          <w:tcPr>
            <w:tcW w:w="10420" w:type="dxa"/>
            <w:hideMark/>
          </w:tcPr>
          <w:p w14:paraId="733A74FA"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Monitoring and Responding to Third-Party Risks:</w:t>
            </w:r>
            <w:r w:rsidRPr="009F7E78">
              <w:rPr>
                <w:rFonts w:ascii="Aptos" w:eastAsia="Aptos" w:hAnsi="Aptos" w:cs="Times New Roman"/>
                <w:color w:val="auto"/>
                <w:kern w:val="2"/>
                <w:sz w:val="20"/>
                <w:szCs w:val="20"/>
                <w14:ligatures w14:val="standardContextual"/>
              </w:rPr>
              <w:t xml:space="preserve"> AI risks and benefits from third-party resources are regularly monitored, and risk controls are applied and documented.</w:t>
            </w:r>
          </w:p>
        </w:tc>
      </w:tr>
      <w:tr w:rsidR="009F7E78" w:rsidRPr="009F7E78" w14:paraId="3389A517" w14:textId="77777777" w:rsidTr="00F85994">
        <w:trPr>
          <w:trHeight w:val="1160"/>
        </w:trPr>
        <w:tc>
          <w:tcPr>
            <w:tcW w:w="1040" w:type="dxa"/>
            <w:hideMark/>
          </w:tcPr>
          <w:p w14:paraId="26A74627"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5B8E"/>
            <w:hideMark/>
          </w:tcPr>
          <w:p w14:paraId="7A3B0DCC"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MG-3.1.1</w:t>
            </w:r>
          </w:p>
        </w:tc>
        <w:tc>
          <w:tcPr>
            <w:tcW w:w="10420" w:type="dxa"/>
            <w:hideMark/>
          </w:tcPr>
          <w:p w14:paraId="468D3DD3"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Third-Party Practitioner Training and Collaboration:</w:t>
            </w:r>
            <w:r w:rsidRPr="009F7E78">
              <w:rPr>
                <w:rFonts w:ascii="Aptos" w:eastAsia="Aptos" w:hAnsi="Aptos" w:cs="Times New Roman"/>
                <w:color w:val="auto"/>
                <w:kern w:val="2"/>
                <w:sz w:val="20"/>
                <w:szCs w:val="20"/>
                <w14:ligatures w14:val="standardContextual"/>
              </w:rPr>
              <w:t xml:space="preserve"> The organization determines the needed level of third party personnel AI system proficiency and specific skills and collaborates with third party management to ensure that third party personnel receive adequate training. This training may be provided by the organization or by the third party.</w:t>
            </w:r>
          </w:p>
        </w:tc>
      </w:tr>
      <w:tr w:rsidR="009F7E78" w:rsidRPr="009F7E78" w14:paraId="10933A48" w14:textId="77777777" w:rsidTr="00F85994">
        <w:trPr>
          <w:trHeight w:val="2030"/>
        </w:trPr>
        <w:tc>
          <w:tcPr>
            <w:tcW w:w="1040" w:type="dxa"/>
            <w:hideMark/>
          </w:tcPr>
          <w:p w14:paraId="428F2A3D"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5B8E"/>
            <w:hideMark/>
          </w:tcPr>
          <w:p w14:paraId="0954398F"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MG-3.1.2</w:t>
            </w:r>
          </w:p>
        </w:tc>
        <w:tc>
          <w:tcPr>
            <w:tcW w:w="10420" w:type="dxa"/>
            <w:hideMark/>
          </w:tcPr>
          <w:p w14:paraId="7F30DCCA"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Vendor Risk and Compliance Assessments:</w:t>
            </w:r>
            <w:r w:rsidRPr="009F7E78">
              <w:rPr>
                <w:rFonts w:ascii="Aptos" w:eastAsia="Aptos" w:hAnsi="Aptos" w:cs="Times New Roman"/>
                <w:color w:val="auto"/>
                <w:kern w:val="2"/>
                <w:sz w:val="20"/>
                <w:szCs w:val="20"/>
                <w14:ligatures w14:val="standardContextual"/>
              </w:rPr>
              <w:t xml:space="preserve"> The organization integrates third-party AI resource assessments into existing vendor risk management processes, conducting periodic evaluations that identify potential AI-specific risks, vulnerabilities, and compliance gaps across technical and operational dimensions. These assessments examine AI system performance, data quality, algorithmic bias, security controls, and alignment with organizational AI principles and industry standards, with findings documented to inform risk mitigation strategies and ongoing monitoring efforts.</w:t>
            </w:r>
          </w:p>
        </w:tc>
      </w:tr>
      <w:tr w:rsidR="009F7E78" w:rsidRPr="009F7E78" w14:paraId="7366CAE7" w14:textId="77777777" w:rsidTr="00F85994">
        <w:trPr>
          <w:trHeight w:val="1740"/>
        </w:trPr>
        <w:tc>
          <w:tcPr>
            <w:tcW w:w="1040" w:type="dxa"/>
            <w:hideMark/>
          </w:tcPr>
          <w:p w14:paraId="7B2F8A3C"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lastRenderedPageBreak/>
              <w:t>CO</w:t>
            </w:r>
          </w:p>
        </w:tc>
        <w:tc>
          <w:tcPr>
            <w:tcW w:w="1180" w:type="dxa"/>
            <w:shd w:val="clear" w:color="auto" w:fill="005B8E"/>
            <w:hideMark/>
          </w:tcPr>
          <w:p w14:paraId="69D714D5"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MG-3.1.3</w:t>
            </w:r>
          </w:p>
        </w:tc>
        <w:tc>
          <w:tcPr>
            <w:tcW w:w="10420" w:type="dxa"/>
            <w:hideMark/>
          </w:tcPr>
          <w:p w14:paraId="7B472517"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Dependency, Aggregate, and Concentration Risk:</w:t>
            </w:r>
            <w:r w:rsidRPr="009F7E78">
              <w:rPr>
                <w:rFonts w:ascii="Aptos" w:eastAsia="Aptos" w:hAnsi="Aptos" w:cs="Times New Roman"/>
                <w:color w:val="auto"/>
                <w:kern w:val="2"/>
                <w:sz w:val="20"/>
                <w:szCs w:val="20"/>
                <w14:ligatures w14:val="standardContextual"/>
              </w:rPr>
              <w:t xml:space="preserve"> The organization periodically assesses its portfolio of third-party AI resources to identify potential concentration risks, evaluating dependencies, vendor diversity, insourcing/outsourcing considerations, and the potential impact of over-reliance on specific third-party providers across critical AI systems and functions, with findings used to inform risk mitigation strategies and strategic sourcing decisions.</w:t>
            </w:r>
          </w:p>
        </w:tc>
      </w:tr>
      <w:tr w:rsidR="009F7E78" w:rsidRPr="009F7E78" w14:paraId="4E6CE157" w14:textId="77777777" w:rsidTr="00F85994">
        <w:trPr>
          <w:trHeight w:val="1450"/>
        </w:trPr>
        <w:tc>
          <w:tcPr>
            <w:tcW w:w="1040" w:type="dxa"/>
            <w:hideMark/>
          </w:tcPr>
          <w:p w14:paraId="49830152"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5B8E"/>
            <w:hideMark/>
          </w:tcPr>
          <w:p w14:paraId="41D674F1"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MG-3.1.4</w:t>
            </w:r>
          </w:p>
        </w:tc>
        <w:tc>
          <w:tcPr>
            <w:tcW w:w="10420" w:type="dxa"/>
            <w:hideMark/>
          </w:tcPr>
          <w:p w14:paraId="5B510655"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Shared Responsibility:</w:t>
            </w:r>
            <w:r w:rsidRPr="009F7E78">
              <w:rPr>
                <w:rFonts w:ascii="Aptos" w:eastAsia="Aptos" w:hAnsi="Aptos" w:cs="Times New Roman"/>
                <w:color w:val="auto"/>
                <w:kern w:val="2"/>
                <w:sz w:val="20"/>
                <w:szCs w:val="20"/>
                <w14:ligatures w14:val="standardContextual"/>
              </w:rPr>
              <w:t xml:space="preserve"> The organization applies its risk management policies, risk appetite and tolerance, and risk controls to third-party AI resources, while developing and monitoring a shared responsibility model that defines risk management responsibilities, accountability, and potential escalation procedures for the organization and third-party provider across the AI system lifecycle.</w:t>
            </w:r>
          </w:p>
        </w:tc>
      </w:tr>
      <w:tr w:rsidR="009F7E78" w:rsidRPr="009F7E78" w14:paraId="01484FE1" w14:textId="77777777" w:rsidTr="00F85994">
        <w:trPr>
          <w:trHeight w:val="1450"/>
        </w:trPr>
        <w:tc>
          <w:tcPr>
            <w:tcW w:w="1040" w:type="dxa"/>
            <w:hideMark/>
          </w:tcPr>
          <w:p w14:paraId="420DA71D"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5B8E"/>
            <w:hideMark/>
          </w:tcPr>
          <w:p w14:paraId="20D0DB94"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MG-3.1.5</w:t>
            </w:r>
          </w:p>
        </w:tc>
        <w:tc>
          <w:tcPr>
            <w:tcW w:w="10420" w:type="dxa"/>
            <w:hideMark/>
          </w:tcPr>
          <w:p w14:paraId="078480A8"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Third-Party AI Risk Monitoring:</w:t>
            </w:r>
            <w:r w:rsidRPr="009F7E78">
              <w:rPr>
                <w:rFonts w:ascii="Aptos" w:eastAsia="Aptos" w:hAnsi="Aptos" w:cs="Times New Roman"/>
                <w:color w:val="auto"/>
                <w:kern w:val="2"/>
                <w:sz w:val="20"/>
                <w:szCs w:val="20"/>
                <w14:ligatures w14:val="standardContextual"/>
              </w:rPr>
              <w:t xml:space="preserve"> The organization monitors AI risks and benefits associated with third-party resources (e.g., data, models, consultants, contractors, other external personnel) throughout the AI lifecycle, including the ongoing monitoring of SLAs and contract compliance to ensure adherence to contractual commitments and mitigate associated risks.</w:t>
            </w:r>
          </w:p>
        </w:tc>
      </w:tr>
      <w:tr w:rsidR="009F7E78" w:rsidRPr="009F7E78" w14:paraId="0EBC6F21" w14:textId="77777777" w:rsidTr="00F85994">
        <w:trPr>
          <w:trHeight w:val="580"/>
        </w:trPr>
        <w:tc>
          <w:tcPr>
            <w:tcW w:w="1040" w:type="dxa"/>
            <w:hideMark/>
          </w:tcPr>
          <w:p w14:paraId="4E2D099C"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S</w:t>
            </w:r>
          </w:p>
        </w:tc>
        <w:tc>
          <w:tcPr>
            <w:tcW w:w="1180" w:type="dxa"/>
            <w:shd w:val="clear" w:color="auto" w:fill="005B8E"/>
            <w:hideMark/>
          </w:tcPr>
          <w:p w14:paraId="30D67938"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MG-3.2</w:t>
            </w:r>
          </w:p>
        </w:tc>
        <w:tc>
          <w:tcPr>
            <w:tcW w:w="10420" w:type="dxa"/>
            <w:hideMark/>
          </w:tcPr>
          <w:p w14:paraId="2EF52C97"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Monitoring and Responding to Pre-Trained Model Risks:</w:t>
            </w:r>
            <w:r w:rsidRPr="009F7E78">
              <w:rPr>
                <w:rFonts w:ascii="Aptos" w:eastAsia="Aptos" w:hAnsi="Aptos" w:cs="Times New Roman"/>
                <w:color w:val="auto"/>
                <w:kern w:val="2"/>
                <w:sz w:val="20"/>
                <w:szCs w:val="20"/>
                <w14:ligatures w14:val="standardContextual"/>
              </w:rPr>
              <w:t xml:space="preserve"> Pre-trained models which are used for development are monitored as part of AI system regular monitoring and maintenance.</w:t>
            </w:r>
          </w:p>
        </w:tc>
      </w:tr>
      <w:tr w:rsidR="009F7E78" w:rsidRPr="009F7E78" w14:paraId="3DBDDBC0" w14:textId="77777777" w:rsidTr="00F85994">
        <w:trPr>
          <w:trHeight w:val="1450"/>
        </w:trPr>
        <w:tc>
          <w:tcPr>
            <w:tcW w:w="1040" w:type="dxa"/>
            <w:hideMark/>
          </w:tcPr>
          <w:p w14:paraId="6E000965"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5B8E"/>
            <w:hideMark/>
          </w:tcPr>
          <w:p w14:paraId="127561AE"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MG-3.2.1</w:t>
            </w:r>
          </w:p>
        </w:tc>
        <w:tc>
          <w:tcPr>
            <w:tcW w:w="10420" w:type="dxa"/>
            <w:hideMark/>
          </w:tcPr>
          <w:p w14:paraId="3C30F899"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Model Risk and Remediation Protocols:</w:t>
            </w:r>
            <w:r w:rsidRPr="009F7E78">
              <w:rPr>
                <w:rFonts w:ascii="Aptos" w:eastAsia="Aptos" w:hAnsi="Aptos" w:cs="Times New Roman"/>
                <w:color w:val="auto"/>
                <w:kern w:val="2"/>
                <w:sz w:val="20"/>
                <w:szCs w:val="20"/>
                <w14:ligatures w14:val="standardContextual"/>
              </w:rPr>
              <w:t xml:space="preserve"> The organization maintains a risk management approach for pre-trained models, including developing protocols for model validation, monitoring, and potential remediation, defining model limitations, and creating frameworks for AI system adjustment, replacement, or decommissioning based on identified risks and performance metrics.</w:t>
            </w:r>
          </w:p>
        </w:tc>
      </w:tr>
      <w:tr w:rsidR="009F7E78" w:rsidRPr="009F7E78" w14:paraId="6BF2F0C9" w14:textId="77777777" w:rsidTr="00F85994">
        <w:trPr>
          <w:trHeight w:val="1740"/>
        </w:trPr>
        <w:tc>
          <w:tcPr>
            <w:tcW w:w="1040" w:type="dxa"/>
            <w:hideMark/>
          </w:tcPr>
          <w:p w14:paraId="37A42A3E"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5B8E"/>
            <w:hideMark/>
          </w:tcPr>
          <w:p w14:paraId="2FF57008"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MG-3.2.2</w:t>
            </w:r>
          </w:p>
        </w:tc>
        <w:tc>
          <w:tcPr>
            <w:tcW w:w="10420" w:type="dxa"/>
            <w:hideMark/>
          </w:tcPr>
          <w:p w14:paraId="75D79EC5"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Performance Deviation Detection:</w:t>
            </w:r>
            <w:r w:rsidRPr="009F7E78">
              <w:rPr>
                <w:rFonts w:ascii="Aptos" w:eastAsia="Aptos" w:hAnsi="Aptos" w:cs="Times New Roman"/>
                <w:color w:val="auto"/>
                <w:kern w:val="2"/>
                <w:sz w:val="20"/>
                <w:szCs w:val="20"/>
                <w14:ligatures w14:val="standardContextual"/>
              </w:rPr>
              <w:t xml:space="preserve"> The organization develops monitoring mechanisms to detect and evaluate performance deviations, risks, and behaviors of pre-trained models in production systems, tracking performance metrics across development and production contexts, establishing indicators for model drift, bias, or degradation, implementing assessment processes to identify and address emerging risks, and documenting variations in model performance.</w:t>
            </w:r>
          </w:p>
        </w:tc>
      </w:tr>
      <w:tr w:rsidR="009F7E78" w:rsidRPr="009F7E78" w14:paraId="029A758E" w14:textId="77777777" w:rsidTr="00F85994">
        <w:trPr>
          <w:trHeight w:val="580"/>
        </w:trPr>
        <w:tc>
          <w:tcPr>
            <w:tcW w:w="1040" w:type="dxa"/>
            <w:hideMark/>
          </w:tcPr>
          <w:p w14:paraId="620C4DB9"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w:t>
            </w:r>
          </w:p>
        </w:tc>
        <w:tc>
          <w:tcPr>
            <w:tcW w:w="1180" w:type="dxa"/>
            <w:shd w:val="clear" w:color="auto" w:fill="005B8E"/>
            <w:hideMark/>
          </w:tcPr>
          <w:p w14:paraId="0D0E920B"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MG-4</w:t>
            </w:r>
          </w:p>
        </w:tc>
        <w:tc>
          <w:tcPr>
            <w:tcW w:w="10420" w:type="dxa"/>
            <w:hideMark/>
          </w:tcPr>
          <w:p w14:paraId="03056FB0"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Ongoing Risk Response:</w:t>
            </w:r>
            <w:r w:rsidRPr="009F7E78">
              <w:rPr>
                <w:rFonts w:ascii="Aptos" w:eastAsia="Aptos" w:hAnsi="Aptos" w:cs="Times New Roman"/>
                <w:color w:val="auto"/>
                <w:kern w:val="2"/>
                <w:sz w:val="20"/>
                <w:szCs w:val="20"/>
                <w14:ligatures w14:val="standardContextual"/>
              </w:rPr>
              <w:t xml:space="preserve"> Risk treatments, including response and recovery, and communication plans for the identified and measured AI risks are documented and monitored regularly.</w:t>
            </w:r>
          </w:p>
        </w:tc>
      </w:tr>
      <w:tr w:rsidR="009F7E78" w:rsidRPr="009F7E78" w14:paraId="44524D5B" w14:textId="77777777" w:rsidTr="00F85994">
        <w:trPr>
          <w:trHeight w:val="1160"/>
        </w:trPr>
        <w:tc>
          <w:tcPr>
            <w:tcW w:w="1040" w:type="dxa"/>
            <w:hideMark/>
          </w:tcPr>
          <w:p w14:paraId="7A9C680E"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S</w:t>
            </w:r>
          </w:p>
        </w:tc>
        <w:tc>
          <w:tcPr>
            <w:tcW w:w="1180" w:type="dxa"/>
            <w:shd w:val="clear" w:color="auto" w:fill="005B8E"/>
            <w:hideMark/>
          </w:tcPr>
          <w:p w14:paraId="5D50DD03"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MG-4.1</w:t>
            </w:r>
          </w:p>
        </w:tc>
        <w:tc>
          <w:tcPr>
            <w:tcW w:w="10420" w:type="dxa"/>
            <w:hideMark/>
          </w:tcPr>
          <w:p w14:paraId="023B9F13"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Post-Deployment Risk Management:</w:t>
            </w:r>
            <w:r w:rsidRPr="009F7E78">
              <w:rPr>
                <w:rFonts w:ascii="Aptos" w:eastAsia="Aptos" w:hAnsi="Aptos" w:cs="Times New Roman"/>
                <w:color w:val="auto"/>
                <w:kern w:val="2"/>
                <w:sz w:val="20"/>
                <w:szCs w:val="20"/>
                <w14:ligatures w14:val="standardContextual"/>
              </w:rPr>
              <w:t xml:space="preserve"> Post-deployment AI system monitoring plans are implemented, including mechanisms for capturing and evaluating input from users and other relevant AI actors, appeal and override, decommissioning, incident response, recovery, and change management.</w:t>
            </w:r>
          </w:p>
        </w:tc>
      </w:tr>
      <w:tr w:rsidR="009F7E78" w:rsidRPr="009F7E78" w14:paraId="4591695C" w14:textId="77777777" w:rsidTr="00F85994">
        <w:trPr>
          <w:trHeight w:val="870"/>
        </w:trPr>
        <w:tc>
          <w:tcPr>
            <w:tcW w:w="1040" w:type="dxa"/>
            <w:hideMark/>
          </w:tcPr>
          <w:p w14:paraId="246E7168"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5B8E"/>
            <w:hideMark/>
          </w:tcPr>
          <w:p w14:paraId="3C0168FD"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MG-4.1.1</w:t>
            </w:r>
          </w:p>
        </w:tc>
        <w:tc>
          <w:tcPr>
            <w:tcW w:w="10420" w:type="dxa"/>
            <w:hideMark/>
          </w:tcPr>
          <w:p w14:paraId="1D259352"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Post-deployment Oversight:</w:t>
            </w:r>
            <w:r w:rsidRPr="009F7E78">
              <w:rPr>
                <w:rFonts w:ascii="Aptos" w:eastAsia="Aptos" w:hAnsi="Aptos" w:cs="Times New Roman"/>
                <w:color w:val="auto"/>
                <w:kern w:val="2"/>
                <w:sz w:val="20"/>
                <w:szCs w:val="20"/>
                <w14:ligatures w14:val="standardContextual"/>
              </w:rPr>
              <w:t xml:space="preserve"> The organization conducts ongoing monitoring, maintenance, and improvement of the AI systems, as well as the exploration and development of new AI-powered capabilities aligned with the organization's strategic objectives.</w:t>
            </w:r>
          </w:p>
        </w:tc>
      </w:tr>
      <w:tr w:rsidR="009F7E78" w:rsidRPr="009F7E78" w14:paraId="389A9B2D" w14:textId="77777777" w:rsidTr="00F85994">
        <w:trPr>
          <w:trHeight w:val="1450"/>
        </w:trPr>
        <w:tc>
          <w:tcPr>
            <w:tcW w:w="1040" w:type="dxa"/>
            <w:hideMark/>
          </w:tcPr>
          <w:p w14:paraId="7683CD94"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lastRenderedPageBreak/>
              <w:t>CO</w:t>
            </w:r>
          </w:p>
        </w:tc>
        <w:tc>
          <w:tcPr>
            <w:tcW w:w="1180" w:type="dxa"/>
            <w:shd w:val="clear" w:color="auto" w:fill="005B8E"/>
            <w:hideMark/>
          </w:tcPr>
          <w:p w14:paraId="39729AD5"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MG-4.1.2</w:t>
            </w:r>
          </w:p>
        </w:tc>
        <w:tc>
          <w:tcPr>
            <w:tcW w:w="10420" w:type="dxa"/>
            <w:hideMark/>
          </w:tcPr>
          <w:p w14:paraId="7CAA9ECA"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AI Vulnerability and Security Review:</w:t>
            </w:r>
            <w:r w:rsidRPr="009F7E78">
              <w:rPr>
                <w:rFonts w:ascii="Aptos" w:eastAsia="Aptos" w:hAnsi="Aptos" w:cs="Times New Roman"/>
                <w:color w:val="auto"/>
                <w:kern w:val="2"/>
                <w:sz w:val="20"/>
                <w:szCs w:val="20"/>
                <w14:ligatures w14:val="standardContextual"/>
              </w:rPr>
              <w:t xml:space="preserve"> The organization has integrated its AI systems into the overall vulnerability management and security review processes, ensuring that AI-specific vulnerabilities and security risks are identified, assessed, and remediated on a regular basis, in alignment with the organization's broader cybersecurity strategy and controls.</w:t>
            </w:r>
          </w:p>
        </w:tc>
      </w:tr>
      <w:tr w:rsidR="009F7E78" w:rsidRPr="009F7E78" w14:paraId="33CB805A" w14:textId="77777777" w:rsidTr="00F85994">
        <w:trPr>
          <w:trHeight w:val="1450"/>
        </w:trPr>
        <w:tc>
          <w:tcPr>
            <w:tcW w:w="1040" w:type="dxa"/>
            <w:hideMark/>
          </w:tcPr>
          <w:p w14:paraId="1E3FE77D"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5B8E"/>
            <w:hideMark/>
          </w:tcPr>
          <w:p w14:paraId="14A06D98"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MG-4.1.3</w:t>
            </w:r>
          </w:p>
        </w:tc>
        <w:tc>
          <w:tcPr>
            <w:tcW w:w="10420" w:type="dxa"/>
            <w:hideMark/>
          </w:tcPr>
          <w:p w14:paraId="6999291F"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AI Application and Update Management:</w:t>
            </w:r>
            <w:r w:rsidRPr="009F7E78">
              <w:rPr>
                <w:rFonts w:ascii="Aptos" w:eastAsia="Aptos" w:hAnsi="Aptos" w:cs="Times New Roman"/>
                <w:color w:val="auto"/>
                <w:kern w:val="2"/>
                <w:sz w:val="20"/>
                <w:szCs w:val="20"/>
                <w14:ligatures w14:val="standardContextual"/>
              </w:rPr>
              <w:t xml:space="preserve"> The organization has established robust application management and upgrade processes that specifically address the unique requirements and considerations of its AI systems, including the management of model updates, algorithm changes, and data updates, to ensure the continued reliability, security, and performance of the AI applications.</w:t>
            </w:r>
          </w:p>
        </w:tc>
      </w:tr>
      <w:tr w:rsidR="009F7E78" w:rsidRPr="009F7E78" w14:paraId="01C4A80A" w14:textId="77777777" w:rsidTr="00F85994">
        <w:trPr>
          <w:trHeight w:val="1160"/>
        </w:trPr>
        <w:tc>
          <w:tcPr>
            <w:tcW w:w="1040" w:type="dxa"/>
            <w:hideMark/>
          </w:tcPr>
          <w:p w14:paraId="2107BA5D"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5B8E"/>
            <w:hideMark/>
          </w:tcPr>
          <w:p w14:paraId="40854811"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MG-4.1.4</w:t>
            </w:r>
          </w:p>
        </w:tc>
        <w:tc>
          <w:tcPr>
            <w:tcW w:w="10420" w:type="dxa"/>
            <w:hideMark/>
          </w:tcPr>
          <w:p w14:paraId="542A9C8D"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Change Management for AI Systems:</w:t>
            </w:r>
            <w:r w:rsidRPr="009F7E78">
              <w:rPr>
                <w:rFonts w:ascii="Aptos" w:eastAsia="Aptos" w:hAnsi="Aptos" w:cs="Times New Roman"/>
                <w:color w:val="auto"/>
                <w:kern w:val="2"/>
                <w:sz w:val="20"/>
                <w:szCs w:val="20"/>
                <w14:ligatures w14:val="standardContextual"/>
              </w:rPr>
              <w:t xml:space="preserve"> The organization incorporates AI systems into existing change management processes, conducting system updates, modifications, and decommissioning through structured approaches that include documentation, stakeholder communication, and tracking of dataset modifications (e.g., deletions, rectifications).</w:t>
            </w:r>
          </w:p>
        </w:tc>
      </w:tr>
      <w:tr w:rsidR="009F7E78" w:rsidRPr="009F7E78" w14:paraId="74B86ACC" w14:textId="77777777" w:rsidTr="00F85994">
        <w:trPr>
          <w:trHeight w:val="1740"/>
        </w:trPr>
        <w:tc>
          <w:tcPr>
            <w:tcW w:w="1040" w:type="dxa"/>
            <w:hideMark/>
          </w:tcPr>
          <w:p w14:paraId="706F40CD"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5B8E"/>
            <w:hideMark/>
          </w:tcPr>
          <w:p w14:paraId="7715E904"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MG-4.1.5</w:t>
            </w:r>
          </w:p>
        </w:tc>
        <w:tc>
          <w:tcPr>
            <w:tcW w:w="10420" w:type="dxa"/>
            <w:hideMark/>
          </w:tcPr>
          <w:p w14:paraId="1E9928A1"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Safety Metrics and Incident Response:</w:t>
            </w:r>
            <w:r w:rsidRPr="009F7E78">
              <w:rPr>
                <w:rFonts w:ascii="Aptos" w:eastAsia="Aptos" w:hAnsi="Aptos" w:cs="Times New Roman"/>
                <w:color w:val="auto"/>
                <w:kern w:val="2"/>
                <w:sz w:val="20"/>
                <w:szCs w:val="20"/>
                <w14:ligatures w14:val="standardContextual"/>
              </w:rPr>
              <w:t xml:space="preserve"> The organization defines, monitors, and refines safety metrics that reflect system reliability, robustness, and failure response times. Real-time monitoring capabilities are integrated into the system to identify deviations. Incident response plans include predefined mitigation steps, communication protocols, and post-incident reviews. Regular drills are conducted to ensure preparedness for AI-related safety incidents.</w:t>
            </w:r>
          </w:p>
        </w:tc>
      </w:tr>
      <w:tr w:rsidR="009F7E78" w:rsidRPr="009F7E78" w14:paraId="5A9E5769" w14:textId="77777777" w:rsidTr="00F85994">
        <w:trPr>
          <w:trHeight w:val="1740"/>
        </w:trPr>
        <w:tc>
          <w:tcPr>
            <w:tcW w:w="1040" w:type="dxa"/>
            <w:hideMark/>
          </w:tcPr>
          <w:p w14:paraId="61E60ACB"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5B8E"/>
            <w:hideMark/>
          </w:tcPr>
          <w:p w14:paraId="51390328"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MG-4.1.6</w:t>
            </w:r>
          </w:p>
        </w:tc>
        <w:tc>
          <w:tcPr>
            <w:tcW w:w="10420" w:type="dxa"/>
            <w:hideMark/>
          </w:tcPr>
          <w:p w14:paraId="133B0793"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AI Incident Response and Recovery Procedures:</w:t>
            </w:r>
            <w:r w:rsidRPr="009F7E78">
              <w:rPr>
                <w:rFonts w:ascii="Aptos" w:eastAsia="Aptos" w:hAnsi="Aptos" w:cs="Times New Roman"/>
                <w:color w:val="auto"/>
                <w:kern w:val="2"/>
                <w:sz w:val="20"/>
                <w:szCs w:val="20"/>
                <w14:ligatures w14:val="standardContextual"/>
              </w:rPr>
              <w:t xml:space="preserve"> The organization implements AI-specific incident response and recovery procedures into existing organizational incident management processes, outlining steps for addressing system failures, security breaches, and other AI-related incidents while considering the unique characteristics of AI systems, and periodically reviews and updates these procedures based on lessons learned, emerging risks, and evolving industry practices.</w:t>
            </w:r>
          </w:p>
        </w:tc>
      </w:tr>
      <w:tr w:rsidR="009F7E78" w:rsidRPr="009F7E78" w14:paraId="1D4DBEBD" w14:textId="77777777" w:rsidTr="00F85994">
        <w:trPr>
          <w:trHeight w:val="870"/>
        </w:trPr>
        <w:tc>
          <w:tcPr>
            <w:tcW w:w="1040" w:type="dxa"/>
            <w:hideMark/>
          </w:tcPr>
          <w:p w14:paraId="078C3C27"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S</w:t>
            </w:r>
          </w:p>
        </w:tc>
        <w:tc>
          <w:tcPr>
            <w:tcW w:w="1180" w:type="dxa"/>
            <w:shd w:val="clear" w:color="auto" w:fill="005B8E"/>
            <w:hideMark/>
          </w:tcPr>
          <w:p w14:paraId="29EC51F3"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MG-4.2</w:t>
            </w:r>
          </w:p>
        </w:tc>
        <w:tc>
          <w:tcPr>
            <w:tcW w:w="10420" w:type="dxa"/>
            <w:hideMark/>
          </w:tcPr>
          <w:p w14:paraId="6A10B071"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Continuously Improving AI Systems:</w:t>
            </w:r>
            <w:r w:rsidRPr="009F7E78">
              <w:rPr>
                <w:rFonts w:ascii="Aptos" w:eastAsia="Aptos" w:hAnsi="Aptos" w:cs="Times New Roman"/>
                <w:color w:val="auto"/>
                <w:kern w:val="2"/>
                <w:sz w:val="20"/>
                <w:szCs w:val="20"/>
                <w14:ligatures w14:val="standardContextual"/>
              </w:rPr>
              <w:t xml:space="preserve"> Measurable activities for continual improvements are integrated into AI system updates and include regular engagement with interested parties, including relevant AI actors.</w:t>
            </w:r>
          </w:p>
        </w:tc>
      </w:tr>
      <w:tr w:rsidR="009F7E78" w:rsidRPr="009F7E78" w14:paraId="45AD9B9F" w14:textId="77777777" w:rsidTr="00F85994">
        <w:trPr>
          <w:trHeight w:val="1450"/>
        </w:trPr>
        <w:tc>
          <w:tcPr>
            <w:tcW w:w="1040" w:type="dxa"/>
            <w:hideMark/>
          </w:tcPr>
          <w:p w14:paraId="4A9B0A6A"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5B8E"/>
            <w:hideMark/>
          </w:tcPr>
          <w:p w14:paraId="38EB4F5D"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MG-4.2.1</w:t>
            </w:r>
          </w:p>
        </w:tc>
        <w:tc>
          <w:tcPr>
            <w:tcW w:w="10420" w:type="dxa"/>
            <w:hideMark/>
          </w:tcPr>
          <w:p w14:paraId="365067DF"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Content Lineage and Provenance Training:</w:t>
            </w:r>
            <w:r w:rsidRPr="009F7E78">
              <w:rPr>
                <w:rFonts w:ascii="Aptos" w:eastAsia="Aptos" w:hAnsi="Aptos" w:cs="Times New Roman"/>
                <w:color w:val="auto"/>
                <w:kern w:val="2"/>
                <w:sz w:val="20"/>
                <w:szCs w:val="20"/>
                <w14:ligatures w14:val="standardContextual"/>
              </w:rPr>
              <w:t xml:space="preserve"> The organization establishes an ongoing program to evaluate the ability of operators and end users to understand content lineage, origin, and provenance information related to the AI system. The organization evaluates the adequacy of existing training and adapts training and certification programs to address identified gaps.</w:t>
            </w:r>
          </w:p>
        </w:tc>
      </w:tr>
      <w:tr w:rsidR="009F7E78" w:rsidRPr="009F7E78" w14:paraId="3F7E7032" w14:textId="77777777" w:rsidTr="00F85994">
        <w:trPr>
          <w:trHeight w:val="1160"/>
        </w:trPr>
        <w:tc>
          <w:tcPr>
            <w:tcW w:w="1040" w:type="dxa"/>
            <w:hideMark/>
          </w:tcPr>
          <w:p w14:paraId="3037F2C9"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5B8E"/>
            <w:hideMark/>
          </w:tcPr>
          <w:p w14:paraId="6D69E28E"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MG-4.2.2</w:t>
            </w:r>
          </w:p>
        </w:tc>
        <w:tc>
          <w:tcPr>
            <w:tcW w:w="10420" w:type="dxa"/>
            <w:hideMark/>
          </w:tcPr>
          <w:p w14:paraId="1225641D"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Stakeholder Engagement for Improvement:</w:t>
            </w:r>
            <w:r w:rsidRPr="009F7E78">
              <w:rPr>
                <w:rFonts w:ascii="Aptos" w:eastAsia="Aptos" w:hAnsi="Aptos" w:cs="Times New Roman"/>
                <w:color w:val="auto"/>
                <w:kern w:val="2"/>
                <w:sz w:val="20"/>
                <w:szCs w:val="20"/>
                <w14:ligatures w14:val="standardContextual"/>
              </w:rPr>
              <w:t xml:space="preserve"> The organization regularly engages a wide range of stakeholders (e.g., users, domain experts, affected communities, other relevant AI stakeholders) to gather feedback and insights on the performance, impacts, and potential improvements of its AI systems.</w:t>
            </w:r>
          </w:p>
        </w:tc>
      </w:tr>
      <w:tr w:rsidR="009F7E78" w:rsidRPr="009F7E78" w14:paraId="30BA7DB9" w14:textId="77777777" w:rsidTr="00F85994">
        <w:trPr>
          <w:trHeight w:val="2610"/>
        </w:trPr>
        <w:tc>
          <w:tcPr>
            <w:tcW w:w="1040" w:type="dxa"/>
            <w:hideMark/>
          </w:tcPr>
          <w:p w14:paraId="70A308D3"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lastRenderedPageBreak/>
              <w:t>CO</w:t>
            </w:r>
          </w:p>
        </w:tc>
        <w:tc>
          <w:tcPr>
            <w:tcW w:w="1180" w:type="dxa"/>
            <w:shd w:val="clear" w:color="auto" w:fill="005B8E"/>
            <w:hideMark/>
          </w:tcPr>
          <w:p w14:paraId="39967E9D"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MG-4.2.3</w:t>
            </w:r>
          </w:p>
        </w:tc>
        <w:tc>
          <w:tcPr>
            <w:tcW w:w="10420" w:type="dxa"/>
            <w:hideMark/>
          </w:tcPr>
          <w:p w14:paraId="5D841F88"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Feedback Integration and Continuous Improvement:</w:t>
            </w:r>
            <w:r w:rsidRPr="009F7E78">
              <w:rPr>
                <w:rFonts w:ascii="Aptos" w:eastAsia="Aptos" w:hAnsi="Aptos" w:cs="Times New Roman"/>
                <w:color w:val="auto"/>
                <w:kern w:val="2"/>
                <w:sz w:val="20"/>
                <w:szCs w:val="20"/>
                <w14:ligatures w14:val="standardContextual"/>
              </w:rPr>
              <w:t xml:space="preserve"> The organization integrates feedback from AI stakeholders and insights from independent oversight into the AI system’s development, deployment, monitoring, and TEVV processes, facilitating effective implementation, user acceptance testing, ongoing monitoring, evaluation, and optimization of AI systems throughout their lifecycle. This integration ensures that measurement data and stakeholder feedback directly inform decisions, enhance system performance, and promote trustworthiness. The framework is designed to support continuous improvements driven by data-driven insights and stakeholder perspectives, ensuring that changes meet user needs and operate as intended.</w:t>
            </w:r>
          </w:p>
        </w:tc>
      </w:tr>
      <w:tr w:rsidR="009F7E78" w:rsidRPr="009F7E78" w14:paraId="1260954B" w14:textId="77777777" w:rsidTr="00F85994">
        <w:trPr>
          <w:trHeight w:val="870"/>
        </w:trPr>
        <w:tc>
          <w:tcPr>
            <w:tcW w:w="1040" w:type="dxa"/>
            <w:hideMark/>
          </w:tcPr>
          <w:p w14:paraId="7D75E976"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S</w:t>
            </w:r>
          </w:p>
        </w:tc>
        <w:tc>
          <w:tcPr>
            <w:tcW w:w="1180" w:type="dxa"/>
            <w:shd w:val="clear" w:color="auto" w:fill="005B8E"/>
            <w:hideMark/>
          </w:tcPr>
          <w:p w14:paraId="2F8A4A1B"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MG-4.3</w:t>
            </w:r>
          </w:p>
        </w:tc>
        <w:tc>
          <w:tcPr>
            <w:tcW w:w="10420" w:type="dxa"/>
            <w:hideMark/>
          </w:tcPr>
          <w:p w14:paraId="6749B98F"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Responding to Incidents:</w:t>
            </w:r>
            <w:r w:rsidRPr="009F7E78">
              <w:rPr>
                <w:rFonts w:ascii="Aptos" w:eastAsia="Aptos" w:hAnsi="Aptos" w:cs="Times New Roman"/>
                <w:color w:val="auto"/>
                <w:kern w:val="2"/>
                <w:sz w:val="20"/>
                <w:szCs w:val="20"/>
                <w14:ligatures w14:val="standardContextual"/>
              </w:rPr>
              <w:t xml:space="preserve"> Incidents and errors are communicated to relevant AI actors, including affected communities. Processes for tracking, responding to, and recovering from incidents and errors are followed and documented.</w:t>
            </w:r>
          </w:p>
        </w:tc>
      </w:tr>
      <w:tr w:rsidR="009F7E78" w:rsidRPr="009F7E78" w14:paraId="59028F46" w14:textId="77777777" w:rsidTr="00F85994">
        <w:trPr>
          <w:trHeight w:val="2320"/>
        </w:trPr>
        <w:tc>
          <w:tcPr>
            <w:tcW w:w="1040" w:type="dxa"/>
            <w:hideMark/>
          </w:tcPr>
          <w:p w14:paraId="1E4C18C4"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5B8E"/>
            <w:hideMark/>
          </w:tcPr>
          <w:p w14:paraId="685EEBB8"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MG-4.3.1</w:t>
            </w:r>
          </w:p>
        </w:tc>
        <w:tc>
          <w:tcPr>
            <w:tcW w:w="10420" w:type="dxa"/>
            <w:hideMark/>
          </w:tcPr>
          <w:p w14:paraId="1C85EDDA"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System-Specific Incident Processes:</w:t>
            </w:r>
            <w:r w:rsidRPr="009F7E78">
              <w:rPr>
                <w:rFonts w:ascii="Aptos" w:eastAsia="Aptos" w:hAnsi="Aptos" w:cs="Times New Roman"/>
                <w:color w:val="auto"/>
                <w:kern w:val="2"/>
                <w:sz w:val="20"/>
                <w:szCs w:val="20"/>
                <w14:ligatures w14:val="standardContextual"/>
              </w:rPr>
              <w:t xml:space="preserve"> The organization develops and maintains incident response and recovery processes specific to each AI system, tailored to the system's unique characteristics, potential risks, and operational context. These processes are integrated with existing procedures where practical and include designated roles and responsibilities for key stakeholders. The incident response and recovery processes are regularly reviewed and updated based on actual incidents, simulated scenarios, system performance data, and emerging industry practices, ensuring they remain effective and relevant in addressing the distinct needs of each AI system.</w:t>
            </w:r>
          </w:p>
        </w:tc>
      </w:tr>
      <w:tr w:rsidR="009F7E78" w:rsidRPr="009F7E78" w14:paraId="5CE7375A" w14:textId="77777777" w:rsidTr="00F85994">
        <w:trPr>
          <w:trHeight w:val="1740"/>
        </w:trPr>
        <w:tc>
          <w:tcPr>
            <w:tcW w:w="1040" w:type="dxa"/>
            <w:hideMark/>
          </w:tcPr>
          <w:p w14:paraId="523F4A6B"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5B8E"/>
            <w:hideMark/>
          </w:tcPr>
          <w:p w14:paraId="6116CA7A"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MG-4.3.2</w:t>
            </w:r>
          </w:p>
        </w:tc>
        <w:tc>
          <w:tcPr>
            <w:tcW w:w="10420" w:type="dxa"/>
            <w:hideMark/>
          </w:tcPr>
          <w:p w14:paraId="4262A1D5"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Centralized Incident Repository and Analysis:</w:t>
            </w:r>
            <w:r w:rsidRPr="009F7E78">
              <w:rPr>
                <w:rFonts w:ascii="Aptos" w:eastAsia="Aptos" w:hAnsi="Aptos" w:cs="Times New Roman"/>
                <w:color w:val="auto"/>
                <w:kern w:val="2"/>
                <w:sz w:val="20"/>
                <w:szCs w:val="20"/>
                <w14:ligatures w14:val="standardContextual"/>
              </w:rPr>
              <w:t xml:space="preserve"> The organization maintains a centralized database for tracking AI system incidents and errors, including details on the nature of incidents, potential impact, affected parties, and response steps taken, and analyzes this data across all its AI systems to identify common errors, trends, and patterns, enabling proactive risk management and continuous improvement of AI incident response processes.</w:t>
            </w:r>
          </w:p>
        </w:tc>
      </w:tr>
      <w:tr w:rsidR="009F7E78" w:rsidRPr="009F7E78" w14:paraId="66ABE9E9" w14:textId="77777777" w:rsidTr="00F85994">
        <w:trPr>
          <w:trHeight w:val="1160"/>
        </w:trPr>
        <w:tc>
          <w:tcPr>
            <w:tcW w:w="1040" w:type="dxa"/>
            <w:hideMark/>
          </w:tcPr>
          <w:p w14:paraId="2D4362C5"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5B8E"/>
            <w:hideMark/>
          </w:tcPr>
          <w:p w14:paraId="0D30E8B3"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MG-4.3.3</w:t>
            </w:r>
          </w:p>
        </w:tc>
        <w:tc>
          <w:tcPr>
            <w:tcW w:w="10420" w:type="dxa"/>
            <w:hideMark/>
          </w:tcPr>
          <w:p w14:paraId="285BD94B"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Incident Communication and Reporting:</w:t>
            </w:r>
            <w:r w:rsidRPr="009F7E78">
              <w:rPr>
                <w:rFonts w:ascii="Aptos" w:eastAsia="Aptos" w:hAnsi="Aptos" w:cs="Times New Roman"/>
                <w:color w:val="auto"/>
                <w:kern w:val="2"/>
                <w:sz w:val="20"/>
                <w:szCs w:val="20"/>
                <w14:ligatures w14:val="standardContextual"/>
              </w:rPr>
              <w:t xml:space="preserve"> The organization responds to, recovers from, and communicates AI system incidents and errors to relevant AI stakeholders, including affected communities, in a timely, transparent, and accessible manner, with defined roles and responsibilities for incident management, escalation, and communication.</w:t>
            </w:r>
          </w:p>
        </w:tc>
      </w:tr>
      <w:tr w:rsidR="009F7E78" w:rsidRPr="009F7E78" w14:paraId="7C348108" w14:textId="77777777" w:rsidTr="00F85994">
        <w:trPr>
          <w:trHeight w:val="1160"/>
        </w:trPr>
        <w:tc>
          <w:tcPr>
            <w:tcW w:w="1040" w:type="dxa"/>
            <w:hideMark/>
          </w:tcPr>
          <w:p w14:paraId="6C397D69"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t>CO</w:t>
            </w:r>
          </w:p>
        </w:tc>
        <w:tc>
          <w:tcPr>
            <w:tcW w:w="1180" w:type="dxa"/>
            <w:shd w:val="clear" w:color="auto" w:fill="005B8E"/>
            <w:hideMark/>
          </w:tcPr>
          <w:p w14:paraId="748D2951"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MG-4.3.4</w:t>
            </w:r>
          </w:p>
        </w:tc>
        <w:tc>
          <w:tcPr>
            <w:tcW w:w="10420" w:type="dxa"/>
            <w:hideMark/>
          </w:tcPr>
          <w:p w14:paraId="6676F226"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Incident Response and Recovery Updates:</w:t>
            </w:r>
            <w:r w:rsidRPr="009F7E78">
              <w:rPr>
                <w:rFonts w:ascii="Aptos" w:eastAsia="Aptos" w:hAnsi="Aptos" w:cs="Times New Roman"/>
                <w:color w:val="auto"/>
                <w:kern w:val="2"/>
                <w:sz w:val="20"/>
                <w:szCs w:val="20"/>
                <w14:ligatures w14:val="standardContextual"/>
              </w:rPr>
              <w:t xml:space="preserve"> The organization regularly reviews, tests, and updates its incident response and recovery procedures to maintain their effectiveness and alignment with industry best practices, regulatory requirements, and organizational risk management policies.</w:t>
            </w:r>
          </w:p>
        </w:tc>
      </w:tr>
      <w:tr w:rsidR="009F7E78" w:rsidRPr="009F7E78" w14:paraId="6DAA7145" w14:textId="77777777" w:rsidTr="00F85994">
        <w:trPr>
          <w:trHeight w:val="2900"/>
        </w:trPr>
        <w:tc>
          <w:tcPr>
            <w:tcW w:w="1040" w:type="dxa"/>
            <w:hideMark/>
          </w:tcPr>
          <w:p w14:paraId="0546F8F6" w14:textId="77777777" w:rsidR="009F7E78" w:rsidRPr="009F7E78" w:rsidRDefault="009F7E78" w:rsidP="009F7E78">
            <w:pPr>
              <w:rPr>
                <w:rFonts w:ascii="Aptos" w:eastAsia="Aptos" w:hAnsi="Aptos" w:cs="Times New Roman"/>
                <w:color w:val="auto"/>
                <w:kern w:val="2"/>
                <w:sz w:val="20"/>
                <w:szCs w:val="20"/>
                <w14:ligatures w14:val="standardContextual"/>
              </w:rPr>
            </w:pPr>
            <w:r w:rsidRPr="009F7E78">
              <w:rPr>
                <w:rFonts w:ascii="Aptos" w:eastAsia="Aptos" w:hAnsi="Aptos" w:cs="Times New Roman"/>
                <w:color w:val="auto"/>
                <w:kern w:val="2"/>
                <w:sz w:val="20"/>
                <w:szCs w:val="20"/>
                <w14:ligatures w14:val="standardContextual"/>
              </w:rPr>
              <w:lastRenderedPageBreak/>
              <w:t>CO</w:t>
            </w:r>
          </w:p>
        </w:tc>
        <w:tc>
          <w:tcPr>
            <w:tcW w:w="1180" w:type="dxa"/>
            <w:shd w:val="clear" w:color="auto" w:fill="005B8E"/>
            <w:hideMark/>
          </w:tcPr>
          <w:p w14:paraId="0EC99BF5" w14:textId="77777777" w:rsidR="009F7E78" w:rsidRPr="00F85994" w:rsidRDefault="009F7E78" w:rsidP="009F7E78">
            <w:pPr>
              <w:rPr>
                <w:rFonts w:ascii="Aptos" w:eastAsia="Aptos" w:hAnsi="Aptos" w:cs="Times New Roman"/>
                <w:b/>
                <w:bCs/>
                <w:color w:val="FFFFFF" w:themeColor="background1"/>
                <w:kern w:val="2"/>
                <w:sz w:val="20"/>
                <w:szCs w:val="20"/>
                <w14:ligatures w14:val="standardContextual"/>
              </w:rPr>
            </w:pPr>
            <w:r w:rsidRPr="00F85994">
              <w:rPr>
                <w:rFonts w:ascii="Aptos" w:eastAsia="Aptos" w:hAnsi="Aptos" w:cs="Times New Roman"/>
                <w:b/>
                <w:bCs/>
                <w:color w:val="FFFFFF" w:themeColor="background1"/>
                <w:kern w:val="2"/>
                <w:sz w:val="20"/>
                <w:szCs w:val="20"/>
                <w14:ligatures w14:val="standardContextual"/>
              </w:rPr>
              <w:t>MG-4.3.5</w:t>
            </w:r>
          </w:p>
        </w:tc>
        <w:tc>
          <w:tcPr>
            <w:tcW w:w="10420" w:type="dxa"/>
            <w:hideMark/>
          </w:tcPr>
          <w:p w14:paraId="6770CE62" w14:textId="77777777" w:rsidR="009F7E78" w:rsidRPr="009F7E78" w:rsidRDefault="009F7E78" w:rsidP="009F7E78">
            <w:pPr>
              <w:rPr>
                <w:rFonts w:ascii="Aptos" w:eastAsia="Aptos" w:hAnsi="Aptos" w:cs="Times New Roman"/>
                <w:b/>
                <w:bCs/>
                <w:color w:val="auto"/>
                <w:kern w:val="2"/>
                <w:sz w:val="20"/>
                <w:szCs w:val="20"/>
                <w14:ligatures w14:val="standardContextual"/>
              </w:rPr>
            </w:pPr>
            <w:r w:rsidRPr="009F7E78">
              <w:rPr>
                <w:rFonts w:ascii="Aptos" w:eastAsia="Aptos" w:hAnsi="Aptos" w:cs="Times New Roman"/>
                <w:b/>
                <w:bCs/>
                <w:color w:val="auto"/>
                <w:kern w:val="2"/>
                <w:sz w:val="20"/>
                <w:szCs w:val="20"/>
                <w14:ligatures w14:val="standardContextual"/>
              </w:rPr>
              <w:t>Authorized Information Sharing and Lessons Learned:</w:t>
            </w:r>
            <w:r w:rsidRPr="009F7E78">
              <w:rPr>
                <w:rFonts w:ascii="Aptos" w:eastAsia="Aptos" w:hAnsi="Aptos" w:cs="Times New Roman"/>
                <w:color w:val="auto"/>
                <w:kern w:val="2"/>
                <w:sz w:val="20"/>
                <w:szCs w:val="20"/>
                <w14:ligatures w14:val="standardContextual"/>
              </w:rPr>
              <w:t xml:space="preserve"> The organization actively shares authorized information regarding its AI risk identification approaches and lessons learned through publications, conferences, and industry forums. This sharing fosters transparency, trust, and the collective advancement of AI risk management practices among industry, regulators, and affected stakeholders. All shared information is consistent with regulatory obligations and organizational confidentiality policies, ensuring that specific determinations are made regarding what can and cannot be shared. The focus is on conveying lessons learned rather than disclosing specific incident details, thereby maintaining compliance while promoting collaborative improvement in AI risk management.</w:t>
            </w:r>
          </w:p>
        </w:tc>
      </w:tr>
    </w:tbl>
    <w:p w14:paraId="224EF52B" w14:textId="77777777" w:rsidR="00A73C9E" w:rsidRPr="00A73C9E" w:rsidRDefault="00A73C9E" w:rsidP="00A73C9E">
      <w:pPr>
        <w:rPr>
          <w:rFonts w:ascii="Aptos" w:eastAsia="Aptos" w:hAnsi="Aptos" w:cs="Times New Roman"/>
          <w:color w:val="auto"/>
          <w:kern w:val="2"/>
          <w:sz w:val="20"/>
          <w:szCs w:val="20"/>
          <w14:ligatures w14:val="standardContextual"/>
        </w:rPr>
      </w:pPr>
    </w:p>
    <w:p w14:paraId="3A622F4A" w14:textId="77777777" w:rsidR="007A14C4" w:rsidRDefault="007A14C4">
      <w:pPr>
        <w:rPr>
          <w:rFonts w:ascii="Aptos" w:eastAsia="Times New Roman" w:hAnsi="Aptos" w:cs="Times New Roman"/>
          <w:b/>
          <w:bCs/>
          <w:color w:val="34246B" w:themeColor="accent2"/>
          <w:sz w:val="28"/>
          <w:szCs w:val="28"/>
        </w:rPr>
      </w:pPr>
      <w:r>
        <w:rPr>
          <w:rFonts w:ascii="Aptos" w:hAnsi="Aptos"/>
          <w:b/>
          <w:bCs/>
          <w:color w:val="34246B" w:themeColor="accent2"/>
          <w:sz w:val="28"/>
          <w:szCs w:val="28"/>
        </w:rPr>
        <w:br w:type="page"/>
      </w:r>
    </w:p>
    <w:p w14:paraId="741DF46A" w14:textId="4CAD960C" w:rsidR="008E7103" w:rsidRPr="00F71F4D" w:rsidRDefault="008E7103" w:rsidP="008E7103">
      <w:pPr>
        <w:pStyle w:val="Heading1"/>
        <w:spacing w:after="0" w:line="269" w:lineRule="auto"/>
        <w:jc w:val="both"/>
        <w:rPr>
          <w:rFonts w:ascii="Aptos" w:hAnsi="Aptos"/>
          <w:b/>
          <w:bCs/>
          <w:color w:val="34246B" w:themeColor="accent2"/>
          <w:sz w:val="28"/>
          <w:szCs w:val="28"/>
        </w:rPr>
      </w:pPr>
      <w:bookmarkStart w:id="53" w:name="_Toc221009663"/>
      <w:r w:rsidRPr="00F71F4D">
        <w:rPr>
          <w:rFonts w:ascii="Aptos" w:hAnsi="Aptos"/>
          <w:b/>
          <w:bCs/>
          <w:color w:val="34246B" w:themeColor="accent2"/>
          <w:sz w:val="28"/>
          <w:szCs w:val="28"/>
        </w:rPr>
        <w:lastRenderedPageBreak/>
        <w:t>APPENDIX A – AI TRUSTWORTHY PRINCIPLES</w:t>
      </w:r>
      <w:bookmarkEnd w:id="53"/>
    </w:p>
    <w:p w14:paraId="3C368630" w14:textId="77777777" w:rsidR="008E7103" w:rsidRDefault="008E7103" w:rsidP="008E7103">
      <w:pPr>
        <w:pStyle w:val="PlainLink1"/>
        <w:ind w:left="0"/>
        <w:jc w:val="both"/>
        <w:rPr>
          <w:rFonts w:ascii="Aptos" w:hAnsi="Aptos" w:cs="Arial"/>
          <w:sz w:val="18"/>
          <w:szCs w:val="18"/>
        </w:rPr>
      </w:pPr>
    </w:p>
    <w:p w14:paraId="12C6A6B3" w14:textId="77777777" w:rsidR="008E7103" w:rsidRPr="00F71F4D" w:rsidRDefault="008E7103" w:rsidP="00F71F4D">
      <w:pPr>
        <w:jc w:val="both"/>
        <w:rPr>
          <w:rFonts w:ascii="Aptos" w:hAnsi="Aptos"/>
          <w:color w:val="auto"/>
          <w:sz w:val="20"/>
          <w:szCs w:val="20"/>
        </w:rPr>
      </w:pPr>
      <w:r w:rsidRPr="00F71F4D">
        <w:rPr>
          <w:rFonts w:ascii="Aptos" w:hAnsi="Aptos"/>
          <w:color w:val="auto"/>
          <w:sz w:val="20"/>
          <w:szCs w:val="20"/>
        </w:rPr>
        <w:t>CRI leverages the NIST AI Trustworthy Principles</w:t>
      </w:r>
      <w:r w:rsidRPr="00F71F4D">
        <w:rPr>
          <w:rStyle w:val="FootnoteReference"/>
          <w:rFonts w:ascii="Aptos" w:hAnsi="Aptos"/>
          <w:color w:val="auto"/>
          <w:sz w:val="20"/>
          <w:szCs w:val="20"/>
        </w:rPr>
        <w:footnoteReference w:id="7"/>
      </w:r>
      <w:r w:rsidRPr="00F71F4D">
        <w:rPr>
          <w:rFonts w:ascii="Aptos" w:hAnsi="Aptos"/>
          <w:color w:val="auto"/>
          <w:sz w:val="20"/>
          <w:szCs w:val="20"/>
        </w:rPr>
        <w:t xml:space="preserve"> in promoting trustworthy and responsible AI development and use. NIST's AI RMF provides guidance to organizations for managing AI risks and ensuring trustworthiness throughout the AI lifecycle. These principles are integral to building public trust and confidence in AI technologies. According to NIST, the essential characteristics of trustworthy AI, include: </w:t>
      </w:r>
    </w:p>
    <w:p w14:paraId="69F5CA89" w14:textId="77777777" w:rsidR="008E7103" w:rsidRPr="00F71F4D" w:rsidRDefault="008E7103" w:rsidP="00F71F4D">
      <w:pPr>
        <w:jc w:val="both"/>
        <w:rPr>
          <w:rFonts w:ascii="Aptos" w:hAnsi="Aptos"/>
          <w:color w:val="auto"/>
          <w:sz w:val="20"/>
          <w:szCs w:val="20"/>
        </w:rPr>
      </w:pPr>
    </w:p>
    <w:p w14:paraId="1567DBBD" w14:textId="77777777" w:rsidR="008E7103" w:rsidRPr="00F71F4D" w:rsidRDefault="008E7103" w:rsidP="00F71F4D">
      <w:pPr>
        <w:jc w:val="both"/>
        <w:rPr>
          <w:rFonts w:ascii="Aptos" w:hAnsi="Aptos"/>
          <w:color w:val="auto"/>
          <w:sz w:val="20"/>
          <w:szCs w:val="20"/>
        </w:rPr>
      </w:pPr>
      <w:r w:rsidRPr="00F71F4D">
        <w:rPr>
          <w:noProof/>
          <w:sz w:val="20"/>
          <w:szCs w:val="20"/>
        </w:rPr>
        <w:drawing>
          <wp:inline distT="0" distB="0" distL="0" distR="0" wp14:anchorId="7F99BE20" wp14:editId="481FBDBF">
            <wp:extent cx="6400800" cy="1241425"/>
            <wp:effectExtent l="0" t="0" r="0" b="0"/>
            <wp:docPr id="275175773" name="Picture 3" descr="Characteristics of a Trustworthy AI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racteristics of a Trustworthy AI Syste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00800" cy="1241425"/>
                    </a:xfrm>
                    <a:prstGeom prst="rect">
                      <a:avLst/>
                    </a:prstGeom>
                    <a:noFill/>
                    <a:ln>
                      <a:noFill/>
                    </a:ln>
                  </pic:spPr>
                </pic:pic>
              </a:graphicData>
            </a:graphic>
          </wp:inline>
        </w:drawing>
      </w:r>
    </w:p>
    <w:p w14:paraId="4C659FB3" w14:textId="77777777" w:rsidR="008E7103" w:rsidRPr="00F71F4D" w:rsidRDefault="008E7103" w:rsidP="00F71F4D">
      <w:pPr>
        <w:jc w:val="both"/>
        <w:rPr>
          <w:rFonts w:ascii="Aptos" w:hAnsi="Aptos"/>
          <w:color w:val="auto"/>
          <w:sz w:val="20"/>
          <w:szCs w:val="20"/>
        </w:rPr>
      </w:pPr>
    </w:p>
    <w:p w14:paraId="71AC7F26" w14:textId="77777777" w:rsidR="008E7103" w:rsidRPr="00F71F4D" w:rsidRDefault="008E7103" w:rsidP="00F71F4D">
      <w:pPr>
        <w:pStyle w:val="ListParagraph"/>
        <w:numPr>
          <w:ilvl w:val="0"/>
          <w:numId w:val="8"/>
        </w:numPr>
        <w:spacing w:after="0" w:line="240" w:lineRule="auto"/>
        <w:jc w:val="both"/>
        <w:rPr>
          <w:rFonts w:ascii="Aptos" w:hAnsi="Aptos"/>
          <w:sz w:val="20"/>
          <w:szCs w:val="20"/>
        </w:rPr>
      </w:pPr>
      <w:r w:rsidRPr="00F71F4D">
        <w:rPr>
          <w:rFonts w:ascii="Aptos" w:hAnsi="Aptos"/>
          <w:b/>
          <w:bCs/>
          <w:sz w:val="20"/>
          <w:szCs w:val="20"/>
        </w:rPr>
        <w:t>Validity and Reliability</w:t>
      </w:r>
      <w:r w:rsidRPr="00F71F4D">
        <w:rPr>
          <w:rFonts w:ascii="Aptos" w:hAnsi="Aptos"/>
          <w:sz w:val="20"/>
          <w:szCs w:val="20"/>
        </w:rPr>
        <w:t>: Ensuring the AI system produces accurate, consistent results and performs as intended under expected conditions. Reliability focuses on consistent performance over time, including the system's ability to learn and adapt without compromising its intended function.</w:t>
      </w:r>
    </w:p>
    <w:p w14:paraId="0196CEF1" w14:textId="77777777" w:rsidR="008E7103" w:rsidRPr="00F71F4D" w:rsidRDefault="008E7103" w:rsidP="00F71F4D">
      <w:pPr>
        <w:pStyle w:val="ListParagraph"/>
        <w:numPr>
          <w:ilvl w:val="0"/>
          <w:numId w:val="8"/>
        </w:numPr>
        <w:spacing w:after="0" w:line="240" w:lineRule="auto"/>
        <w:jc w:val="both"/>
        <w:rPr>
          <w:rFonts w:ascii="Aptos" w:hAnsi="Aptos"/>
          <w:sz w:val="20"/>
          <w:szCs w:val="20"/>
        </w:rPr>
      </w:pPr>
      <w:r w:rsidRPr="00F71F4D">
        <w:rPr>
          <w:rFonts w:ascii="Aptos" w:hAnsi="Aptos"/>
          <w:b/>
          <w:bCs/>
          <w:sz w:val="20"/>
          <w:szCs w:val="20"/>
        </w:rPr>
        <w:t>Safety</w:t>
      </w:r>
      <w:r w:rsidRPr="00F71F4D">
        <w:rPr>
          <w:rFonts w:ascii="Aptos" w:hAnsi="Aptos"/>
          <w:sz w:val="20"/>
          <w:szCs w:val="20"/>
        </w:rPr>
        <w:t>: AI systems should not pose risks to human life, health, property, or the environment. Designing AI for safety involves proactively mitigating potential dangers and implementing measures for safe operation, including the option to remove a system from use if necessary.</w:t>
      </w:r>
    </w:p>
    <w:p w14:paraId="118DAA07" w14:textId="77777777" w:rsidR="008E7103" w:rsidRPr="00F71F4D" w:rsidRDefault="008E7103" w:rsidP="00F71F4D">
      <w:pPr>
        <w:pStyle w:val="ListParagraph"/>
        <w:numPr>
          <w:ilvl w:val="0"/>
          <w:numId w:val="8"/>
        </w:numPr>
        <w:spacing w:after="0" w:line="240" w:lineRule="auto"/>
        <w:jc w:val="both"/>
        <w:rPr>
          <w:rFonts w:ascii="Aptos" w:hAnsi="Aptos"/>
          <w:sz w:val="20"/>
          <w:szCs w:val="20"/>
        </w:rPr>
      </w:pPr>
      <w:r w:rsidRPr="00F71F4D">
        <w:rPr>
          <w:rFonts w:ascii="Aptos" w:hAnsi="Aptos"/>
          <w:b/>
          <w:bCs/>
          <w:sz w:val="20"/>
          <w:szCs w:val="20"/>
        </w:rPr>
        <w:t>Security and Resiliency</w:t>
      </w:r>
      <w:r w:rsidRPr="00F71F4D">
        <w:rPr>
          <w:rFonts w:ascii="Aptos" w:hAnsi="Aptos"/>
          <w:sz w:val="20"/>
          <w:szCs w:val="20"/>
        </w:rPr>
        <w:t>: Protecting AI systems against adversarial attacks, unauthorized access, disruptions, and ensuring they can recover from unexpected events. This includes maintaining the confidentiality, integrity, and availability of the system and its data.</w:t>
      </w:r>
    </w:p>
    <w:p w14:paraId="02C0840C" w14:textId="77777777" w:rsidR="008E7103" w:rsidRPr="00F71F4D" w:rsidRDefault="008E7103" w:rsidP="00F71F4D">
      <w:pPr>
        <w:pStyle w:val="ListParagraph"/>
        <w:numPr>
          <w:ilvl w:val="0"/>
          <w:numId w:val="8"/>
        </w:numPr>
        <w:spacing w:after="0" w:line="240" w:lineRule="auto"/>
        <w:jc w:val="both"/>
        <w:rPr>
          <w:rFonts w:ascii="Aptos" w:hAnsi="Aptos"/>
          <w:sz w:val="20"/>
          <w:szCs w:val="20"/>
        </w:rPr>
      </w:pPr>
      <w:r w:rsidRPr="00F71F4D">
        <w:rPr>
          <w:rFonts w:ascii="Aptos" w:hAnsi="Aptos"/>
          <w:b/>
          <w:bCs/>
          <w:sz w:val="20"/>
          <w:szCs w:val="20"/>
        </w:rPr>
        <w:t>Accountability and Transparency</w:t>
      </w:r>
      <w:r w:rsidRPr="00F71F4D">
        <w:rPr>
          <w:rFonts w:ascii="Aptos" w:hAnsi="Aptos"/>
          <w:sz w:val="20"/>
          <w:szCs w:val="20"/>
        </w:rPr>
        <w:t>: Establishing clear responsibility for AI system outcomes and ensuring adequate information is available about the AI system's function and outputs to relevant stakeholders. Transparency involves providing clear understanding of AI processes and decisions, tailored to the user's context and needs.</w:t>
      </w:r>
    </w:p>
    <w:p w14:paraId="2E967380" w14:textId="77777777" w:rsidR="008E7103" w:rsidRPr="00F71F4D" w:rsidRDefault="008E7103" w:rsidP="00F71F4D">
      <w:pPr>
        <w:pStyle w:val="ListParagraph"/>
        <w:numPr>
          <w:ilvl w:val="0"/>
          <w:numId w:val="8"/>
        </w:numPr>
        <w:spacing w:after="0" w:line="240" w:lineRule="auto"/>
        <w:jc w:val="both"/>
        <w:rPr>
          <w:rFonts w:ascii="Aptos" w:hAnsi="Aptos"/>
          <w:sz w:val="20"/>
          <w:szCs w:val="20"/>
        </w:rPr>
      </w:pPr>
      <w:r w:rsidRPr="00F71F4D">
        <w:rPr>
          <w:rFonts w:ascii="Aptos" w:hAnsi="Aptos"/>
          <w:b/>
          <w:bCs/>
          <w:sz w:val="20"/>
          <w:szCs w:val="20"/>
        </w:rPr>
        <w:t>Explainability and Interpretability</w:t>
      </w:r>
      <w:r w:rsidRPr="00F71F4D">
        <w:rPr>
          <w:rFonts w:ascii="Aptos" w:hAnsi="Aptos"/>
          <w:sz w:val="20"/>
          <w:szCs w:val="20"/>
        </w:rPr>
        <w:t>: AI decisions should be understandable to users, and the system's reasoning process should be accessible to those affected by its output. Explainability focuses on providing reasons for an AI system's outputs, while interpretability aims to provide transparency into the AI model's architecture and how it processes data to make predictions.</w:t>
      </w:r>
    </w:p>
    <w:p w14:paraId="5CD9BAFF" w14:textId="77777777" w:rsidR="008E7103" w:rsidRPr="00F71F4D" w:rsidRDefault="008E7103" w:rsidP="00F71F4D">
      <w:pPr>
        <w:pStyle w:val="ListParagraph"/>
        <w:numPr>
          <w:ilvl w:val="0"/>
          <w:numId w:val="8"/>
        </w:numPr>
        <w:spacing w:after="0" w:line="240" w:lineRule="auto"/>
        <w:jc w:val="both"/>
        <w:rPr>
          <w:rFonts w:ascii="Aptos" w:hAnsi="Aptos"/>
          <w:sz w:val="20"/>
          <w:szCs w:val="20"/>
        </w:rPr>
      </w:pPr>
      <w:r w:rsidRPr="00F71F4D">
        <w:rPr>
          <w:rFonts w:ascii="Aptos" w:hAnsi="Aptos"/>
          <w:b/>
          <w:bCs/>
          <w:sz w:val="20"/>
          <w:szCs w:val="20"/>
        </w:rPr>
        <w:t>Privacy</w:t>
      </w:r>
      <w:r w:rsidRPr="00F71F4D">
        <w:rPr>
          <w:rFonts w:ascii="Aptos" w:hAnsi="Aptos"/>
          <w:sz w:val="20"/>
          <w:szCs w:val="20"/>
        </w:rPr>
        <w:t>: Safeguarding personal and sensitive information handled by AI systems. This involves protecting data privacy throughout the AI lifecycle, from data collection to use, sharing, and storage, and obtaining consent for data use.</w:t>
      </w:r>
    </w:p>
    <w:p w14:paraId="27E7B865" w14:textId="77777777" w:rsidR="008E7103" w:rsidRPr="00F71F4D" w:rsidRDefault="008E7103" w:rsidP="00F71F4D">
      <w:pPr>
        <w:pStyle w:val="ListParagraph"/>
        <w:numPr>
          <w:ilvl w:val="0"/>
          <w:numId w:val="8"/>
        </w:numPr>
        <w:spacing w:after="0" w:line="240" w:lineRule="auto"/>
        <w:jc w:val="both"/>
        <w:rPr>
          <w:rFonts w:ascii="Aptos" w:hAnsi="Aptos"/>
          <w:sz w:val="20"/>
          <w:szCs w:val="20"/>
        </w:rPr>
      </w:pPr>
      <w:r w:rsidRPr="00F71F4D">
        <w:rPr>
          <w:rFonts w:ascii="Aptos" w:hAnsi="Aptos"/>
          <w:b/>
          <w:bCs/>
          <w:sz w:val="20"/>
          <w:szCs w:val="20"/>
        </w:rPr>
        <w:t>Fairness with Mitigation of Harmful Bias</w:t>
      </w:r>
      <w:r w:rsidRPr="00F71F4D">
        <w:rPr>
          <w:rFonts w:ascii="Aptos" w:hAnsi="Aptos"/>
          <w:sz w:val="20"/>
          <w:szCs w:val="20"/>
        </w:rPr>
        <w:t>: Ensuring equitable treatment of individuals and groups by addressing issues such as harmful algorithmic and data biases. Fairness in AI includes considering equality and equity, recognizing that mitigating bias may not guarantee overall fairness in every context. </w:t>
      </w:r>
    </w:p>
    <w:p w14:paraId="4DA48F0F" w14:textId="51F72E9A" w:rsidR="00036F86" w:rsidRPr="00875049" w:rsidRDefault="00036F86" w:rsidP="00FF487A">
      <w:pPr>
        <w:pStyle w:val="Heading1"/>
        <w:spacing w:after="0" w:line="269" w:lineRule="auto"/>
        <w:jc w:val="both"/>
        <w:rPr>
          <w:rFonts w:ascii="Aptos" w:hAnsi="Aptos"/>
          <w:b/>
          <w:bCs/>
          <w:color w:val="34246B" w:themeColor="accent2"/>
          <w:sz w:val="28"/>
          <w:szCs w:val="22"/>
        </w:rPr>
      </w:pPr>
      <w:bookmarkStart w:id="54" w:name="_Toc43996668"/>
      <w:bookmarkStart w:id="55" w:name="_Toc194454601"/>
      <w:bookmarkStart w:id="56" w:name="_Toc203286810"/>
      <w:bookmarkStart w:id="57" w:name="_Toc221009664"/>
      <w:r w:rsidRPr="00875049">
        <w:rPr>
          <w:rFonts w:ascii="Aptos" w:hAnsi="Aptos"/>
          <w:b/>
          <w:bCs/>
          <w:color w:val="34246B" w:themeColor="accent2"/>
          <w:sz w:val="28"/>
          <w:szCs w:val="22"/>
        </w:rPr>
        <w:t xml:space="preserve">APPENDIX </w:t>
      </w:r>
      <w:r w:rsidR="000174BC" w:rsidRPr="00875049">
        <w:rPr>
          <w:rFonts w:ascii="Aptos" w:hAnsi="Aptos"/>
          <w:b/>
          <w:bCs/>
          <w:color w:val="34246B" w:themeColor="accent2"/>
          <w:sz w:val="28"/>
          <w:szCs w:val="22"/>
        </w:rPr>
        <w:t>B</w:t>
      </w:r>
      <w:r w:rsidRPr="00875049">
        <w:rPr>
          <w:rFonts w:ascii="Aptos" w:hAnsi="Aptos"/>
          <w:b/>
          <w:bCs/>
          <w:color w:val="34246B" w:themeColor="accent2"/>
          <w:sz w:val="28"/>
          <w:szCs w:val="22"/>
        </w:rPr>
        <w:t xml:space="preserve"> – </w:t>
      </w:r>
      <w:bookmarkEnd w:id="54"/>
      <w:bookmarkEnd w:id="55"/>
      <w:bookmarkEnd w:id="56"/>
      <w:r w:rsidR="006C5879" w:rsidRPr="00875049">
        <w:rPr>
          <w:rFonts w:ascii="Aptos" w:hAnsi="Aptos"/>
          <w:b/>
          <w:bCs/>
          <w:color w:val="34246B" w:themeColor="accent2"/>
          <w:sz w:val="28"/>
          <w:szCs w:val="22"/>
        </w:rPr>
        <w:t>ACRONYMS AND ABBREVIATIONS</w:t>
      </w:r>
      <w:bookmarkEnd w:id="57"/>
    </w:p>
    <w:p w14:paraId="3D110FF6" w14:textId="77777777" w:rsidR="00036F86" w:rsidRPr="004461E6" w:rsidRDefault="00036F86" w:rsidP="00FF487A">
      <w:pPr>
        <w:jc w:val="both"/>
        <w:rPr>
          <w:rFonts w:ascii="Aptos" w:hAnsi="Aptos"/>
        </w:rPr>
      </w:pPr>
    </w:p>
    <w:p w14:paraId="6F67FCF7" w14:textId="06BCBD0A" w:rsidR="004D7E42" w:rsidRPr="00875049" w:rsidRDefault="004D7E42" w:rsidP="00235DB4">
      <w:pPr>
        <w:tabs>
          <w:tab w:val="left" w:pos="1710"/>
        </w:tabs>
        <w:spacing w:line="283" w:lineRule="auto"/>
        <w:ind w:left="720" w:hanging="720"/>
        <w:jc w:val="both"/>
        <w:rPr>
          <w:rFonts w:ascii="Aptos" w:hAnsi="Aptos"/>
          <w:color w:val="auto"/>
          <w:sz w:val="20"/>
          <w:szCs w:val="20"/>
        </w:rPr>
      </w:pPr>
      <w:r w:rsidRPr="00875049">
        <w:rPr>
          <w:rFonts w:ascii="Aptos" w:hAnsi="Aptos"/>
          <w:color w:val="auto"/>
          <w:sz w:val="20"/>
          <w:szCs w:val="20"/>
        </w:rPr>
        <w:t>AGI</w:t>
      </w:r>
      <w:r w:rsidRPr="00875049">
        <w:rPr>
          <w:rFonts w:ascii="Aptos" w:hAnsi="Aptos"/>
          <w:color w:val="auto"/>
          <w:sz w:val="20"/>
          <w:szCs w:val="20"/>
        </w:rPr>
        <w:tab/>
      </w:r>
      <w:r w:rsidR="00235DB4" w:rsidRPr="00875049">
        <w:rPr>
          <w:rFonts w:ascii="Aptos" w:hAnsi="Aptos"/>
          <w:color w:val="auto"/>
          <w:sz w:val="20"/>
          <w:szCs w:val="20"/>
        </w:rPr>
        <w:tab/>
      </w:r>
      <w:r w:rsidRPr="00875049">
        <w:rPr>
          <w:rFonts w:ascii="Aptos" w:hAnsi="Aptos"/>
          <w:color w:val="auto"/>
          <w:sz w:val="20"/>
          <w:szCs w:val="20"/>
        </w:rPr>
        <w:t>Artificial General Intelligence</w:t>
      </w:r>
    </w:p>
    <w:p w14:paraId="061FDD14" w14:textId="11ACDF69" w:rsidR="00810C95" w:rsidRPr="00875049" w:rsidRDefault="00810C95" w:rsidP="00235DB4">
      <w:pPr>
        <w:tabs>
          <w:tab w:val="left" w:pos="1710"/>
        </w:tabs>
        <w:spacing w:line="283" w:lineRule="auto"/>
        <w:ind w:left="720" w:hanging="720"/>
        <w:jc w:val="both"/>
        <w:rPr>
          <w:rFonts w:ascii="Aptos" w:hAnsi="Aptos"/>
          <w:color w:val="auto"/>
          <w:sz w:val="20"/>
          <w:szCs w:val="20"/>
        </w:rPr>
      </w:pPr>
      <w:r w:rsidRPr="00875049">
        <w:rPr>
          <w:rFonts w:ascii="Aptos" w:hAnsi="Aptos"/>
          <w:color w:val="auto"/>
          <w:sz w:val="20"/>
          <w:szCs w:val="20"/>
        </w:rPr>
        <w:t>AI</w:t>
      </w:r>
      <w:r w:rsidRPr="00875049">
        <w:rPr>
          <w:rFonts w:ascii="Aptos" w:hAnsi="Aptos"/>
          <w:color w:val="auto"/>
          <w:sz w:val="20"/>
          <w:szCs w:val="20"/>
        </w:rPr>
        <w:tab/>
      </w:r>
      <w:r w:rsidR="00235DB4" w:rsidRPr="00875049">
        <w:rPr>
          <w:rFonts w:ascii="Aptos" w:hAnsi="Aptos"/>
          <w:color w:val="auto"/>
          <w:sz w:val="20"/>
          <w:szCs w:val="20"/>
        </w:rPr>
        <w:tab/>
      </w:r>
      <w:r w:rsidRPr="00875049">
        <w:rPr>
          <w:rFonts w:ascii="Aptos" w:hAnsi="Aptos"/>
          <w:color w:val="auto"/>
          <w:sz w:val="20"/>
          <w:szCs w:val="20"/>
        </w:rPr>
        <w:t>Artificial Intelligence</w:t>
      </w:r>
    </w:p>
    <w:p w14:paraId="7D5AFE7B" w14:textId="10852A43" w:rsidR="0003039B" w:rsidRPr="00875049" w:rsidRDefault="0003039B" w:rsidP="00235DB4">
      <w:pPr>
        <w:tabs>
          <w:tab w:val="left" w:pos="1710"/>
        </w:tabs>
        <w:spacing w:line="283" w:lineRule="auto"/>
        <w:ind w:left="720" w:hanging="720"/>
        <w:jc w:val="both"/>
        <w:rPr>
          <w:rFonts w:ascii="Aptos" w:hAnsi="Aptos"/>
          <w:color w:val="auto"/>
          <w:sz w:val="20"/>
          <w:szCs w:val="20"/>
        </w:rPr>
      </w:pPr>
      <w:r w:rsidRPr="00875049">
        <w:rPr>
          <w:rFonts w:ascii="Aptos" w:hAnsi="Aptos"/>
          <w:color w:val="auto"/>
          <w:sz w:val="20"/>
          <w:szCs w:val="20"/>
        </w:rPr>
        <w:t>CIO</w:t>
      </w:r>
      <w:r w:rsidRPr="00875049">
        <w:rPr>
          <w:rFonts w:ascii="Aptos" w:hAnsi="Aptos"/>
          <w:color w:val="auto"/>
          <w:sz w:val="20"/>
          <w:szCs w:val="20"/>
        </w:rPr>
        <w:tab/>
      </w:r>
      <w:r w:rsidRPr="00875049">
        <w:rPr>
          <w:rFonts w:ascii="Aptos" w:hAnsi="Aptos"/>
          <w:color w:val="auto"/>
          <w:sz w:val="20"/>
          <w:szCs w:val="20"/>
        </w:rPr>
        <w:tab/>
        <w:t>Chief Information Officer</w:t>
      </w:r>
    </w:p>
    <w:p w14:paraId="5DCFD2F1" w14:textId="701E3154" w:rsidR="0003039B" w:rsidRPr="00875049" w:rsidRDefault="0003039B" w:rsidP="00235DB4">
      <w:pPr>
        <w:tabs>
          <w:tab w:val="left" w:pos="1710"/>
        </w:tabs>
        <w:spacing w:line="283" w:lineRule="auto"/>
        <w:ind w:left="720" w:hanging="720"/>
        <w:jc w:val="both"/>
        <w:rPr>
          <w:rFonts w:ascii="Aptos" w:hAnsi="Aptos"/>
          <w:color w:val="auto"/>
          <w:sz w:val="20"/>
          <w:szCs w:val="20"/>
        </w:rPr>
      </w:pPr>
      <w:r w:rsidRPr="00875049">
        <w:rPr>
          <w:rFonts w:ascii="Aptos" w:hAnsi="Aptos"/>
          <w:color w:val="auto"/>
          <w:sz w:val="20"/>
          <w:szCs w:val="20"/>
        </w:rPr>
        <w:t>CISO</w:t>
      </w:r>
      <w:r w:rsidRPr="00875049">
        <w:rPr>
          <w:rFonts w:ascii="Aptos" w:hAnsi="Aptos"/>
          <w:color w:val="auto"/>
          <w:sz w:val="20"/>
          <w:szCs w:val="20"/>
        </w:rPr>
        <w:tab/>
      </w:r>
      <w:r w:rsidRPr="00875049">
        <w:rPr>
          <w:rFonts w:ascii="Aptos" w:hAnsi="Aptos"/>
          <w:color w:val="auto"/>
          <w:sz w:val="20"/>
          <w:szCs w:val="20"/>
        </w:rPr>
        <w:tab/>
        <w:t>Chief Information Security Officer</w:t>
      </w:r>
    </w:p>
    <w:p w14:paraId="4FB25C77" w14:textId="30036A28" w:rsidR="00AD3260" w:rsidRPr="00875049" w:rsidRDefault="00AD3260" w:rsidP="00235DB4">
      <w:pPr>
        <w:tabs>
          <w:tab w:val="left" w:pos="1710"/>
        </w:tabs>
        <w:spacing w:line="283" w:lineRule="auto"/>
        <w:ind w:left="720" w:hanging="720"/>
        <w:jc w:val="both"/>
        <w:rPr>
          <w:rFonts w:ascii="Aptos" w:hAnsi="Aptos"/>
          <w:color w:val="auto"/>
          <w:sz w:val="20"/>
          <w:szCs w:val="20"/>
        </w:rPr>
      </w:pPr>
      <w:r w:rsidRPr="00875049">
        <w:rPr>
          <w:rFonts w:ascii="Aptos" w:hAnsi="Aptos"/>
          <w:color w:val="auto"/>
          <w:sz w:val="20"/>
          <w:szCs w:val="20"/>
        </w:rPr>
        <w:t>CRI</w:t>
      </w:r>
      <w:r w:rsidRPr="00875049">
        <w:rPr>
          <w:rFonts w:ascii="Aptos" w:hAnsi="Aptos"/>
          <w:color w:val="auto"/>
          <w:sz w:val="20"/>
          <w:szCs w:val="20"/>
        </w:rPr>
        <w:tab/>
      </w:r>
      <w:r w:rsidR="00235DB4" w:rsidRPr="00875049">
        <w:rPr>
          <w:rFonts w:ascii="Aptos" w:hAnsi="Aptos"/>
          <w:color w:val="auto"/>
          <w:sz w:val="20"/>
          <w:szCs w:val="20"/>
        </w:rPr>
        <w:tab/>
      </w:r>
      <w:r w:rsidRPr="00875049">
        <w:rPr>
          <w:rFonts w:ascii="Aptos" w:hAnsi="Aptos"/>
          <w:color w:val="auto"/>
          <w:sz w:val="20"/>
          <w:szCs w:val="20"/>
        </w:rPr>
        <w:t>Cyber Risk Institute</w:t>
      </w:r>
    </w:p>
    <w:p w14:paraId="65343786" w14:textId="1D916843" w:rsidR="0003039B" w:rsidRPr="00875049" w:rsidRDefault="0003039B" w:rsidP="00235DB4">
      <w:pPr>
        <w:tabs>
          <w:tab w:val="left" w:pos="1710"/>
        </w:tabs>
        <w:spacing w:line="283" w:lineRule="auto"/>
        <w:ind w:left="720" w:hanging="720"/>
        <w:jc w:val="both"/>
        <w:rPr>
          <w:rFonts w:ascii="Aptos" w:hAnsi="Aptos"/>
          <w:color w:val="auto"/>
          <w:sz w:val="20"/>
          <w:szCs w:val="20"/>
        </w:rPr>
      </w:pPr>
      <w:r w:rsidRPr="00875049">
        <w:rPr>
          <w:rFonts w:ascii="Aptos" w:hAnsi="Aptos"/>
          <w:color w:val="auto"/>
          <w:sz w:val="20"/>
          <w:szCs w:val="20"/>
        </w:rPr>
        <w:lastRenderedPageBreak/>
        <w:t>CMRO</w:t>
      </w:r>
      <w:r w:rsidRPr="00875049">
        <w:rPr>
          <w:rFonts w:ascii="Aptos" w:hAnsi="Aptos"/>
          <w:color w:val="auto"/>
          <w:sz w:val="20"/>
          <w:szCs w:val="20"/>
        </w:rPr>
        <w:tab/>
      </w:r>
      <w:r w:rsidRPr="00875049">
        <w:rPr>
          <w:rFonts w:ascii="Aptos" w:hAnsi="Aptos"/>
          <w:color w:val="auto"/>
          <w:sz w:val="20"/>
          <w:szCs w:val="20"/>
        </w:rPr>
        <w:tab/>
        <w:t>Chief Model Risk Officer</w:t>
      </w:r>
    </w:p>
    <w:p w14:paraId="42947E97" w14:textId="1C3D0FA6" w:rsidR="003D765A" w:rsidRPr="00875049" w:rsidRDefault="003D765A" w:rsidP="00235DB4">
      <w:pPr>
        <w:tabs>
          <w:tab w:val="left" w:pos="1710"/>
        </w:tabs>
        <w:spacing w:line="283" w:lineRule="auto"/>
        <w:ind w:left="720" w:hanging="720"/>
        <w:jc w:val="both"/>
        <w:rPr>
          <w:rFonts w:ascii="Aptos" w:hAnsi="Aptos"/>
          <w:color w:val="auto"/>
          <w:sz w:val="20"/>
          <w:szCs w:val="20"/>
        </w:rPr>
      </w:pPr>
      <w:r w:rsidRPr="00875049">
        <w:rPr>
          <w:rFonts w:ascii="Aptos" w:hAnsi="Aptos"/>
          <w:color w:val="auto"/>
          <w:sz w:val="20"/>
          <w:szCs w:val="20"/>
        </w:rPr>
        <w:t>CRO</w:t>
      </w:r>
      <w:r w:rsidRPr="00875049">
        <w:rPr>
          <w:rFonts w:ascii="Aptos" w:hAnsi="Aptos"/>
          <w:color w:val="auto"/>
          <w:sz w:val="20"/>
          <w:szCs w:val="20"/>
        </w:rPr>
        <w:tab/>
      </w:r>
      <w:r w:rsidRPr="00875049">
        <w:rPr>
          <w:rFonts w:ascii="Aptos" w:hAnsi="Aptos"/>
          <w:color w:val="auto"/>
          <w:sz w:val="20"/>
          <w:szCs w:val="20"/>
        </w:rPr>
        <w:tab/>
        <w:t>Chief Risk Officer</w:t>
      </w:r>
    </w:p>
    <w:p w14:paraId="33B817AC" w14:textId="0E0C3E0D" w:rsidR="00BE6C48" w:rsidRPr="00875049" w:rsidRDefault="00BE6C48" w:rsidP="00235DB4">
      <w:pPr>
        <w:tabs>
          <w:tab w:val="left" w:pos="1710"/>
        </w:tabs>
        <w:spacing w:line="283" w:lineRule="auto"/>
        <w:ind w:left="720" w:hanging="720"/>
        <w:jc w:val="both"/>
        <w:rPr>
          <w:rFonts w:ascii="Aptos" w:hAnsi="Aptos"/>
          <w:color w:val="auto"/>
          <w:sz w:val="20"/>
          <w:szCs w:val="20"/>
        </w:rPr>
      </w:pPr>
      <w:r w:rsidRPr="00875049">
        <w:rPr>
          <w:rFonts w:ascii="Aptos" w:hAnsi="Aptos"/>
          <w:color w:val="auto"/>
          <w:sz w:val="20"/>
          <w:szCs w:val="20"/>
        </w:rPr>
        <w:t>ERM</w:t>
      </w:r>
      <w:r w:rsidRPr="00875049">
        <w:rPr>
          <w:rFonts w:ascii="Aptos" w:hAnsi="Aptos"/>
          <w:color w:val="auto"/>
          <w:sz w:val="20"/>
          <w:szCs w:val="20"/>
        </w:rPr>
        <w:tab/>
      </w:r>
      <w:r w:rsidR="00235DB4" w:rsidRPr="00875049">
        <w:rPr>
          <w:rFonts w:ascii="Aptos" w:hAnsi="Aptos"/>
          <w:color w:val="auto"/>
          <w:sz w:val="20"/>
          <w:szCs w:val="20"/>
        </w:rPr>
        <w:tab/>
      </w:r>
      <w:r w:rsidRPr="00875049">
        <w:rPr>
          <w:rFonts w:ascii="Aptos" w:hAnsi="Aptos"/>
          <w:color w:val="auto"/>
          <w:sz w:val="20"/>
          <w:szCs w:val="20"/>
        </w:rPr>
        <w:t>Enterprise Risk Management</w:t>
      </w:r>
    </w:p>
    <w:p w14:paraId="7A6FD62A" w14:textId="60CF1664" w:rsidR="00F34005" w:rsidRPr="00875049" w:rsidRDefault="00F34005" w:rsidP="00235DB4">
      <w:pPr>
        <w:tabs>
          <w:tab w:val="left" w:pos="1710"/>
        </w:tabs>
        <w:spacing w:line="283" w:lineRule="auto"/>
        <w:ind w:left="720" w:hanging="720"/>
        <w:jc w:val="both"/>
        <w:rPr>
          <w:rFonts w:ascii="Aptos" w:hAnsi="Aptos"/>
          <w:color w:val="auto"/>
          <w:sz w:val="20"/>
          <w:szCs w:val="20"/>
        </w:rPr>
      </w:pPr>
      <w:r w:rsidRPr="00875049">
        <w:rPr>
          <w:rFonts w:ascii="Aptos" w:hAnsi="Aptos"/>
          <w:color w:val="auto"/>
          <w:sz w:val="20"/>
          <w:szCs w:val="20"/>
        </w:rPr>
        <w:t>ETL</w:t>
      </w:r>
      <w:r w:rsidRPr="00875049">
        <w:rPr>
          <w:rFonts w:ascii="Aptos" w:hAnsi="Aptos"/>
          <w:color w:val="auto"/>
          <w:sz w:val="20"/>
          <w:szCs w:val="20"/>
        </w:rPr>
        <w:tab/>
      </w:r>
      <w:r w:rsidRPr="00875049">
        <w:rPr>
          <w:rFonts w:ascii="Aptos" w:hAnsi="Aptos"/>
          <w:color w:val="auto"/>
          <w:sz w:val="20"/>
          <w:szCs w:val="20"/>
        </w:rPr>
        <w:tab/>
        <w:t>Extract Transform Load</w:t>
      </w:r>
    </w:p>
    <w:p w14:paraId="0286B8B7" w14:textId="4D4A8DA0" w:rsidR="00E0050E" w:rsidRPr="00875049" w:rsidRDefault="00E0050E" w:rsidP="00235DB4">
      <w:pPr>
        <w:tabs>
          <w:tab w:val="left" w:pos="1710"/>
        </w:tabs>
        <w:spacing w:line="283" w:lineRule="auto"/>
        <w:ind w:left="720" w:hanging="720"/>
        <w:jc w:val="both"/>
        <w:rPr>
          <w:rFonts w:ascii="Aptos" w:hAnsi="Aptos"/>
          <w:color w:val="auto"/>
          <w:sz w:val="20"/>
          <w:szCs w:val="20"/>
        </w:rPr>
      </w:pPr>
      <w:r w:rsidRPr="00875049">
        <w:rPr>
          <w:rFonts w:ascii="Aptos" w:hAnsi="Aptos"/>
          <w:color w:val="auto"/>
          <w:sz w:val="20"/>
          <w:szCs w:val="20"/>
        </w:rPr>
        <w:t>FAQ</w:t>
      </w:r>
      <w:r w:rsidRPr="00875049">
        <w:rPr>
          <w:rFonts w:ascii="Aptos" w:hAnsi="Aptos"/>
          <w:color w:val="auto"/>
          <w:sz w:val="20"/>
          <w:szCs w:val="20"/>
        </w:rPr>
        <w:tab/>
      </w:r>
      <w:r w:rsidRPr="00875049">
        <w:rPr>
          <w:rFonts w:ascii="Aptos" w:hAnsi="Aptos"/>
          <w:color w:val="auto"/>
          <w:sz w:val="20"/>
          <w:szCs w:val="20"/>
        </w:rPr>
        <w:tab/>
        <w:t>Frequently Asked Questions</w:t>
      </w:r>
    </w:p>
    <w:p w14:paraId="560036DC" w14:textId="06B53113" w:rsidR="007C28A7" w:rsidRPr="00875049" w:rsidRDefault="007C28A7" w:rsidP="00235DB4">
      <w:pPr>
        <w:tabs>
          <w:tab w:val="left" w:pos="1710"/>
        </w:tabs>
        <w:spacing w:line="283" w:lineRule="auto"/>
        <w:ind w:left="720" w:hanging="720"/>
        <w:jc w:val="both"/>
        <w:rPr>
          <w:rFonts w:ascii="Aptos" w:hAnsi="Aptos"/>
          <w:color w:val="auto"/>
          <w:sz w:val="20"/>
          <w:szCs w:val="20"/>
        </w:rPr>
      </w:pPr>
      <w:r w:rsidRPr="00875049">
        <w:rPr>
          <w:rFonts w:ascii="Aptos" w:hAnsi="Aptos"/>
          <w:color w:val="auto"/>
          <w:sz w:val="20"/>
          <w:szCs w:val="20"/>
        </w:rPr>
        <w:t>FBIIC</w:t>
      </w:r>
      <w:r w:rsidRPr="00875049">
        <w:rPr>
          <w:rFonts w:ascii="Aptos" w:hAnsi="Aptos"/>
          <w:color w:val="auto"/>
          <w:sz w:val="20"/>
          <w:szCs w:val="20"/>
        </w:rPr>
        <w:tab/>
      </w:r>
      <w:r w:rsidR="00235DB4" w:rsidRPr="00875049">
        <w:rPr>
          <w:rFonts w:ascii="Aptos" w:hAnsi="Aptos"/>
          <w:color w:val="auto"/>
          <w:sz w:val="20"/>
          <w:szCs w:val="20"/>
        </w:rPr>
        <w:tab/>
      </w:r>
      <w:r w:rsidRPr="00875049">
        <w:rPr>
          <w:rFonts w:ascii="Aptos" w:hAnsi="Aptos"/>
          <w:color w:val="auto"/>
          <w:sz w:val="20"/>
          <w:szCs w:val="20"/>
        </w:rPr>
        <w:t>Financial and Banking Information Infrastructure</w:t>
      </w:r>
      <w:r w:rsidR="00BE6C48" w:rsidRPr="00875049">
        <w:rPr>
          <w:rFonts w:ascii="Aptos" w:hAnsi="Aptos"/>
          <w:color w:val="auto"/>
          <w:sz w:val="20"/>
          <w:szCs w:val="20"/>
        </w:rPr>
        <w:t xml:space="preserve"> Committee</w:t>
      </w:r>
    </w:p>
    <w:p w14:paraId="3FF5D70E" w14:textId="702849CA" w:rsidR="002C1E18" w:rsidRPr="00875049" w:rsidRDefault="002C1E18" w:rsidP="00235DB4">
      <w:pPr>
        <w:tabs>
          <w:tab w:val="left" w:pos="1710"/>
        </w:tabs>
        <w:spacing w:line="283" w:lineRule="auto"/>
        <w:ind w:left="720" w:hanging="720"/>
        <w:jc w:val="both"/>
        <w:rPr>
          <w:rFonts w:ascii="Aptos" w:hAnsi="Aptos"/>
          <w:color w:val="auto"/>
          <w:sz w:val="20"/>
          <w:szCs w:val="20"/>
        </w:rPr>
      </w:pPr>
      <w:r w:rsidRPr="00875049">
        <w:rPr>
          <w:rFonts w:ascii="Aptos" w:hAnsi="Aptos"/>
          <w:color w:val="auto"/>
          <w:sz w:val="20"/>
          <w:szCs w:val="20"/>
        </w:rPr>
        <w:t>FI</w:t>
      </w:r>
      <w:r w:rsidRPr="00875049">
        <w:rPr>
          <w:rFonts w:ascii="Aptos" w:hAnsi="Aptos"/>
          <w:color w:val="auto"/>
          <w:sz w:val="20"/>
          <w:szCs w:val="20"/>
        </w:rPr>
        <w:tab/>
      </w:r>
      <w:r w:rsidR="00235DB4" w:rsidRPr="00875049">
        <w:rPr>
          <w:rFonts w:ascii="Aptos" w:hAnsi="Aptos"/>
          <w:color w:val="auto"/>
          <w:sz w:val="20"/>
          <w:szCs w:val="20"/>
        </w:rPr>
        <w:tab/>
      </w:r>
      <w:r w:rsidRPr="00875049">
        <w:rPr>
          <w:rFonts w:ascii="Aptos" w:hAnsi="Aptos"/>
          <w:color w:val="auto"/>
          <w:sz w:val="20"/>
          <w:szCs w:val="20"/>
        </w:rPr>
        <w:t>Financial Institution</w:t>
      </w:r>
    </w:p>
    <w:p w14:paraId="6DCA2AD2" w14:textId="54A3CACF" w:rsidR="00D24993" w:rsidRPr="00875049" w:rsidRDefault="00D24993" w:rsidP="00235DB4">
      <w:pPr>
        <w:tabs>
          <w:tab w:val="left" w:pos="1710"/>
        </w:tabs>
        <w:spacing w:line="283" w:lineRule="auto"/>
        <w:ind w:left="720" w:hanging="720"/>
        <w:jc w:val="both"/>
        <w:rPr>
          <w:rFonts w:ascii="Aptos" w:hAnsi="Aptos"/>
          <w:color w:val="auto"/>
          <w:sz w:val="20"/>
          <w:szCs w:val="20"/>
        </w:rPr>
      </w:pPr>
      <w:r w:rsidRPr="00875049">
        <w:rPr>
          <w:rFonts w:ascii="Aptos" w:hAnsi="Aptos"/>
          <w:color w:val="auto"/>
          <w:sz w:val="20"/>
          <w:szCs w:val="20"/>
        </w:rPr>
        <w:t>FS</w:t>
      </w:r>
      <w:r w:rsidRPr="00875049">
        <w:rPr>
          <w:rFonts w:ascii="Aptos" w:hAnsi="Aptos"/>
          <w:color w:val="auto"/>
          <w:sz w:val="20"/>
          <w:szCs w:val="20"/>
        </w:rPr>
        <w:tab/>
      </w:r>
      <w:r w:rsidR="00235DB4" w:rsidRPr="00875049">
        <w:rPr>
          <w:rFonts w:ascii="Aptos" w:hAnsi="Aptos"/>
          <w:color w:val="auto"/>
          <w:sz w:val="20"/>
          <w:szCs w:val="20"/>
        </w:rPr>
        <w:tab/>
      </w:r>
      <w:r w:rsidRPr="00875049">
        <w:rPr>
          <w:rFonts w:ascii="Aptos" w:hAnsi="Aptos"/>
          <w:color w:val="auto"/>
          <w:sz w:val="20"/>
          <w:szCs w:val="20"/>
        </w:rPr>
        <w:t>Financial Services</w:t>
      </w:r>
      <w:r w:rsidR="00AB3FEB" w:rsidRPr="00875049">
        <w:rPr>
          <w:rFonts w:ascii="Aptos" w:hAnsi="Aptos"/>
          <w:color w:val="auto"/>
          <w:sz w:val="20"/>
          <w:szCs w:val="20"/>
        </w:rPr>
        <w:t xml:space="preserve"> or Financial Sector</w:t>
      </w:r>
    </w:p>
    <w:p w14:paraId="1B1570AE" w14:textId="2AA84DED" w:rsidR="004A5243" w:rsidRPr="00875049" w:rsidRDefault="004A5243" w:rsidP="00235DB4">
      <w:pPr>
        <w:tabs>
          <w:tab w:val="left" w:pos="1710"/>
        </w:tabs>
        <w:spacing w:line="283" w:lineRule="auto"/>
        <w:ind w:left="720" w:hanging="720"/>
        <w:jc w:val="both"/>
        <w:rPr>
          <w:rFonts w:ascii="Aptos" w:hAnsi="Aptos"/>
          <w:color w:val="auto"/>
          <w:sz w:val="20"/>
          <w:szCs w:val="20"/>
        </w:rPr>
      </w:pPr>
      <w:r w:rsidRPr="00875049">
        <w:rPr>
          <w:rFonts w:ascii="Aptos" w:hAnsi="Aptos"/>
          <w:color w:val="auto"/>
          <w:sz w:val="20"/>
          <w:szCs w:val="20"/>
        </w:rPr>
        <w:t>FSI</w:t>
      </w:r>
      <w:r w:rsidRPr="00875049">
        <w:rPr>
          <w:rFonts w:ascii="Aptos" w:hAnsi="Aptos"/>
          <w:color w:val="auto"/>
          <w:sz w:val="20"/>
          <w:szCs w:val="20"/>
        </w:rPr>
        <w:tab/>
      </w:r>
      <w:r w:rsidR="00235DB4" w:rsidRPr="00875049">
        <w:rPr>
          <w:rFonts w:ascii="Aptos" w:hAnsi="Aptos"/>
          <w:color w:val="auto"/>
          <w:sz w:val="20"/>
          <w:szCs w:val="20"/>
        </w:rPr>
        <w:tab/>
      </w:r>
      <w:r w:rsidR="00B31B0B" w:rsidRPr="00875049">
        <w:rPr>
          <w:rFonts w:ascii="Aptos" w:hAnsi="Aptos"/>
          <w:color w:val="auto"/>
          <w:sz w:val="20"/>
          <w:szCs w:val="20"/>
        </w:rPr>
        <w:t>Financial Services Industry</w:t>
      </w:r>
    </w:p>
    <w:p w14:paraId="083EEFC6" w14:textId="15C25810" w:rsidR="00B31B0B" w:rsidRPr="00875049" w:rsidRDefault="00B31B0B" w:rsidP="00235DB4">
      <w:pPr>
        <w:tabs>
          <w:tab w:val="left" w:pos="1710"/>
        </w:tabs>
        <w:spacing w:line="283" w:lineRule="auto"/>
        <w:ind w:left="720" w:hanging="720"/>
        <w:jc w:val="both"/>
        <w:rPr>
          <w:rFonts w:ascii="Aptos" w:hAnsi="Aptos"/>
          <w:color w:val="auto"/>
          <w:sz w:val="20"/>
          <w:szCs w:val="20"/>
        </w:rPr>
      </w:pPr>
      <w:r w:rsidRPr="00875049">
        <w:rPr>
          <w:rFonts w:ascii="Aptos" w:hAnsi="Aptos"/>
          <w:color w:val="auto"/>
          <w:sz w:val="20"/>
          <w:szCs w:val="20"/>
        </w:rPr>
        <w:t>FSSCC</w:t>
      </w:r>
      <w:r w:rsidRPr="00875049">
        <w:rPr>
          <w:rFonts w:ascii="Aptos" w:hAnsi="Aptos"/>
          <w:color w:val="auto"/>
          <w:sz w:val="20"/>
          <w:szCs w:val="20"/>
        </w:rPr>
        <w:tab/>
      </w:r>
      <w:r w:rsidR="00235DB4" w:rsidRPr="00875049">
        <w:rPr>
          <w:rFonts w:ascii="Aptos" w:hAnsi="Aptos"/>
          <w:color w:val="auto"/>
          <w:sz w:val="20"/>
          <w:szCs w:val="20"/>
        </w:rPr>
        <w:tab/>
      </w:r>
      <w:r w:rsidRPr="00875049">
        <w:rPr>
          <w:rFonts w:ascii="Aptos" w:hAnsi="Aptos"/>
          <w:color w:val="auto"/>
          <w:sz w:val="20"/>
          <w:szCs w:val="20"/>
        </w:rPr>
        <w:t>Financial Services Sector Coordinating Counsel</w:t>
      </w:r>
    </w:p>
    <w:p w14:paraId="38463068" w14:textId="5994DD67" w:rsidR="00EC61B8" w:rsidRPr="00875049" w:rsidRDefault="00EC61B8" w:rsidP="00235DB4">
      <w:pPr>
        <w:tabs>
          <w:tab w:val="left" w:pos="1710"/>
        </w:tabs>
        <w:spacing w:line="283" w:lineRule="auto"/>
        <w:ind w:left="720" w:hanging="720"/>
        <w:jc w:val="both"/>
        <w:rPr>
          <w:rFonts w:ascii="Aptos" w:hAnsi="Aptos"/>
          <w:color w:val="auto"/>
          <w:sz w:val="20"/>
          <w:szCs w:val="20"/>
        </w:rPr>
      </w:pPr>
      <w:r w:rsidRPr="00875049">
        <w:rPr>
          <w:rFonts w:ascii="Aptos" w:hAnsi="Aptos"/>
          <w:color w:val="auto"/>
          <w:sz w:val="20"/>
          <w:szCs w:val="20"/>
        </w:rPr>
        <w:t>GAI</w:t>
      </w:r>
      <w:r w:rsidR="00BA32C0" w:rsidRPr="00875049">
        <w:rPr>
          <w:rFonts w:ascii="Aptos" w:hAnsi="Aptos"/>
          <w:color w:val="auto"/>
          <w:sz w:val="20"/>
          <w:szCs w:val="20"/>
        </w:rPr>
        <w:t>/GenAI</w:t>
      </w:r>
      <w:r w:rsidRPr="00875049">
        <w:rPr>
          <w:rFonts w:ascii="Aptos" w:hAnsi="Aptos"/>
          <w:color w:val="auto"/>
          <w:sz w:val="20"/>
          <w:szCs w:val="20"/>
        </w:rPr>
        <w:tab/>
        <w:t>Generative AI</w:t>
      </w:r>
    </w:p>
    <w:p w14:paraId="54C7C7EA" w14:textId="5BB924EB" w:rsidR="007A52C9" w:rsidRPr="00875049" w:rsidRDefault="007A52C9" w:rsidP="00235DB4">
      <w:pPr>
        <w:tabs>
          <w:tab w:val="left" w:pos="1710"/>
        </w:tabs>
        <w:spacing w:line="283" w:lineRule="auto"/>
        <w:ind w:left="720" w:hanging="720"/>
        <w:jc w:val="both"/>
        <w:rPr>
          <w:rFonts w:ascii="Aptos" w:hAnsi="Aptos"/>
          <w:color w:val="auto"/>
          <w:sz w:val="20"/>
          <w:szCs w:val="20"/>
        </w:rPr>
      </w:pPr>
      <w:r w:rsidRPr="00875049">
        <w:rPr>
          <w:rFonts w:ascii="Aptos" w:hAnsi="Aptos"/>
          <w:color w:val="auto"/>
          <w:sz w:val="20"/>
          <w:szCs w:val="20"/>
        </w:rPr>
        <w:t>GRC</w:t>
      </w:r>
      <w:r w:rsidRPr="00875049">
        <w:rPr>
          <w:rFonts w:ascii="Aptos" w:hAnsi="Aptos"/>
          <w:color w:val="auto"/>
          <w:sz w:val="20"/>
          <w:szCs w:val="20"/>
        </w:rPr>
        <w:tab/>
      </w:r>
      <w:r w:rsidR="00235DB4" w:rsidRPr="00875049">
        <w:rPr>
          <w:rFonts w:ascii="Aptos" w:hAnsi="Aptos"/>
          <w:color w:val="auto"/>
          <w:sz w:val="20"/>
          <w:szCs w:val="20"/>
        </w:rPr>
        <w:tab/>
      </w:r>
      <w:r w:rsidRPr="00875049">
        <w:rPr>
          <w:rFonts w:ascii="Aptos" w:hAnsi="Aptos"/>
          <w:color w:val="auto"/>
          <w:sz w:val="20"/>
          <w:szCs w:val="20"/>
        </w:rPr>
        <w:t>Governance, Risk, and Compliance</w:t>
      </w:r>
    </w:p>
    <w:p w14:paraId="4BC25AA8" w14:textId="68CA33AB" w:rsidR="00D62AF9" w:rsidRPr="00875049" w:rsidRDefault="00D62AF9" w:rsidP="00235DB4">
      <w:pPr>
        <w:tabs>
          <w:tab w:val="left" w:pos="1710"/>
        </w:tabs>
        <w:spacing w:line="283" w:lineRule="auto"/>
        <w:ind w:left="720" w:hanging="720"/>
        <w:jc w:val="both"/>
        <w:rPr>
          <w:rFonts w:ascii="Aptos" w:hAnsi="Aptos"/>
          <w:color w:val="auto"/>
          <w:sz w:val="20"/>
          <w:szCs w:val="20"/>
        </w:rPr>
      </w:pPr>
      <w:r w:rsidRPr="00875049">
        <w:rPr>
          <w:rFonts w:ascii="Aptos" w:hAnsi="Aptos"/>
          <w:color w:val="auto"/>
          <w:sz w:val="20"/>
          <w:szCs w:val="20"/>
        </w:rPr>
        <w:t>HITL</w:t>
      </w:r>
      <w:r w:rsidRPr="00875049">
        <w:rPr>
          <w:rFonts w:ascii="Aptos" w:hAnsi="Aptos"/>
          <w:color w:val="auto"/>
          <w:sz w:val="20"/>
          <w:szCs w:val="20"/>
        </w:rPr>
        <w:tab/>
      </w:r>
      <w:r w:rsidR="00235DB4" w:rsidRPr="00875049">
        <w:rPr>
          <w:rFonts w:ascii="Aptos" w:hAnsi="Aptos"/>
          <w:color w:val="auto"/>
          <w:sz w:val="20"/>
          <w:szCs w:val="20"/>
        </w:rPr>
        <w:tab/>
      </w:r>
      <w:r w:rsidRPr="00875049">
        <w:rPr>
          <w:rFonts w:ascii="Aptos" w:hAnsi="Aptos"/>
          <w:color w:val="auto"/>
          <w:sz w:val="20"/>
          <w:szCs w:val="20"/>
        </w:rPr>
        <w:t>Human-in-the-Loop</w:t>
      </w:r>
    </w:p>
    <w:p w14:paraId="4406587F" w14:textId="4DBB3C85" w:rsidR="007972E8" w:rsidRPr="00875049" w:rsidRDefault="007972E8" w:rsidP="00235DB4">
      <w:pPr>
        <w:tabs>
          <w:tab w:val="left" w:pos="1710"/>
        </w:tabs>
        <w:spacing w:line="283" w:lineRule="auto"/>
        <w:ind w:left="720" w:hanging="720"/>
        <w:jc w:val="both"/>
        <w:rPr>
          <w:rFonts w:ascii="Aptos" w:hAnsi="Aptos"/>
          <w:color w:val="auto"/>
          <w:sz w:val="20"/>
          <w:szCs w:val="20"/>
        </w:rPr>
      </w:pPr>
      <w:r w:rsidRPr="00875049">
        <w:rPr>
          <w:rFonts w:ascii="Aptos" w:hAnsi="Aptos"/>
          <w:color w:val="auto"/>
          <w:sz w:val="20"/>
          <w:szCs w:val="20"/>
        </w:rPr>
        <w:t>HR</w:t>
      </w:r>
      <w:r w:rsidRPr="00875049">
        <w:rPr>
          <w:rFonts w:ascii="Aptos" w:hAnsi="Aptos"/>
          <w:color w:val="auto"/>
          <w:sz w:val="20"/>
          <w:szCs w:val="20"/>
        </w:rPr>
        <w:tab/>
      </w:r>
      <w:r w:rsidRPr="00875049">
        <w:rPr>
          <w:rFonts w:ascii="Aptos" w:hAnsi="Aptos"/>
          <w:color w:val="auto"/>
          <w:sz w:val="20"/>
          <w:szCs w:val="20"/>
        </w:rPr>
        <w:tab/>
        <w:t>Human Resources</w:t>
      </w:r>
    </w:p>
    <w:p w14:paraId="65B34853" w14:textId="0284F924" w:rsidR="00F34005" w:rsidRPr="00875049" w:rsidRDefault="00F34005" w:rsidP="00235DB4">
      <w:pPr>
        <w:tabs>
          <w:tab w:val="left" w:pos="1710"/>
        </w:tabs>
        <w:spacing w:line="283" w:lineRule="auto"/>
        <w:ind w:left="720" w:hanging="720"/>
        <w:jc w:val="both"/>
        <w:rPr>
          <w:rFonts w:ascii="Aptos" w:hAnsi="Aptos"/>
          <w:color w:val="auto"/>
          <w:sz w:val="20"/>
          <w:szCs w:val="20"/>
        </w:rPr>
      </w:pPr>
      <w:r w:rsidRPr="00875049">
        <w:rPr>
          <w:rFonts w:ascii="Aptos" w:hAnsi="Aptos"/>
          <w:color w:val="auto"/>
          <w:sz w:val="20"/>
          <w:szCs w:val="20"/>
        </w:rPr>
        <w:t>ID</w:t>
      </w:r>
      <w:r w:rsidRPr="00875049">
        <w:rPr>
          <w:rFonts w:ascii="Aptos" w:hAnsi="Aptos"/>
          <w:color w:val="auto"/>
          <w:sz w:val="20"/>
          <w:szCs w:val="20"/>
        </w:rPr>
        <w:tab/>
      </w:r>
      <w:r w:rsidRPr="00875049">
        <w:rPr>
          <w:rFonts w:ascii="Aptos" w:hAnsi="Aptos"/>
          <w:color w:val="auto"/>
          <w:sz w:val="20"/>
          <w:szCs w:val="20"/>
        </w:rPr>
        <w:tab/>
        <w:t>Identification</w:t>
      </w:r>
    </w:p>
    <w:p w14:paraId="4D08150F" w14:textId="289F1A3F" w:rsidR="00F34005" w:rsidRPr="00875049" w:rsidRDefault="00F34005" w:rsidP="00235DB4">
      <w:pPr>
        <w:tabs>
          <w:tab w:val="left" w:pos="1710"/>
        </w:tabs>
        <w:spacing w:line="283" w:lineRule="auto"/>
        <w:ind w:left="720" w:hanging="720"/>
        <w:jc w:val="both"/>
        <w:rPr>
          <w:rFonts w:ascii="Aptos" w:hAnsi="Aptos"/>
          <w:color w:val="auto"/>
          <w:sz w:val="20"/>
          <w:szCs w:val="20"/>
        </w:rPr>
      </w:pPr>
      <w:r w:rsidRPr="00875049">
        <w:rPr>
          <w:rFonts w:ascii="Aptos" w:hAnsi="Aptos"/>
          <w:color w:val="auto"/>
          <w:sz w:val="20"/>
          <w:szCs w:val="20"/>
        </w:rPr>
        <w:t>IP</w:t>
      </w:r>
      <w:r w:rsidRPr="00875049">
        <w:rPr>
          <w:rFonts w:ascii="Aptos" w:hAnsi="Aptos"/>
          <w:color w:val="auto"/>
          <w:sz w:val="20"/>
          <w:szCs w:val="20"/>
        </w:rPr>
        <w:tab/>
      </w:r>
      <w:r w:rsidRPr="00875049">
        <w:rPr>
          <w:rFonts w:ascii="Aptos" w:hAnsi="Aptos"/>
          <w:color w:val="auto"/>
          <w:sz w:val="20"/>
          <w:szCs w:val="20"/>
        </w:rPr>
        <w:tab/>
        <w:t>Intellectual Property</w:t>
      </w:r>
    </w:p>
    <w:p w14:paraId="166C467A" w14:textId="110AC0A3" w:rsidR="00D0764A" w:rsidRPr="00875049" w:rsidRDefault="00D0764A" w:rsidP="00235DB4">
      <w:pPr>
        <w:tabs>
          <w:tab w:val="left" w:pos="1710"/>
        </w:tabs>
        <w:spacing w:line="283" w:lineRule="auto"/>
        <w:ind w:left="720" w:hanging="720"/>
        <w:jc w:val="both"/>
        <w:rPr>
          <w:rFonts w:ascii="Aptos" w:hAnsi="Aptos"/>
          <w:color w:val="auto"/>
          <w:sz w:val="20"/>
          <w:szCs w:val="20"/>
        </w:rPr>
      </w:pPr>
      <w:r w:rsidRPr="00875049">
        <w:rPr>
          <w:rFonts w:ascii="Aptos" w:hAnsi="Aptos"/>
          <w:color w:val="auto"/>
          <w:sz w:val="20"/>
          <w:szCs w:val="20"/>
        </w:rPr>
        <w:t>IRB</w:t>
      </w:r>
      <w:r w:rsidRPr="00875049">
        <w:rPr>
          <w:rFonts w:ascii="Aptos" w:hAnsi="Aptos"/>
          <w:color w:val="auto"/>
          <w:sz w:val="20"/>
          <w:szCs w:val="20"/>
        </w:rPr>
        <w:tab/>
      </w:r>
      <w:r w:rsidRPr="00875049">
        <w:rPr>
          <w:rFonts w:ascii="Aptos" w:hAnsi="Aptos"/>
          <w:color w:val="auto"/>
          <w:sz w:val="20"/>
          <w:szCs w:val="20"/>
        </w:rPr>
        <w:tab/>
        <w:t>Institutional/Internal Review Board</w:t>
      </w:r>
    </w:p>
    <w:p w14:paraId="4C6A8895" w14:textId="0C1397D9" w:rsidR="007972E8" w:rsidRPr="00875049" w:rsidRDefault="007972E8" w:rsidP="00235DB4">
      <w:pPr>
        <w:tabs>
          <w:tab w:val="left" w:pos="1710"/>
        </w:tabs>
        <w:spacing w:line="283" w:lineRule="auto"/>
        <w:ind w:left="720" w:hanging="720"/>
        <w:jc w:val="both"/>
        <w:rPr>
          <w:rFonts w:ascii="Aptos" w:hAnsi="Aptos"/>
          <w:color w:val="auto"/>
          <w:sz w:val="20"/>
          <w:szCs w:val="20"/>
        </w:rPr>
      </w:pPr>
      <w:r w:rsidRPr="00875049">
        <w:rPr>
          <w:rFonts w:ascii="Aptos" w:hAnsi="Aptos"/>
          <w:color w:val="auto"/>
          <w:sz w:val="20"/>
          <w:szCs w:val="20"/>
        </w:rPr>
        <w:t>KPI</w:t>
      </w:r>
      <w:r w:rsidRPr="00875049">
        <w:rPr>
          <w:rFonts w:ascii="Aptos" w:hAnsi="Aptos"/>
          <w:color w:val="auto"/>
          <w:sz w:val="20"/>
          <w:szCs w:val="20"/>
        </w:rPr>
        <w:tab/>
      </w:r>
      <w:r w:rsidRPr="00875049">
        <w:rPr>
          <w:rFonts w:ascii="Aptos" w:hAnsi="Aptos"/>
          <w:color w:val="auto"/>
          <w:sz w:val="20"/>
          <w:szCs w:val="20"/>
        </w:rPr>
        <w:tab/>
        <w:t>Key Performance Indicator</w:t>
      </w:r>
    </w:p>
    <w:p w14:paraId="4CE90167" w14:textId="561B15CA" w:rsidR="007972E8" w:rsidRPr="00875049" w:rsidRDefault="007972E8" w:rsidP="00235DB4">
      <w:pPr>
        <w:tabs>
          <w:tab w:val="left" w:pos="1710"/>
        </w:tabs>
        <w:spacing w:line="283" w:lineRule="auto"/>
        <w:ind w:left="720" w:hanging="720"/>
        <w:jc w:val="both"/>
        <w:rPr>
          <w:rFonts w:ascii="Aptos" w:hAnsi="Aptos"/>
          <w:color w:val="auto"/>
          <w:sz w:val="20"/>
          <w:szCs w:val="20"/>
        </w:rPr>
      </w:pPr>
      <w:r w:rsidRPr="00875049">
        <w:rPr>
          <w:rFonts w:ascii="Aptos" w:hAnsi="Aptos"/>
          <w:color w:val="auto"/>
          <w:sz w:val="20"/>
          <w:szCs w:val="20"/>
        </w:rPr>
        <w:t>KRI</w:t>
      </w:r>
      <w:r w:rsidRPr="00875049">
        <w:rPr>
          <w:rFonts w:ascii="Aptos" w:hAnsi="Aptos"/>
          <w:color w:val="auto"/>
          <w:sz w:val="20"/>
          <w:szCs w:val="20"/>
        </w:rPr>
        <w:tab/>
      </w:r>
      <w:r w:rsidRPr="00875049">
        <w:rPr>
          <w:rFonts w:ascii="Aptos" w:hAnsi="Aptos"/>
          <w:color w:val="auto"/>
          <w:sz w:val="20"/>
          <w:szCs w:val="20"/>
        </w:rPr>
        <w:tab/>
        <w:t>Key Risk Indicator</w:t>
      </w:r>
    </w:p>
    <w:p w14:paraId="21148765" w14:textId="302D2155" w:rsidR="00AD3260" w:rsidRPr="00875049" w:rsidRDefault="00AD3260" w:rsidP="00235DB4">
      <w:pPr>
        <w:tabs>
          <w:tab w:val="left" w:pos="1710"/>
        </w:tabs>
        <w:spacing w:line="283" w:lineRule="auto"/>
        <w:ind w:left="720" w:hanging="720"/>
        <w:jc w:val="both"/>
        <w:rPr>
          <w:rFonts w:ascii="Aptos" w:hAnsi="Aptos"/>
          <w:color w:val="auto"/>
          <w:sz w:val="20"/>
          <w:szCs w:val="20"/>
        </w:rPr>
      </w:pPr>
      <w:r w:rsidRPr="00875049">
        <w:rPr>
          <w:rFonts w:ascii="Aptos" w:hAnsi="Aptos"/>
          <w:color w:val="auto"/>
          <w:sz w:val="20"/>
          <w:szCs w:val="20"/>
        </w:rPr>
        <w:t>LLM</w:t>
      </w:r>
      <w:r w:rsidRPr="00875049">
        <w:rPr>
          <w:rFonts w:ascii="Aptos" w:hAnsi="Aptos"/>
          <w:color w:val="auto"/>
          <w:sz w:val="20"/>
          <w:szCs w:val="20"/>
        </w:rPr>
        <w:tab/>
      </w:r>
      <w:r w:rsidR="00235DB4" w:rsidRPr="00875049">
        <w:rPr>
          <w:rFonts w:ascii="Aptos" w:hAnsi="Aptos"/>
          <w:color w:val="auto"/>
          <w:sz w:val="20"/>
          <w:szCs w:val="20"/>
        </w:rPr>
        <w:tab/>
      </w:r>
      <w:r w:rsidRPr="00875049">
        <w:rPr>
          <w:rFonts w:ascii="Aptos" w:hAnsi="Aptos"/>
          <w:color w:val="auto"/>
          <w:sz w:val="20"/>
          <w:szCs w:val="20"/>
        </w:rPr>
        <w:t>Large Language Model</w:t>
      </w:r>
    </w:p>
    <w:p w14:paraId="5CD0C287" w14:textId="48256C2F" w:rsidR="00E0050E" w:rsidRPr="00875049" w:rsidRDefault="00E0050E" w:rsidP="00235DB4">
      <w:pPr>
        <w:tabs>
          <w:tab w:val="left" w:pos="1710"/>
        </w:tabs>
        <w:spacing w:line="283" w:lineRule="auto"/>
        <w:ind w:left="720" w:hanging="720"/>
        <w:jc w:val="both"/>
        <w:rPr>
          <w:rFonts w:ascii="Aptos" w:hAnsi="Aptos"/>
          <w:color w:val="auto"/>
          <w:sz w:val="20"/>
          <w:szCs w:val="20"/>
        </w:rPr>
      </w:pPr>
      <w:r w:rsidRPr="00875049">
        <w:rPr>
          <w:rFonts w:ascii="Aptos" w:hAnsi="Aptos"/>
          <w:color w:val="auto"/>
          <w:sz w:val="20"/>
          <w:szCs w:val="20"/>
        </w:rPr>
        <w:t>LMS</w:t>
      </w:r>
      <w:r w:rsidRPr="00875049">
        <w:rPr>
          <w:rFonts w:ascii="Aptos" w:hAnsi="Aptos"/>
          <w:color w:val="auto"/>
          <w:sz w:val="20"/>
          <w:szCs w:val="20"/>
        </w:rPr>
        <w:tab/>
      </w:r>
      <w:r w:rsidRPr="00875049">
        <w:rPr>
          <w:rFonts w:ascii="Aptos" w:hAnsi="Aptos"/>
          <w:color w:val="auto"/>
          <w:sz w:val="20"/>
          <w:szCs w:val="20"/>
        </w:rPr>
        <w:tab/>
        <w:t>Learning Management System</w:t>
      </w:r>
    </w:p>
    <w:p w14:paraId="5D07BDE2" w14:textId="4E64772B" w:rsidR="00EB5539" w:rsidRPr="00875049" w:rsidRDefault="00EB5539" w:rsidP="00235DB4">
      <w:pPr>
        <w:tabs>
          <w:tab w:val="left" w:pos="1710"/>
        </w:tabs>
        <w:spacing w:line="283" w:lineRule="auto"/>
        <w:ind w:left="720" w:hanging="720"/>
        <w:jc w:val="both"/>
        <w:rPr>
          <w:rFonts w:ascii="Aptos" w:hAnsi="Aptos"/>
          <w:color w:val="auto"/>
          <w:sz w:val="20"/>
          <w:szCs w:val="20"/>
        </w:rPr>
      </w:pPr>
      <w:r w:rsidRPr="00875049">
        <w:rPr>
          <w:rFonts w:ascii="Aptos" w:hAnsi="Aptos"/>
          <w:color w:val="auto"/>
          <w:sz w:val="20"/>
          <w:szCs w:val="20"/>
        </w:rPr>
        <w:t>ML</w:t>
      </w:r>
      <w:r w:rsidRPr="00875049">
        <w:rPr>
          <w:rFonts w:ascii="Aptos" w:hAnsi="Aptos"/>
          <w:color w:val="auto"/>
          <w:sz w:val="20"/>
          <w:szCs w:val="20"/>
        </w:rPr>
        <w:tab/>
      </w:r>
      <w:r w:rsidR="00235DB4" w:rsidRPr="00875049">
        <w:rPr>
          <w:rFonts w:ascii="Aptos" w:hAnsi="Aptos"/>
          <w:color w:val="auto"/>
          <w:sz w:val="20"/>
          <w:szCs w:val="20"/>
        </w:rPr>
        <w:tab/>
      </w:r>
      <w:r w:rsidRPr="00875049">
        <w:rPr>
          <w:rFonts w:ascii="Aptos" w:hAnsi="Aptos"/>
          <w:color w:val="auto"/>
          <w:sz w:val="20"/>
          <w:szCs w:val="20"/>
        </w:rPr>
        <w:t>Machine Learning</w:t>
      </w:r>
    </w:p>
    <w:p w14:paraId="6A15B80F" w14:textId="190FED8F" w:rsidR="00F34005" w:rsidRPr="00875049" w:rsidRDefault="00F34005" w:rsidP="00235DB4">
      <w:pPr>
        <w:tabs>
          <w:tab w:val="left" w:pos="1710"/>
        </w:tabs>
        <w:spacing w:line="283" w:lineRule="auto"/>
        <w:ind w:left="720" w:hanging="720"/>
        <w:jc w:val="both"/>
        <w:rPr>
          <w:rFonts w:ascii="Aptos" w:hAnsi="Aptos"/>
          <w:color w:val="auto"/>
          <w:sz w:val="20"/>
          <w:szCs w:val="20"/>
        </w:rPr>
      </w:pPr>
      <w:r w:rsidRPr="00875049">
        <w:rPr>
          <w:rFonts w:ascii="Aptos" w:hAnsi="Aptos"/>
          <w:color w:val="auto"/>
          <w:sz w:val="20"/>
          <w:szCs w:val="20"/>
        </w:rPr>
        <w:t>MOU</w:t>
      </w:r>
      <w:r w:rsidRPr="00875049">
        <w:rPr>
          <w:rFonts w:ascii="Aptos" w:hAnsi="Aptos"/>
          <w:color w:val="auto"/>
          <w:sz w:val="20"/>
          <w:szCs w:val="20"/>
        </w:rPr>
        <w:tab/>
      </w:r>
      <w:r w:rsidRPr="00875049">
        <w:rPr>
          <w:rFonts w:ascii="Aptos" w:hAnsi="Aptos"/>
          <w:color w:val="auto"/>
          <w:sz w:val="20"/>
          <w:szCs w:val="20"/>
        </w:rPr>
        <w:tab/>
        <w:t>Memorandum of Understanding</w:t>
      </w:r>
    </w:p>
    <w:p w14:paraId="03CB782F" w14:textId="7F3C9CC9" w:rsidR="00BE6C48" w:rsidRPr="00875049" w:rsidRDefault="00BE6C48" w:rsidP="00235DB4">
      <w:pPr>
        <w:tabs>
          <w:tab w:val="left" w:pos="1710"/>
        </w:tabs>
        <w:spacing w:line="283" w:lineRule="auto"/>
        <w:ind w:left="720" w:hanging="720"/>
        <w:jc w:val="both"/>
        <w:rPr>
          <w:rFonts w:ascii="Aptos" w:hAnsi="Aptos"/>
          <w:color w:val="auto"/>
          <w:sz w:val="20"/>
          <w:szCs w:val="20"/>
        </w:rPr>
      </w:pPr>
      <w:r w:rsidRPr="00875049">
        <w:rPr>
          <w:rFonts w:ascii="Aptos" w:hAnsi="Aptos"/>
          <w:color w:val="auto"/>
          <w:sz w:val="20"/>
          <w:szCs w:val="20"/>
        </w:rPr>
        <w:t>MRM</w:t>
      </w:r>
      <w:r w:rsidRPr="00875049">
        <w:rPr>
          <w:rFonts w:ascii="Aptos" w:hAnsi="Aptos"/>
          <w:color w:val="auto"/>
          <w:sz w:val="20"/>
          <w:szCs w:val="20"/>
        </w:rPr>
        <w:tab/>
      </w:r>
      <w:r w:rsidR="00235DB4" w:rsidRPr="00875049">
        <w:rPr>
          <w:rFonts w:ascii="Aptos" w:hAnsi="Aptos"/>
          <w:color w:val="auto"/>
          <w:sz w:val="20"/>
          <w:szCs w:val="20"/>
        </w:rPr>
        <w:tab/>
      </w:r>
      <w:r w:rsidRPr="00875049">
        <w:rPr>
          <w:rFonts w:ascii="Aptos" w:hAnsi="Aptos"/>
          <w:color w:val="auto"/>
          <w:sz w:val="20"/>
          <w:szCs w:val="20"/>
        </w:rPr>
        <w:t>Model Risk Management</w:t>
      </w:r>
    </w:p>
    <w:p w14:paraId="0E5BC86F" w14:textId="4B0CBA85" w:rsidR="00F34005" w:rsidRPr="00875049" w:rsidRDefault="00F34005" w:rsidP="00235DB4">
      <w:pPr>
        <w:tabs>
          <w:tab w:val="left" w:pos="1710"/>
        </w:tabs>
        <w:spacing w:line="283" w:lineRule="auto"/>
        <w:ind w:left="720" w:hanging="720"/>
        <w:jc w:val="both"/>
        <w:rPr>
          <w:rFonts w:ascii="Aptos" w:hAnsi="Aptos"/>
          <w:color w:val="auto"/>
          <w:sz w:val="20"/>
          <w:szCs w:val="20"/>
        </w:rPr>
      </w:pPr>
      <w:r w:rsidRPr="00875049">
        <w:rPr>
          <w:rFonts w:ascii="Aptos" w:hAnsi="Aptos"/>
          <w:color w:val="auto"/>
          <w:sz w:val="20"/>
          <w:szCs w:val="20"/>
        </w:rPr>
        <w:t>NDA</w:t>
      </w:r>
      <w:r w:rsidRPr="00875049">
        <w:rPr>
          <w:rFonts w:ascii="Aptos" w:hAnsi="Aptos"/>
          <w:color w:val="auto"/>
          <w:sz w:val="20"/>
          <w:szCs w:val="20"/>
        </w:rPr>
        <w:tab/>
      </w:r>
      <w:r w:rsidRPr="00875049">
        <w:rPr>
          <w:rFonts w:ascii="Aptos" w:hAnsi="Aptos"/>
          <w:color w:val="auto"/>
          <w:sz w:val="20"/>
          <w:szCs w:val="20"/>
        </w:rPr>
        <w:tab/>
        <w:t>Non-Disclosure Agreement</w:t>
      </w:r>
    </w:p>
    <w:p w14:paraId="18A259D3" w14:textId="5357C800" w:rsidR="00232CC7" w:rsidRPr="00875049" w:rsidRDefault="00232CC7" w:rsidP="00235DB4">
      <w:pPr>
        <w:tabs>
          <w:tab w:val="left" w:pos="1710"/>
        </w:tabs>
        <w:spacing w:line="283" w:lineRule="auto"/>
        <w:ind w:left="720" w:hanging="720"/>
        <w:jc w:val="both"/>
        <w:rPr>
          <w:rFonts w:ascii="Aptos" w:hAnsi="Aptos"/>
          <w:color w:val="auto"/>
          <w:sz w:val="20"/>
          <w:szCs w:val="20"/>
        </w:rPr>
      </w:pPr>
      <w:r w:rsidRPr="00875049">
        <w:rPr>
          <w:rFonts w:ascii="Aptos" w:hAnsi="Aptos"/>
          <w:color w:val="auto"/>
          <w:sz w:val="20"/>
          <w:szCs w:val="20"/>
        </w:rPr>
        <w:t>NIST</w:t>
      </w:r>
      <w:r w:rsidRPr="00875049">
        <w:rPr>
          <w:rFonts w:ascii="Aptos" w:hAnsi="Aptos"/>
          <w:color w:val="auto"/>
          <w:sz w:val="20"/>
          <w:szCs w:val="20"/>
        </w:rPr>
        <w:tab/>
      </w:r>
      <w:r w:rsidR="00235DB4" w:rsidRPr="00875049">
        <w:rPr>
          <w:rFonts w:ascii="Aptos" w:hAnsi="Aptos"/>
          <w:color w:val="auto"/>
          <w:sz w:val="20"/>
          <w:szCs w:val="20"/>
        </w:rPr>
        <w:tab/>
      </w:r>
      <w:r w:rsidRPr="00875049">
        <w:rPr>
          <w:rFonts w:ascii="Aptos" w:hAnsi="Aptos"/>
          <w:color w:val="auto"/>
          <w:sz w:val="20"/>
          <w:szCs w:val="20"/>
        </w:rPr>
        <w:t>National Institute of Standards and Technology</w:t>
      </w:r>
    </w:p>
    <w:p w14:paraId="51619899" w14:textId="69A080F0" w:rsidR="00F27D98" w:rsidRPr="00875049" w:rsidRDefault="00F27D98" w:rsidP="00235DB4">
      <w:pPr>
        <w:tabs>
          <w:tab w:val="left" w:pos="1710"/>
        </w:tabs>
        <w:spacing w:line="283" w:lineRule="auto"/>
        <w:ind w:left="720" w:hanging="720"/>
        <w:jc w:val="both"/>
        <w:rPr>
          <w:rFonts w:ascii="Aptos" w:hAnsi="Aptos"/>
          <w:color w:val="auto"/>
          <w:sz w:val="20"/>
          <w:szCs w:val="20"/>
        </w:rPr>
      </w:pPr>
      <w:r w:rsidRPr="00875049">
        <w:rPr>
          <w:rFonts w:ascii="Aptos" w:hAnsi="Aptos"/>
          <w:color w:val="auto"/>
          <w:sz w:val="20"/>
          <w:szCs w:val="20"/>
        </w:rPr>
        <w:t>NLP</w:t>
      </w:r>
      <w:r w:rsidRPr="00875049">
        <w:rPr>
          <w:rFonts w:ascii="Aptos" w:hAnsi="Aptos"/>
          <w:color w:val="auto"/>
          <w:sz w:val="20"/>
          <w:szCs w:val="20"/>
        </w:rPr>
        <w:tab/>
      </w:r>
      <w:r w:rsidR="00235DB4" w:rsidRPr="00875049">
        <w:rPr>
          <w:rFonts w:ascii="Aptos" w:hAnsi="Aptos"/>
          <w:color w:val="auto"/>
          <w:sz w:val="20"/>
          <w:szCs w:val="20"/>
        </w:rPr>
        <w:tab/>
      </w:r>
      <w:r w:rsidRPr="00875049">
        <w:rPr>
          <w:rFonts w:ascii="Aptos" w:hAnsi="Aptos"/>
          <w:color w:val="auto"/>
          <w:sz w:val="20"/>
          <w:szCs w:val="20"/>
        </w:rPr>
        <w:t>Natural Language Processing</w:t>
      </w:r>
    </w:p>
    <w:p w14:paraId="555F38FD" w14:textId="38D2E898" w:rsidR="00E0050E" w:rsidRPr="00875049" w:rsidRDefault="007972E8" w:rsidP="00E0050E">
      <w:pPr>
        <w:tabs>
          <w:tab w:val="left" w:pos="1710"/>
        </w:tabs>
        <w:spacing w:line="283" w:lineRule="auto"/>
        <w:ind w:left="720" w:hanging="720"/>
        <w:jc w:val="both"/>
        <w:rPr>
          <w:rFonts w:ascii="Aptos" w:hAnsi="Aptos"/>
          <w:color w:val="auto"/>
          <w:sz w:val="20"/>
          <w:szCs w:val="20"/>
        </w:rPr>
      </w:pPr>
      <w:r w:rsidRPr="00875049">
        <w:rPr>
          <w:rFonts w:ascii="Aptos" w:hAnsi="Aptos"/>
          <w:color w:val="auto"/>
          <w:sz w:val="20"/>
          <w:szCs w:val="20"/>
        </w:rPr>
        <w:t>PIA</w:t>
      </w:r>
      <w:r w:rsidRPr="00875049">
        <w:rPr>
          <w:rFonts w:ascii="Aptos" w:hAnsi="Aptos"/>
          <w:color w:val="auto"/>
          <w:sz w:val="20"/>
          <w:szCs w:val="20"/>
        </w:rPr>
        <w:tab/>
      </w:r>
      <w:r w:rsidRPr="00875049">
        <w:rPr>
          <w:rFonts w:ascii="Aptos" w:hAnsi="Aptos"/>
          <w:color w:val="auto"/>
          <w:sz w:val="20"/>
          <w:szCs w:val="20"/>
        </w:rPr>
        <w:tab/>
        <w:t>Privacy Impact Assessme</w:t>
      </w:r>
      <w:r w:rsidR="00E0050E" w:rsidRPr="00875049">
        <w:rPr>
          <w:rFonts w:ascii="Aptos" w:hAnsi="Aptos"/>
          <w:color w:val="auto"/>
          <w:sz w:val="20"/>
          <w:szCs w:val="20"/>
        </w:rPr>
        <w:t>nt</w:t>
      </w:r>
    </w:p>
    <w:p w14:paraId="2845DE79" w14:textId="74CF0275" w:rsidR="00E0050E" w:rsidRPr="00875049" w:rsidRDefault="00E0050E" w:rsidP="00E0050E">
      <w:pPr>
        <w:tabs>
          <w:tab w:val="left" w:pos="1710"/>
        </w:tabs>
        <w:spacing w:line="283" w:lineRule="auto"/>
        <w:ind w:left="720" w:hanging="720"/>
        <w:jc w:val="both"/>
        <w:rPr>
          <w:rFonts w:ascii="Aptos" w:hAnsi="Aptos"/>
          <w:color w:val="auto"/>
          <w:sz w:val="20"/>
          <w:szCs w:val="20"/>
        </w:rPr>
      </w:pPr>
      <w:r w:rsidRPr="00875049">
        <w:rPr>
          <w:rFonts w:ascii="Aptos" w:hAnsi="Aptos"/>
          <w:color w:val="auto"/>
          <w:sz w:val="20"/>
          <w:szCs w:val="20"/>
        </w:rPr>
        <w:t>PRD</w:t>
      </w:r>
      <w:r w:rsidRPr="00875049">
        <w:rPr>
          <w:rFonts w:ascii="Aptos" w:hAnsi="Aptos"/>
          <w:color w:val="auto"/>
          <w:sz w:val="20"/>
          <w:szCs w:val="20"/>
        </w:rPr>
        <w:tab/>
      </w:r>
      <w:r w:rsidRPr="00875049">
        <w:rPr>
          <w:rFonts w:ascii="Aptos" w:hAnsi="Aptos"/>
          <w:color w:val="auto"/>
          <w:sz w:val="20"/>
          <w:szCs w:val="20"/>
        </w:rPr>
        <w:tab/>
        <w:t>Product Requirements Document</w:t>
      </w:r>
    </w:p>
    <w:p w14:paraId="2EE8096B" w14:textId="08878EA6" w:rsidR="003D765A" w:rsidRPr="00875049" w:rsidRDefault="003D765A" w:rsidP="00E0050E">
      <w:pPr>
        <w:tabs>
          <w:tab w:val="left" w:pos="1710"/>
        </w:tabs>
        <w:spacing w:line="283" w:lineRule="auto"/>
        <w:ind w:left="720" w:hanging="720"/>
        <w:jc w:val="both"/>
        <w:rPr>
          <w:rFonts w:ascii="Aptos" w:hAnsi="Aptos"/>
          <w:color w:val="auto"/>
          <w:sz w:val="20"/>
          <w:szCs w:val="20"/>
        </w:rPr>
      </w:pPr>
      <w:r w:rsidRPr="00875049">
        <w:rPr>
          <w:rFonts w:ascii="Aptos" w:hAnsi="Aptos"/>
          <w:color w:val="auto"/>
          <w:sz w:val="20"/>
          <w:szCs w:val="20"/>
        </w:rPr>
        <w:t>PTM</w:t>
      </w:r>
      <w:r w:rsidRPr="00875049">
        <w:rPr>
          <w:rFonts w:ascii="Aptos" w:hAnsi="Aptos"/>
          <w:color w:val="auto"/>
          <w:sz w:val="20"/>
          <w:szCs w:val="20"/>
        </w:rPr>
        <w:tab/>
      </w:r>
      <w:r w:rsidRPr="00875049">
        <w:rPr>
          <w:rFonts w:ascii="Aptos" w:hAnsi="Aptos"/>
          <w:color w:val="auto"/>
          <w:sz w:val="20"/>
          <w:szCs w:val="20"/>
        </w:rPr>
        <w:tab/>
        <w:t>Pretrained Model(s)</w:t>
      </w:r>
    </w:p>
    <w:p w14:paraId="5C993A80" w14:textId="6E664AB2" w:rsidR="007972E8" w:rsidRPr="00875049" w:rsidRDefault="007972E8" w:rsidP="00235DB4">
      <w:pPr>
        <w:tabs>
          <w:tab w:val="left" w:pos="1710"/>
        </w:tabs>
        <w:spacing w:line="283" w:lineRule="auto"/>
        <w:ind w:left="720" w:hanging="720"/>
        <w:jc w:val="both"/>
        <w:rPr>
          <w:rFonts w:ascii="Aptos" w:hAnsi="Aptos"/>
          <w:color w:val="auto"/>
          <w:sz w:val="20"/>
          <w:szCs w:val="20"/>
        </w:rPr>
      </w:pPr>
      <w:r w:rsidRPr="00875049">
        <w:rPr>
          <w:rFonts w:ascii="Aptos" w:hAnsi="Aptos"/>
          <w:color w:val="auto"/>
          <w:sz w:val="20"/>
          <w:szCs w:val="20"/>
        </w:rPr>
        <w:t>RACI</w:t>
      </w:r>
      <w:r w:rsidRPr="00875049">
        <w:rPr>
          <w:rFonts w:ascii="Aptos" w:hAnsi="Aptos"/>
          <w:color w:val="auto"/>
          <w:sz w:val="20"/>
          <w:szCs w:val="20"/>
        </w:rPr>
        <w:tab/>
      </w:r>
      <w:r w:rsidRPr="00875049">
        <w:rPr>
          <w:rFonts w:ascii="Aptos" w:hAnsi="Aptos"/>
          <w:color w:val="auto"/>
          <w:sz w:val="20"/>
          <w:szCs w:val="20"/>
        </w:rPr>
        <w:tab/>
        <w:t>Responsible, Accountable, Consulted, and Informed [Matrix]</w:t>
      </w:r>
    </w:p>
    <w:p w14:paraId="1AEC8152" w14:textId="4D7F6854" w:rsidR="00ED1532" w:rsidRPr="00875049" w:rsidRDefault="00ED1532" w:rsidP="00235DB4">
      <w:pPr>
        <w:tabs>
          <w:tab w:val="left" w:pos="1710"/>
        </w:tabs>
        <w:spacing w:line="283" w:lineRule="auto"/>
        <w:ind w:left="720" w:hanging="720"/>
        <w:jc w:val="both"/>
        <w:rPr>
          <w:rFonts w:ascii="Aptos" w:hAnsi="Aptos"/>
          <w:color w:val="auto"/>
          <w:sz w:val="20"/>
          <w:szCs w:val="20"/>
        </w:rPr>
      </w:pPr>
      <w:r w:rsidRPr="00875049">
        <w:rPr>
          <w:rFonts w:ascii="Aptos" w:hAnsi="Aptos"/>
          <w:color w:val="auto"/>
          <w:sz w:val="20"/>
          <w:szCs w:val="20"/>
        </w:rPr>
        <w:t>RAG</w:t>
      </w:r>
      <w:r w:rsidRPr="00875049">
        <w:rPr>
          <w:rFonts w:ascii="Aptos" w:hAnsi="Aptos"/>
          <w:color w:val="auto"/>
          <w:sz w:val="20"/>
          <w:szCs w:val="20"/>
        </w:rPr>
        <w:tab/>
      </w:r>
      <w:r w:rsidR="00235DB4" w:rsidRPr="00875049">
        <w:rPr>
          <w:rFonts w:ascii="Aptos" w:hAnsi="Aptos"/>
          <w:color w:val="auto"/>
          <w:sz w:val="20"/>
          <w:szCs w:val="20"/>
        </w:rPr>
        <w:tab/>
      </w:r>
      <w:r w:rsidRPr="00875049">
        <w:rPr>
          <w:rFonts w:ascii="Aptos" w:hAnsi="Aptos"/>
          <w:color w:val="auto"/>
          <w:sz w:val="20"/>
          <w:szCs w:val="20"/>
        </w:rPr>
        <w:t>Retrieval Augmented Generation </w:t>
      </w:r>
    </w:p>
    <w:p w14:paraId="56A57335" w14:textId="7609F8B5" w:rsidR="00B9076D" w:rsidRPr="00875049" w:rsidRDefault="00B9076D" w:rsidP="00235DB4">
      <w:pPr>
        <w:tabs>
          <w:tab w:val="left" w:pos="1710"/>
        </w:tabs>
        <w:spacing w:line="283" w:lineRule="auto"/>
        <w:ind w:left="720" w:hanging="720"/>
        <w:jc w:val="both"/>
        <w:rPr>
          <w:rFonts w:ascii="Aptos" w:hAnsi="Aptos"/>
          <w:color w:val="auto"/>
          <w:sz w:val="20"/>
          <w:szCs w:val="20"/>
        </w:rPr>
      </w:pPr>
      <w:r w:rsidRPr="00875049">
        <w:rPr>
          <w:rFonts w:ascii="Aptos" w:hAnsi="Aptos"/>
          <w:color w:val="auto"/>
          <w:sz w:val="20"/>
          <w:szCs w:val="20"/>
        </w:rPr>
        <w:t>RIA</w:t>
      </w:r>
      <w:r w:rsidRPr="00875049">
        <w:rPr>
          <w:rFonts w:ascii="Aptos" w:hAnsi="Aptos"/>
          <w:color w:val="auto"/>
          <w:sz w:val="20"/>
          <w:szCs w:val="20"/>
        </w:rPr>
        <w:tab/>
      </w:r>
      <w:r w:rsidRPr="00875049">
        <w:rPr>
          <w:rFonts w:ascii="Aptos" w:hAnsi="Aptos"/>
          <w:color w:val="auto"/>
          <w:sz w:val="20"/>
          <w:szCs w:val="20"/>
        </w:rPr>
        <w:tab/>
        <w:t>Re</w:t>
      </w:r>
      <w:r w:rsidR="007972E8" w:rsidRPr="00875049">
        <w:rPr>
          <w:rFonts w:ascii="Aptos" w:hAnsi="Aptos"/>
          <w:color w:val="auto"/>
          <w:sz w:val="20"/>
          <w:szCs w:val="20"/>
        </w:rPr>
        <w:t>gulatory Impact Assessment</w:t>
      </w:r>
    </w:p>
    <w:p w14:paraId="5B97AD17" w14:textId="5E25E7BB" w:rsidR="007972E8" w:rsidRPr="00875049" w:rsidRDefault="007972E8" w:rsidP="00235DB4">
      <w:pPr>
        <w:tabs>
          <w:tab w:val="left" w:pos="1710"/>
        </w:tabs>
        <w:spacing w:line="283" w:lineRule="auto"/>
        <w:ind w:left="720" w:hanging="720"/>
        <w:jc w:val="both"/>
        <w:rPr>
          <w:rFonts w:ascii="Aptos" w:hAnsi="Aptos"/>
          <w:color w:val="auto"/>
          <w:sz w:val="20"/>
          <w:szCs w:val="20"/>
        </w:rPr>
      </w:pPr>
      <w:r w:rsidRPr="00875049">
        <w:rPr>
          <w:rFonts w:ascii="Aptos" w:hAnsi="Aptos"/>
          <w:color w:val="auto"/>
          <w:sz w:val="20"/>
          <w:szCs w:val="20"/>
        </w:rPr>
        <w:t>RCA</w:t>
      </w:r>
      <w:r w:rsidRPr="00875049">
        <w:rPr>
          <w:rFonts w:ascii="Aptos" w:hAnsi="Aptos"/>
          <w:color w:val="auto"/>
          <w:sz w:val="20"/>
          <w:szCs w:val="20"/>
        </w:rPr>
        <w:tab/>
      </w:r>
      <w:r w:rsidRPr="00875049">
        <w:rPr>
          <w:rFonts w:ascii="Aptos" w:hAnsi="Aptos"/>
          <w:color w:val="auto"/>
          <w:sz w:val="20"/>
          <w:szCs w:val="20"/>
        </w:rPr>
        <w:tab/>
        <w:t>Root Cause Analysis</w:t>
      </w:r>
    </w:p>
    <w:p w14:paraId="0846EE4D" w14:textId="2BD242FF" w:rsidR="00D24993" w:rsidRPr="00875049" w:rsidRDefault="00D24993" w:rsidP="00235DB4">
      <w:pPr>
        <w:tabs>
          <w:tab w:val="left" w:pos="1710"/>
        </w:tabs>
        <w:spacing w:line="283" w:lineRule="auto"/>
        <w:ind w:left="720" w:hanging="720"/>
        <w:jc w:val="both"/>
        <w:rPr>
          <w:rFonts w:ascii="Aptos" w:hAnsi="Aptos"/>
          <w:color w:val="auto"/>
          <w:sz w:val="20"/>
          <w:szCs w:val="20"/>
        </w:rPr>
      </w:pPr>
      <w:r w:rsidRPr="00875049">
        <w:rPr>
          <w:rFonts w:ascii="Aptos" w:hAnsi="Aptos"/>
          <w:color w:val="auto"/>
          <w:sz w:val="20"/>
          <w:szCs w:val="20"/>
        </w:rPr>
        <w:t>RCM</w:t>
      </w:r>
      <w:r w:rsidRPr="00875049">
        <w:rPr>
          <w:rFonts w:ascii="Aptos" w:hAnsi="Aptos"/>
          <w:color w:val="auto"/>
          <w:sz w:val="20"/>
          <w:szCs w:val="20"/>
        </w:rPr>
        <w:tab/>
      </w:r>
      <w:r w:rsidR="00235DB4" w:rsidRPr="00875049">
        <w:rPr>
          <w:rFonts w:ascii="Aptos" w:hAnsi="Aptos"/>
          <w:color w:val="auto"/>
          <w:sz w:val="20"/>
          <w:szCs w:val="20"/>
        </w:rPr>
        <w:tab/>
      </w:r>
      <w:r w:rsidRPr="00875049">
        <w:rPr>
          <w:rFonts w:ascii="Aptos" w:hAnsi="Aptos"/>
          <w:color w:val="auto"/>
          <w:sz w:val="20"/>
          <w:szCs w:val="20"/>
        </w:rPr>
        <w:t>Risk and Control Matrix</w:t>
      </w:r>
    </w:p>
    <w:p w14:paraId="71C6D80B" w14:textId="018084E1" w:rsidR="00E0050E" w:rsidRPr="00875049" w:rsidRDefault="00E0050E" w:rsidP="00235DB4">
      <w:pPr>
        <w:tabs>
          <w:tab w:val="left" w:pos="1710"/>
        </w:tabs>
        <w:spacing w:line="283" w:lineRule="auto"/>
        <w:ind w:left="720" w:hanging="720"/>
        <w:jc w:val="both"/>
        <w:rPr>
          <w:rFonts w:ascii="Aptos" w:hAnsi="Aptos"/>
          <w:color w:val="auto"/>
          <w:sz w:val="20"/>
          <w:szCs w:val="20"/>
        </w:rPr>
      </w:pPr>
      <w:r w:rsidRPr="00875049">
        <w:rPr>
          <w:rFonts w:ascii="Aptos" w:hAnsi="Aptos"/>
          <w:color w:val="auto"/>
          <w:sz w:val="20"/>
          <w:szCs w:val="20"/>
        </w:rPr>
        <w:t>RFI</w:t>
      </w:r>
      <w:r w:rsidRPr="00875049">
        <w:rPr>
          <w:rFonts w:ascii="Aptos" w:hAnsi="Aptos"/>
          <w:color w:val="auto"/>
          <w:sz w:val="20"/>
          <w:szCs w:val="20"/>
        </w:rPr>
        <w:tab/>
      </w:r>
      <w:r w:rsidRPr="00875049">
        <w:rPr>
          <w:rFonts w:ascii="Aptos" w:hAnsi="Aptos"/>
          <w:color w:val="auto"/>
          <w:sz w:val="20"/>
          <w:szCs w:val="20"/>
        </w:rPr>
        <w:tab/>
        <w:t>Request for Information</w:t>
      </w:r>
    </w:p>
    <w:p w14:paraId="6C5D3990" w14:textId="2751F0CC" w:rsidR="00E0050E" w:rsidRPr="00875049" w:rsidRDefault="00E0050E" w:rsidP="00235DB4">
      <w:pPr>
        <w:tabs>
          <w:tab w:val="left" w:pos="1710"/>
        </w:tabs>
        <w:spacing w:line="283" w:lineRule="auto"/>
        <w:ind w:left="720" w:hanging="720"/>
        <w:jc w:val="both"/>
        <w:rPr>
          <w:rFonts w:ascii="Aptos" w:hAnsi="Aptos"/>
          <w:color w:val="auto"/>
          <w:sz w:val="20"/>
          <w:szCs w:val="20"/>
        </w:rPr>
      </w:pPr>
      <w:r w:rsidRPr="00875049">
        <w:rPr>
          <w:rFonts w:ascii="Aptos" w:hAnsi="Aptos"/>
          <w:color w:val="auto"/>
          <w:sz w:val="20"/>
          <w:szCs w:val="20"/>
        </w:rPr>
        <w:t>RFP</w:t>
      </w:r>
      <w:r w:rsidRPr="00875049">
        <w:rPr>
          <w:rFonts w:ascii="Aptos" w:hAnsi="Aptos"/>
          <w:color w:val="auto"/>
          <w:sz w:val="20"/>
          <w:szCs w:val="20"/>
        </w:rPr>
        <w:tab/>
      </w:r>
      <w:r w:rsidRPr="00875049">
        <w:rPr>
          <w:rFonts w:ascii="Aptos" w:hAnsi="Aptos"/>
          <w:color w:val="auto"/>
          <w:sz w:val="20"/>
          <w:szCs w:val="20"/>
        </w:rPr>
        <w:tab/>
        <w:t>Request for Proposal</w:t>
      </w:r>
    </w:p>
    <w:p w14:paraId="723ED102" w14:textId="3C60FA5E" w:rsidR="0080238A" w:rsidRPr="00875049" w:rsidRDefault="00D24993" w:rsidP="00235DB4">
      <w:pPr>
        <w:tabs>
          <w:tab w:val="left" w:pos="1710"/>
        </w:tabs>
        <w:spacing w:line="283" w:lineRule="auto"/>
        <w:ind w:left="720" w:hanging="720"/>
        <w:jc w:val="both"/>
        <w:rPr>
          <w:rFonts w:ascii="Aptos" w:hAnsi="Aptos"/>
          <w:color w:val="auto"/>
          <w:sz w:val="20"/>
          <w:szCs w:val="20"/>
        </w:rPr>
      </w:pPr>
      <w:r w:rsidRPr="00875049">
        <w:rPr>
          <w:rFonts w:ascii="Aptos" w:hAnsi="Aptos"/>
          <w:color w:val="auto"/>
          <w:sz w:val="20"/>
          <w:szCs w:val="20"/>
        </w:rPr>
        <w:t>RMF</w:t>
      </w:r>
      <w:r w:rsidRPr="00875049">
        <w:rPr>
          <w:rFonts w:ascii="Aptos" w:hAnsi="Aptos"/>
          <w:color w:val="auto"/>
          <w:sz w:val="20"/>
          <w:szCs w:val="20"/>
        </w:rPr>
        <w:tab/>
      </w:r>
      <w:r w:rsidR="00235DB4" w:rsidRPr="00875049">
        <w:rPr>
          <w:rFonts w:ascii="Aptos" w:hAnsi="Aptos"/>
          <w:color w:val="auto"/>
          <w:sz w:val="20"/>
          <w:szCs w:val="20"/>
        </w:rPr>
        <w:tab/>
      </w:r>
      <w:r w:rsidRPr="00875049">
        <w:rPr>
          <w:rFonts w:ascii="Aptos" w:hAnsi="Aptos"/>
          <w:color w:val="auto"/>
          <w:sz w:val="20"/>
          <w:szCs w:val="20"/>
        </w:rPr>
        <w:t>Risk Management Framework</w:t>
      </w:r>
    </w:p>
    <w:p w14:paraId="3D545457" w14:textId="162E1E6A" w:rsidR="00E0050E" w:rsidRPr="00875049" w:rsidRDefault="00E0050E" w:rsidP="00235DB4">
      <w:pPr>
        <w:tabs>
          <w:tab w:val="left" w:pos="1710"/>
        </w:tabs>
        <w:spacing w:line="283" w:lineRule="auto"/>
        <w:ind w:left="720" w:hanging="720"/>
        <w:jc w:val="both"/>
        <w:rPr>
          <w:rFonts w:ascii="Aptos" w:hAnsi="Aptos"/>
          <w:color w:val="auto"/>
          <w:sz w:val="20"/>
          <w:szCs w:val="20"/>
        </w:rPr>
      </w:pPr>
      <w:r w:rsidRPr="00875049">
        <w:rPr>
          <w:rFonts w:ascii="Aptos" w:hAnsi="Aptos"/>
          <w:color w:val="auto"/>
          <w:sz w:val="20"/>
          <w:szCs w:val="20"/>
        </w:rPr>
        <w:t>SDLC</w:t>
      </w:r>
      <w:r w:rsidRPr="00875049">
        <w:rPr>
          <w:rFonts w:ascii="Aptos" w:hAnsi="Aptos"/>
          <w:color w:val="auto"/>
          <w:sz w:val="20"/>
          <w:szCs w:val="20"/>
        </w:rPr>
        <w:tab/>
      </w:r>
      <w:r w:rsidRPr="00875049">
        <w:rPr>
          <w:rFonts w:ascii="Aptos" w:hAnsi="Aptos"/>
          <w:color w:val="auto"/>
          <w:sz w:val="20"/>
          <w:szCs w:val="20"/>
        </w:rPr>
        <w:tab/>
        <w:t>Software Development Lifecycle</w:t>
      </w:r>
    </w:p>
    <w:p w14:paraId="2E0B6288" w14:textId="6F71B7CB" w:rsidR="00ED1532" w:rsidRPr="00875049" w:rsidRDefault="00ED1532" w:rsidP="00235DB4">
      <w:pPr>
        <w:tabs>
          <w:tab w:val="left" w:pos="1710"/>
        </w:tabs>
        <w:spacing w:line="283" w:lineRule="auto"/>
        <w:ind w:left="720" w:hanging="720"/>
        <w:jc w:val="both"/>
        <w:rPr>
          <w:rFonts w:ascii="Aptos" w:hAnsi="Aptos"/>
          <w:color w:val="auto"/>
          <w:sz w:val="20"/>
          <w:szCs w:val="20"/>
        </w:rPr>
      </w:pPr>
      <w:r w:rsidRPr="00875049">
        <w:rPr>
          <w:rFonts w:ascii="Aptos" w:hAnsi="Aptos"/>
          <w:color w:val="auto"/>
          <w:sz w:val="20"/>
          <w:szCs w:val="20"/>
        </w:rPr>
        <w:t>SLA</w:t>
      </w:r>
      <w:r w:rsidRPr="00875049">
        <w:rPr>
          <w:rFonts w:ascii="Aptos" w:hAnsi="Aptos"/>
          <w:color w:val="auto"/>
          <w:sz w:val="20"/>
          <w:szCs w:val="20"/>
        </w:rPr>
        <w:tab/>
      </w:r>
      <w:r w:rsidR="00235DB4" w:rsidRPr="00875049">
        <w:rPr>
          <w:rFonts w:ascii="Aptos" w:hAnsi="Aptos"/>
          <w:color w:val="auto"/>
          <w:sz w:val="20"/>
          <w:szCs w:val="20"/>
        </w:rPr>
        <w:tab/>
      </w:r>
      <w:r w:rsidRPr="00875049">
        <w:rPr>
          <w:rFonts w:ascii="Aptos" w:hAnsi="Aptos"/>
          <w:color w:val="auto"/>
          <w:sz w:val="20"/>
          <w:szCs w:val="20"/>
        </w:rPr>
        <w:t>Service Level Agreement</w:t>
      </w:r>
    </w:p>
    <w:p w14:paraId="09B553BE" w14:textId="13588B3C" w:rsidR="00E0050E" w:rsidRPr="00875049" w:rsidRDefault="00E0050E" w:rsidP="00235DB4">
      <w:pPr>
        <w:tabs>
          <w:tab w:val="left" w:pos="1710"/>
        </w:tabs>
        <w:spacing w:line="283" w:lineRule="auto"/>
        <w:ind w:left="720" w:hanging="720"/>
        <w:jc w:val="both"/>
        <w:rPr>
          <w:rFonts w:ascii="Aptos" w:hAnsi="Aptos"/>
          <w:color w:val="auto"/>
          <w:sz w:val="20"/>
          <w:szCs w:val="20"/>
        </w:rPr>
      </w:pPr>
      <w:r w:rsidRPr="00875049">
        <w:rPr>
          <w:rFonts w:ascii="Aptos" w:hAnsi="Aptos"/>
          <w:color w:val="auto"/>
          <w:sz w:val="20"/>
          <w:szCs w:val="20"/>
        </w:rPr>
        <w:t>SOP</w:t>
      </w:r>
      <w:r w:rsidRPr="00875049">
        <w:rPr>
          <w:rFonts w:ascii="Aptos" w:hAnsi="Aptos"/>
          <w:color w:val="auto"/>
          <w:sz w:val="20"/>
          <w:szCs w:val="20"/>
        </w:rPr>
        <w:tab/>
      </w:r>
      <w:r w:rsidRPr="00875049">
        <w:rPr>
          <w:rFonts w:ascii="Aptos" w:hAnsi="Aptos"/>
          <w:color w:val="auto"/>
          <w:sz w:val="20"/>
          <w:szCs w:val="20"/>
        </w:rPr>
        <w:tab/>
        <w:t>Standard Operating Procedure</w:t>
      </w:r>
    </w:p>
    <w:p w14:paraId="181567C8" w14:textId="0087C5E9" w:rsidR="003D765A" w:rsidRPr="00875049" w:rsidRDefault="003D765A" w:rsidP="00235DB4">
      <w:pPr>
        <w:tabs>
          <w:tab w:val="left" w:pos="1710"/>
        </w:tabs>
        <w:spacing w:line="283" w:lineRule="auto"/>
        <w:ind w:left="720" w:hanging="720"/>
        <w:jc w:val="both"/>
        <w:rPr>
          <w:rFonts w:ascii="Aptos" w:hAnsi="Aptos"/>
          <w:color w:val="auto"/>
          <w:sz w:val="20"/>
          <w:szCs w:val="20"/>
        </w:rPr>
      </w:pPr>
      <w:r w:rsidRPr="00875049">
        <w:rPr>
          <w:rFonts w:ascii="Aptos" w:hAnsi="Aptos"/>
          <w:color w:val="auto"/>
          <w:sz w:val="20"/>
          <w:szCs w:val="20"/>
        </w:rPr>
        <w:t>SQC</w:t>
      </w:r>
      <w:r w:rsidRPr="00875049">
        <w:rPr>
          <w:rFonts w:ascii="Aptos" w:hAnsi="Aptos"/>
          <w:color w:val="auto"/>
          <w:sz w:val="20"/>
          <w:szCs w:val="20"/>
        </w:rPr>
        <w:tab/>
      </w:r>
      <w:r w:rsidRPr="00875049">
        <w:rPr>
          <w:rFonts w:ascii="Aptos" w:hAnsi="Aptos"/>
          <w:color w:val="auto"/>
          <w:sz w:val="20"/>
          <w:szCs w:val="20"/>
        </w:rPr>
        <w:tab/>
        <w:t>Statistical Quality Control</w:t>
      </w:r>
    </w:p>
    <w:p w14:paraId="0E4A315E" w14:textId="78A4EA2B" w:rsidR="00036F86" w:rsidRPr="004461E6" w:rsidRDefault="0080238A" w:rsidP="00235DB4">
      <w:pPr>
        <w:tabs>
          <w:tab w:val="left" w:pos="1710"/>
        </w:tabs>
        <w:spacing w:line="283" w:lineRule="auto"/>
        <w:ind w:left="720" w:hanging="720"/>
        <w:jc w:val="both"/>
        <w:rPr>
          <w:rFonts w:ascii="Aptos" w:hAnsi="Aptos"/>
        </w:rPr>
      </w:pPr>
      <w:r w:rsidRPr="00875049">
        <w:rPr>
          <w:rFonts w:ascii="Aptos" w:hAnsi="Aptos"/>
          <w:color w:val="auto"/>
          <w:sz w:val="20"/>
          <w:szCs w:val="20"/>
        </w:rPr>
        <w:t>TEVV</w:t>
      </w:r>
      <w:r w:rsidRPr="00875049">
        <w:rPr>
          <w:rFonts w:ascii="Aptos" w:hAnsi="Aptos"/>
          <w:color w:val="auto"/>
          <w:sz w:val="20"/>
          <w:szCs w:val="20"/>
        </w:rPr>
        <w:tab/>
      </w:r>
      <w:r w:rsidR="00235DB4" w:rsidRPr="00875049">
        <w:rPr>
          <w:rFonts w:ascii="Aptos" w:hAnsi="Aptos"/>
          <w:color w:val="auto"/>
          <w:sz w:val="20"/>
          <w:szCs w:val="20"/>
        </w:rPr>
        <w:tab/>
      </w:r>
      <w:r w:rsidRPr="00875049">
        <w:rPr>
          <w:rFonts w:ascii="Aptos" w:hAnsi="Aptos"/>
          <w:color w:val="auto"/>
          <w:sz w:val="20"/>
          <w:szCs w:val="20"/>
        </w:rPr>
        <w:t>Testing, Evaluation, Verification, and validation</w:t>
      </w:r>
      <w:r w:rsidR="00036F86" w:rsidRPr="004461E6">
        <w:rPr>
          <w:rFonts w:ascii="Aptos" w:hAnsi="Aptos"/>
        </w:rPr>
        <w:br w:type="page"/>
      </w:r>
    </w:p>
    <w:p w14:paraId="4F548AC9" w14:textId="334DD45C" w:rsidR="00036F86" w:rsidRPr="00875049" w:rsidRDefault="00036F86" w:rsidP="00FF487A">
      <w:pPr>
        <w:pStyle w:val="Heading1"/>
        <w:spacing w:after="0" w:line="269" w:lineRule="auto"/>
        <w:jc w:val="both"/>
        <w:rPr>
          <w:rFonts w:ascii="Aptos" w:hAnsi="Aptos"/>
          <w:b/>
          <w:bCs/>
          <w:color w:val="34246B" w:themeColor="accent2"/>
          <w:sz w:val="28"/>
          <w:szCs w:val="22"/>
        </w:rPr>
      </w:pPr>
      <w:bookmarkStart w:id="58" w:name="_Toc43996669"/>
      <w:bookmarkStart w:id="59" w:name="_Toc194454602"/>
      <w:bookmarkStart w:id="60" w:name="_Toc203286811"/>
      <w:bookmarkStart w:id="61" w:name="_Toc221009665"/>
      <w:r w:rsidRPr="00875049">
        <w:rPr>
          <w:rFonts w:ascii="Aptos" w:hAnsi="Aptos"/>
          <w:b/>
          <w:bCs/>
          <w:color w:val="34246B" w:themeColor="accent2"/>
          <w:sz w:val="28"/>
          <w:szCs w:val="22"/>
        </w:rPr>
        <w:lastRenderedPageBreak/>
        <w:t xml:space="preserve">APPENDIX </w:t>
      </w:r>
      <w:r w:rsidR="00CC35A5" w:rsidRPr="00875049">
        <w:rPr>
          <w:rFonts w:ascii="Aptos" w:hAnsi="Aptos"/>
          <w:b/>
          <w:bCs/>
          <w:color w:val="34246B" w:themeColor="accent2"/>
          <w:sz w:val="28"/>
          <w:szCs w:val="22"/>
        </w:rPr>
        <w:t>C</w:t>
      </w:r>
      <w:r w:rsidRPr="00875049">
        <w:rPr>
          <w:rFonts w:ascii="Aptos" w:hAnsi="Aptos"/>
          <w:b/>
          <w:bCs/>
          <w:color w:val="34246B" w:themeColor="accent2"/>
          <w:sz w:val="28"/>
          <w:szCs w:val="22"/>
        </w:rPr>
        <w:t xml:space="preserve"> – </w:t>
      </w:r>
      <w:bookmarkEnd w:id="58"/>
      <w:bookmarkEnd w:id="59"/>
      <w:bookmarkEnd w:id="60"/>
      <w:r w:rsidR="006C5879" w:rsidRPr="00875049">
        <w:rPr>
          <w:rFonts w:ascii="Aptos" w:hAnsi="Aptos"/>
          <w:b/>
          <w:bCs/>
          <w:color w:val="34246B" w:themeColor="accent2"/>
          <w:sz w:val="28"/>
          <w:szCs w:val="22"/>
        </w:rPr>
        <w:t>GLOSSARY OF KEY TERMS</w:t>
      </w:r>
      <w:bookmarkEnd w:id="61"/>
    </w:p>
    <w:p w14:paraId="150C8032" w14:textId="77777777" w:rsidR="00EC61B8" w:rsidRDefault="00EC61B8" w:rsidP="00FF487A">
      <w:pPr>
        <w:spacing w:line="269" w:lineRule="auto"/>
        <w:jc w:val="both"/>
        <w:rPr>
          <w:rFonts w:ascii="Aptos" w:hAnsi="Aptos"/>
          <w:b/>
          <w:bCs/>
          <w:color w:val="auto"/>
          <w:szCs w:val="22"/>
        </w:rPr>
      </w:pPr>
    </w:p>
    <w:p w14:paraId="71C5EC30" w14:textId="2A356C5A" w:rsidR="00497004" w:rsidRPr="00875049" w:rsidRDefault="00497004" w:rsidP="00875049">
      <w:pPr>
        <w:jc w:val="both"/>
        <w:rPr>
          <w:rFonts w:ascii="Aptos" w:hAnsi="Aptos"/>
          <w:color w:val="auto"/>
          <w:sz w:val="20"/>
          <w:szCs w:val="20"/>
        </w:rPr>
      </w:pPr>
      <w:r w:rsidRPr="00875049">
        <w:rPr>
          <w:rFonts w:ascii="Aptos" w:hAnsi="Aptos"/>
          <w:color w:val="auto"/>
          <w:sz w:val="20"/>
          <w:szCs w:val="20"/>
        </w:rPr>
        <w:t>The following key terms and their definitions are adopted from the</w:t>
      </w:r>
      <w:r w:rsidR="00ED565C">
        <w:rPr>
          <w:rFonts w:ascii="Aptos" w:hAnsi="Aptos"/>
          <w:color w:val="auto"/>
          <w:sz w:val="20"/>
          <w:szCs w:val="20"/>
        </w:rPr>
        <w:t xml:space="preserve"> Financial Se</w:t>
      </w:r>
      <w:r w:rsidR="005760E1">
        <w:rPr>
          <w:rFonts w:ascii="Aptos" w:hAnsi="Aptos"/>
          <w:color w:val="auto"/>
          <w:sz w:val="20"/>
          <w:szCs w:val="20"/>
        </w:rPr>
        <w:t>rvices Sector Coordinating Council</w:t>
      </w:r>
      <w:r w:rsidR="00B26928">
        <w:rPr>
          <w:rFonts w:ascii="Aptos" w:hAnsi="Aptos"/>
          <w:color w:val="auto"/>
          <w:sz w:val="20"/>
          <w:szCs w:val="20"/>
        </w:rPr>
        <w:t>’s</w:t>
      </w:r>
      <w:r w:rsidRPr="00875049">
        <w:rPr>
          <w:rFonts w:ascii="Aptos" w:hAnsi="Aptos"/>
          <w:color w:val="auto"/>
          <w:sz w:val="20"/>
          <w:szCs w:val="20"/>
        </w:rPr>
        <w:t xml:space="preserve"> </w:t>
      </w:r>
      <w:r w:rsidR="00C95D53" w:rsidRPr="00C95D53">
        <w:rPr>
          <w:rFonts w:ascii="Aptos" w:hAnsi="Aptos"/>
          <w:color w:val="auto"/>
          <w:sz w:val="20"/>
          <w:szCs w:val="20"/>
        </w:rPr>
        <w:t>AI</w:t>
      </w:r>
      <w:r w:rsidR="00055475">
        <w:rPr>
          <w:rFonts w:ascii="Aptos" w:hAnsi="Aptos"/>
          <w:color w:val="auto"/>
          <w:sz w:val="20"/>
          <w:szCs w:val="20"/>
        </w:rPr>
        <w:t xml:space="preserve"> Executive Operating Group </w:t>
      </w:r>
      <w:r w:rsidR="00C95D53" w:rsidRPr="00C95D53">
        <w:rPr>
          <w:rFonts w:ascii="Aptos" w:hAnsi="Aptos"/>
          <w:color w:val="auto"/>
          <w:sz w:val="20"/>
          <w:szCs w:val="20"/>
        </w:rPr>
        <w:t>AI Lexicon and Terminology</w:t>
      </w:r>
      <w:r w:rsidR="003E6A38" w:rsidRPr="00875049">
        <w:rPr>
          <w:rFonts w:ascii="Aptos" w:hAnsi="Aptos"/>
          <w:color w:val="auto"/>
          <w:sz w:val="20"/>
          <w:szCs w:val="20"/>
        </w:rPr>
        <w:t xml:space="preserve">. </w:t>
      </w:r>
    </w:p>
    <w:p w14:paraId="080F2B74" w14:textId="77777777" w:rsidR="00307177" w:rsidRPr="00875049" w:rsidRDefault="00307177" w:rsidP="00875049">
      <w:pPr>
        <w:jc w:val="both"/>
        <w:rPr>
          <w:rFonts w:ascii="Aptos" w:hAnsi="Aptos"/>
          <w:color w:val="auto"/>
          <w:sz w:val="20"/>
          <w:szCs w:val="20"/>
        </w:rPr>
      </w:pPr>
    </w:p>
    <w:p w14:paraId="2B385F52" w14:textId="54D2BC49" w:rsidR="001D1277" w:rsidRDefault="001D1277" w:rsidP="00875049">
      <w:pPr>
        <w:jc w:val="both"/>
        <w:rPr>
          <w:rFonts w:ascii="Aptos" w:hAnsi="Aptos"/>
          <w:color w:val="auto"/>
          <w:sz w:val="20"/>
          <w:szCs w:val="20"/>
          <w:vertAlign w:val="superscript"/>
        </w:rPr>
      </w:pPr>
      <w:r w:rsidRPr="00875049">
        <w:rPr>
          <w:rFonts w:ascii="Aptos" w:hAnsi="Aptos"/>
          <w:b/>
          <w:bCs/>
          <w:color w:val="auto"/>
          <w:sz w:val="20"/>
          <w:szCs w:val="20"/>
        </w:rPr>
        <w:t>Adversarial AI</w:t>
      </w:r>
      <w:r w:rsidR="00307177" w:rsidRPr="00875049">
        <w:rPr>
          <w:rFonts w:ascii="Aptos" w:hAnsi="Aptos"/>
          <w:b/>
          <w:bCs/>
          <w:color w:val="auto"/>
          <w:sz w:val="20"/>
          <w:szCs w:val="20"/>
        </w:rPr>
        <w:t xml:space="preserve">: </w:t>
      </w:r>
      <w:r w:rsidRPr="00875049">
        <w:rPr>
          <w:rFonts w:ascii="Aptos" w:hAnsi="Aptos"/>
          <w:color w:val="auto"/>
          <w:sz w:val="20"/>
          <w:szCs w:val="20"/>
        </w:rPr>
        <w:t>Techniques used to deceive or manipulate AI systems, causing them to make incorrect or unintended predictions or decisions. These techniques exploit vulnerabilities in AI models, often by subtly altering input data to mislead the AI system.</w:t>
      </w:r>
      <w:r w:rsidRPr="00875049">
        <w:rPr>
          <w:rFonts w:ascii="Aptos" w:hAnsi="Aptos"/>
          <w:color w:val="auto"/>
          <w:sz w:val="20"/>
          <w:szCs w:val="20"/>
          <w:vertAlign w:val="superscript"/>
        </w:rPr>
        <w:footnoteReference w:id="8"/>
      </w:r>
      <w:r w:rsidRPr="00875049">
        <w:rPr>
          <w:rFonts w:ascii="Aptos" w:hAnsi="Aptos"/>
          <w:color w:val="auto"/>
          <w:sz w:val="20"/>
          <w:szCs w:val="20"/>
          <w:vertAlign w:val="superscript"/>
        </w:rPr>
        <w:t>,</w:t>
      </w:r>
      <w:r w:rsidRPr="00875049">
        <w:rPr>
          <w:rFonts w:ascii="Aptos" w:hAnsi="Aptos"/>
          <w:color w:val="auto"/>
          <w:sz w:val="20"/>
          <w:szCs w:val="20"/>
          <w:vertAlign w:val="superscript"/>
        </w:rPr>
        <w:footnoteReference w:id="9"/>
      </w:r>
    </w:p>
    <w:p w14:paraId="3C5F29B1" w14:textId="77777777" w:rsidR="00875049" w:rsidRPr="00875049" w:rsidRDefault="00875049" w:rsidP="00875049">
      <w:pPr>
        <w:jc w:val="both"/>
        <w:rPr>
          <w:rFonts w:ascii="Aptos" w:hAnsi="Aptos"/>
          <w:b/>
          <w:color w:val="auto"/>
          <w:sz w:val="20"/>
          <w:szCs w:val="20"/>
        </w:rPr>
      </w:pPr>
    </w:p>
    <w:p w14:paraId="2CAD9625" w14:textId="48F84969" w:rsidR="001D1277" w:rsidRDefault="001D1277" w:rsidP="00875049">
      <w:pPr>
        <w:jc w:val="both"/>
        <w:rPr>
          <w:rFonts w:ascii="Aptos" w:hAnsi="Aptos"/>
          <w:color w:val="auto"/>
          <w:sz w:val="20"/>
          <w:szCs w:val="20"/>
        </w:rPr>
      </w:pPr>
      <w:r w:rsidRPr="00875049">
        <w:rPr>
          <w:rFonts w:ascii="Aptos" w:hAnsi="Aptos"/>
          <w:b/>
          <w:bCs/>
          <w:color w:val="auto"/>
          <w:sz w:val="20"/>
          <w:szCs w:val="20"/>
        </w:rPr>
        <w:t>Agentic AI</w:t>
      </w:r>
      <w:r w:rsidR="00307177" w:rsidRPr="00875049">
        <w:rPr>
          <w:rFonts w:ascii="Aptos" w:hAnsi="Aptos"/>
          <w:b/>
          <w:bCs/>
          <w:color w:val="auto"/>
          <w:sz w:val="20"/>
          <w:szCs w:val="20"/>
        </w:rPr>
        <w:t>:</w:t>
      </w:r>
      <w:r w:rsidRPr="00875049">
        <w:rPr>
          <w:rFonts w:ascii="Aptos" w:hAnsi="Aptos"/>
          <w:b/>
          <w:bCs/>
          <w:color w:val="auto"/>
          <w:sz w:val="20"/>
          <w:szCs w:val="20"/>
        </w:rPr>
        <w:t xml:space="preserve"> </w:t>
      </w:r>
      <w:r w:rsidRPr="00875049">
        <w:rPr>
          <w:rFonts w:ascii="Aptos" w:hAnsi="Aptos"/>
          <w:color w:val="auto"/>
          <w:sz w:val="20"/>
          <w:szCs w:val="20"/>
        </w:rPr>
        <w:t>A category of AI systems capable of independently making decisions, interacting with their environment, and optimizing processes without direct human intervention.</w:t>
      </w:r>
      <w:r w:rsidRPr="00875049">
        <w:rPr>
          <w:rFonts w:ascii="Aptos" w:hAnsi="Aptos"/>
          <w:color w:val="auto"/>
          <w:sz w:val="20"/>
          <w:szCs w:val="20"/>
          <w:vertAlign w:val="superscript"/>
        </w:rPr>
        <w:footnoteReference w:id="10"/>
      </w:r>
    </w:p>
    <w:p w14:paraId="0FC485F1" w14:textId="77777777" w:rsidR="00875049" w:rsidRPr="00875049" w:rsidRDefault="00875049" w:rsidP="00875049">
      <w:pPr>
        <w:jc w:val="both"/>
        <w:rPr>
          <w:rFonts w:ascii="Aptos" w:hAnsi="Aptos"/>
          <w:color w:val="auto"/>
          <w:sz w:val="20"/>
          <w:szCs w:val="20"/>
        </w:rPr>
      </w:pPr>
    </w:p>
    <w:p w14:paraId="1A65DC9D" w14:textId="41982F51" w:rsidR="001D1277" w:rsidRDefault="001D1277" w:rsidP="00875049">
      <w:pPr>
        <w:jc w:val="both"/>
        <w:rPr>
          <w:rFonts w:ascii="Aptos" w:hAnsi="Aptos"/>
          <w:color w:val="auto"/>
          <w:sz w:val="20"/>
          <w:szCs w:val="20"/>
        </w:rPr>
      </w:pPr>
      <w:r w:rsidRPr="00875049">
        <w:rPr>
          <w:rFonts w:ascii="Aptos" w:hAnsi="Aptos"/>
          <w:b/>
          <w:bCs/>
          <w:color w:val="auto"/>
          <w:sz w:val="20"/>
          <w:szCs w:val="20"/>
        </w:rPr>
        <w:t>AI Agent</w:t>
      </w:r>
      <w:r w:rsidR="00307177" w:rsidRPr="00875049">
        <w:rPr>
          <w:rFonts w:ascii="Aptos" w:hAnsi="Aptos"/>
          <w:color w:val="auto"/>
          <w:sz w:val="20"/>
          <w:szCs w:val="20"/>
        </w:rPr>
        <w:t>:</w:t>
      </w:r>
      <w:r w:rsidRPr="00875049">
        <w:rPr>
          <w:rFonts w:ascii="Aptos" w:hAnsi="Aptos"/>
          <w:color w:val="auto"/>
          <w:sz w:val="20"/>
          <w:szCs w:val="20"/>
        </w:rPr>
        <w:t xml:space="preserve"> A system that autonomously perceives its environment and takes actions to achieve its goals.</w:t>
      </w:r>
      <w:r w:rsidRPr="00875049">
        <w:rPr>
          <w:rFonts w:ascii="Aptos" w:hAnsi="Aptos"/>
          <w:color w:val="auto"/>
          <w:sz w:val="20"/>
          <w:szCs w:val="20"/>
          <w:vertAlign w:val="superscript"/>
        </w:rPr>
        <w:footnoteReference w:id="11"/>
      </w:r>
      <w:r w:rsidRPr="00875049">
        <w:rPr>
          <w:rFonts w:ascii="Aptos" w:hAnsi="Aptos"/>
          <w:color w:val="auto"/>
          <w:sz w:val="20"/>
          <w:szCs w:val="20"/>
        </w:rPr>
        <w:t xml:space="preserve"> </w:t>
      </w:r>
      <w:r w:rsidRPr="00875049">
        <w:rPr>
          <w:rFonts w:ascii="Aptos" w:hAnsi="Aptos"/>
          <w:color w:val="auto"/>
          <w:sz w:val="20"/>
          <w:szCs w:val="20"/>
          <w:vertAlign w:val="superscript"/>
        </w:rPr>
        <w:footnoteReference w:id="12"/>
      </w:r>
    </w:p>
    <w:p w14:paraId="70161824" w14:textId="77777777" w:rsidR="00875049" w:rsidRPr="00875049" w:rsidRDefault="00875049" w:rsidP="00875049">
      <w:pPr>
        <w:jc w:val="both"/>
        <w:rPr>
          <w:rFonts w:ascii="Aptos" w:hAnsi="Aptos"/>
          <w:b/>
          <w:color w:val="auto"/>
          <w:sz w:val="20"/>
          <w:szCs w:val="20"/>
        </w:rPr>
      </w:pPr>
    </w:p>
    <w:p w14:paraId="50CD3E56" w14:textId="5172157A" w:rsidR="001D1277" w:rsidRDefault="001D1277" w:rsidP="00875049">
      <w:pPr>
        <w:jc w:val="both"/>
        <w:rPr>
          <w:rFonts w:ascii="Aptos" w:hAnsi="Aptos"/>
          <w:color w:val="auto"/>
          <w:sz w:val="20"/>
          <w:szCs w:val="20"/>
        </w:rPr>
      </w:pPr>
      <w:r w:rsidRPr="00875049">
        <w:rPr>
          <w:rFonts w:ascii="Aptos" w:hAnsi="Aptos"/>
          <w:b/>
          <w:bCs/>
          <w:color w:val="auto"/>
          <w:sz w:val="20"/>
          <w:szCs w:val="20"/>
        </w:rPr>
        <w:t xml:space="preserve">AI </w:t>
      </w:r>
      <w:r w:rsidR="00DA7861" w:rsidRPr="00875049">
        <w:rPr>
          <w:rFonts w:ascii="Aptos" w:hAnsi="Aptos"/>
          <w:b/>
          <w:bCs/>
          <w:color w:val="auto"/>
          <w:sz w:val="20"/>
          <w:szCs w:val="20"/>
        </w:rPr>
        <w:t>M</w:t>
      </w:r>
      <w:r w:rsidRPr="00875049">
        <w:rPr>
          <w:rFonts w:ascii="Aptos" w:hAnsi="Aptos"/>
          <w:b/>
          <w:bCs/>
          <w:color w:val="auto"/>
          <w:sz w:val="20"/>
          <w:szCs w:val="20"/>
        </w:rPr>
        <w:t xml:space="preserve">odel - </w:t>
      </w:r>
      <w:r w:rsidRPr="00875049">
        <w:rPr>
          <w:rFonts w:ascii="Aptos" w:hAnsi="Aptos"/>
          <w:color w:val="auto"/>
          <w:sz w:val="20"/>
          <w:szCs w:val="20"/>
        </w:rPr>
        <w:t>A component of an information system that implements AI technology and uses computational, statistical, or machine-learning techniques to produce outputs from a given set of inputs.</w:t>
      </w:r>
      <w:r w:rsidRPr="00875049">
        <w:rPr>
          <w:rFonts w:ascii="Aptos" w:hAnsi="Aptos"/>
          <w:color w:val="auto"/>
          <w:sz w:val="20"/>
          <w:szCs w:val="20"/>
          <w:vertAlign w:val="superscript"/>
        </w:rPr>
        <w:footnoteReference w:id="13"/>
      </w:r>
    </w:p>
    <w:p w14:paraId="61151BA3" w14:textId="77777777" w:rsidR="00875049" w:rsidRPr="00875049" w:rsidRDefault="00875049" w:rsidP="00875049">
      <w:pPr>
        <w:jc w:val="both"/>
        <w:rPr>
          <w:rFonts w:ascii="Aptos" w:hAnsi="Aptos"/>
          <w:b/>
          <w:bCs/>
          <w:color w:val="auto"/>
          <w:sz w:val="20"/>
          <w:szCs w:val="20"/>
        </w:rPr>
      </w:pPr>
    </w:p>
    <w:p w14:paraId="6CDD5822" w14:textId="1ECBC78A" w:rsidR="001D1277" w:rsidRDefault="001D1277" w:rsidP="00875049">
      <w:pPr>
        <w:jc w:val="both"/>
        <w:rPr>
          <w:rFonts w:ascii="Aptos" w:hAnsi="Aptos"/>
          <w:color w:val="auto"/>
          <w:sz w:val="20"/>
          <w:szCs w:val="20"/>
        </w:rPr>
      </w:pPr>
      <w:r w:rsidRPr="00875049">
        <w:rPr>
          <w:rFonts w:ascii="Aptos" w:hAnsi="Aptos"/>
          <w:b/>
          <w:bCs/>
          <w:color w:val="auto"/>
          <w:sz w:val="20"/>
          <w:szCs w:val="20"/>
        </w:rPr>
        <w:t xml:space="preserve">AI </w:t>
      </w:r>
      <w:r w:rsidR="00DA7861" w:rsidRPr="00875049">
        <w:rPr>
          <w:rFonts w:ascii="Aptos" w:hAnsi="Aptos"/>
          <w:b/>
          <w:bCs/>
          <w:color w:val="auto"/>
          <w:sz w:val="20"/>
          <w:szCs w:val="20"/>
        </w:rPr>
        <w:t>Drift/Decay</w:t>
      </w:r>
      <w:r w:rsidR="00074692" w:rsidRPr="00875049">
        <w:rPr>
          <w:rFonts w:ascii="Aptos" w:hAnsi="Aptos"/>
          <w:b/>
          <w:bCs/>
          <w:color w:val="auto"/>
          <w:sz w:val="20"/>
          <w:szCs w:val="20"/>
        </w:rPr>
        <w:t>:</w:t>
      </w:r>
      <w:r w:rsidRPr="00875049">
        <w:rPr>
          <w:rFonts w:ascii="Aptos" w:hAnsi="Aptos"/>
          <w:b/>
          <w:bCs/>
          <w:color w:val="auto"/>
          <w:sz w:val="20"/>
          <w:szCs w:val="20"/>
        </w:rPr>
        <w:t xml:space="preserve"> </w:t>
      </w:r>
      <w:r w:rsidRPr="00875049">
        <w:rPr>
          <w:rFonts w:ascii="Aptos" w:hAnsi="Aptos"/>
          <w:color w:val="auto"/>
          <w:sz w:val="20"/>
          <w:szCs w:val="20"/>
        </w:rPr>
        <w:t xml:space="preserve">The tendency for </w:t>
      </w:r>
      <w:r w:rsidR="00CC6663" w:rsidRPr="00875049">
        <w:rPr>
          <w:rFonts w:ascii="Aptos" w:hAnsi="Aptos"/>
          <w:color w:val="auto"/>
          <w:sz w:val="20"/>
          <w:szCs w:val="20"/>
        </w:rPr>
        <w:t xml:space="preserve">the performance of a </w:t>
      </w:r>
      <w:r w:rsidRPr="00875049">
        <w:rPr>
          <w:rFonts w:ascii="Aptos" w:hAnsi="Aptos"/>
          <w:color w:val="auto"/>
          <w:sz w:val="20"/>
          <w:szCs w:val="20"/>
        </w:rPr>
        <w:t>machine learning approach</w:t>
      </w:r>
      <w:r w:rsidR="00CC6663" w:rsidRPr="00875049">
        <w:rPr>
          <w:rFonts w:ascii="Aptos" w:hAnsi="Aptos"/>
          <w:color w:val="auto"/>
          <w:sz w:val="20"/>
          <w:szCs w:val="20"/>
        </w:rPr>
        <w:t xml:space="preserve"> </w:t>
      </w:r>
      <w:r w:rsidRPr="00875049">
        <w:rPr>
          <w:rFonts w:ascii="Aptos" w:hAnsi="Aptos"/>
          <w:color w:val="auto"/>
          <w:sz w:val="20"/>
          <w:szCs w:val="20"/>
        </w:rPr>
        <w:t>to degrade over time when deployed in a real-world setting, which could result in predictions “drifting” from intended tested output and becoming less accurate and reliable as the data it encounters in production deviates from the data on which it was initially trained.</w:t>
      </w:r>
      <w:r w:rsidRPr="00875049">
        <w:rPr>
          <w:rFonts w:ascii="Aptos" w:hAnsi="Aptos"/>
          <w:color w:val="auto"/>
          <w:sz w:val="20"/>
          <w:szCs w:val="20"/>
          <w:vertAlign w:val="superscript"/>
        </w:rPr>
        <w:footnoteReference w:id="14"/>
      </w:r>
    </w:p>
    <w:p w14:paraId="73C48755" w14:textId="77777777" w:rsidR="00875049" w:rsidRPr="00875049" w:rsidRDefault="00875049" w:rsidP="00875049">
      <w:pPr>
        <w:jc w:val="both"/>
        <w:rPr>
          <w:rFonts w:ascii="Aptos" w:hAnsi="Aptos"/>
          <w:b/>
          <w:color w:val="auto"/>
          <w:sz w:val="20"/>
          <w:szCs w:val="20"/>
        </w:rPr>
      </w:pPr>
    </w:p>
    <w:p w14:paraId="028B09F7" w14:textId="4FEFFABE" w:rsidR="001D1277" w:rsidRDefault="001D1277" w:rsidP="00875049">
      <w:pPr>
        <w:jc w:val="both"/>
        <w:rPr>
          <w:rFonts w:ascii="Aptos" w:hAnsi="Aptos"/>
          <w:color w:val="auto"/>
          <w:sz w:val="20"/>
          <w:szCs w:val="20"/>
          <w:vertAlign w:val="superscript"/>
        </w:rPr>
      </w:pPr>
      <w:r w:rsidRPr="00875049">
        <w:rPr>
          <w:rFonts w:ascii="Aptos" w:hAnsi="Aptos"/>
          <w:b/>
          <w:bCs/>
          <w:color w:val="auto"/>
          <w:sz w:val="20"/>
          <w:szCs w:val="20"/>
        </w:rPr>
        <w:t xml:space="preserve">AI </w:t>
      </w:r>
      <w:r w:rsidR="008A63E8" w:rsidRPr="00875049">
        <w:rPr>
          <w:rFonts w:ascii="Aptos" w:hAnsi="Aptos"/>
          <w:b/>
          <w:bCs/>
          <w:color w:val="auto"/>
          <w:sz w:val="20"/>
          <w:szCs w:val="20"/>
        </w:rPr>
        <w:t>E</w:t>
      </w:r>
      <w:r w:rsidRPr="00875049">
        <w:rPr>
          <w:rFonts w:ascii="Aptos" w:hAnsi="Aptos"/>
          <w:b/>
          <w:bCs/>
          <w:color w:val="auto"/>
          <w:sz w:val="20"/>
          <w:szCs w:val="20"/>
        </w:rPr>
        <w:t>xploitation</w:t>
      </w:r>
      <w:r w:rsidR="008A63E8" w:rsidRPr="00875049">
        <w:rPr>
          <w:rFonts w:ascii="Aptos" w:hAnsi="Aptos"/>
          <w:b/>
          <w:bCs/>
          <w:color w:val="auto"/>
          <w:sz w:val="20"/>
          <w:szCs w:val="20"/>
        </w:rPr>
        <w:t xml:space="preserve">: </w:t>
      </w:r>
      <w:r w:rsidRPr="00875049">
        <w:rPr>
          <w:rFonts w:ascii="Aptos" w:hAnsi="Aptos"/>
          <w:color w:val="auto"/>
          <w:sz w:val="20"/>
          <w:szCs w:val="20"/>
        </w:rPr>
        <w:t>Techniques used to exploit vulnerabilities in AI</w:t>
      </w:r>
      <w:r w:rsidR="008A63E8" w:rsidRPr="00875049">
        <w:rPr>
          <w:rFonts w:ascii="Aptos" w:hAnsi="Aptos"/>
          <w:color w:val="auto"/>
          <w:sz w:val="20"/>
          <w:szCs w:val="20"/>
        </w:rPr>
        <w:t>,</w:t>
      </w:r>
      <w:r w:rsidRPr="00875049">
        <w:rPr>
          <w:rFonts w:ascii="Aptos" w:hAnsi="Aptos"/>
          <w:color w:val="auto"/>
          <w:sz w:val="20"/>
          <w:szCs w:val="20"/>
        </w:rPr>
        <w:t xml:space="preserve"> resulting in the compromise of data confidentiality, integrity, or availability.</w:t>
      </w:r>
      <w:r w:rsidRPr="00875049">
        <w:rPr>
          <w:rFonts w:ascii="Aptos" w:hAnsi="Aptos"/>
          <w:color w:val="auto"/>
          <w:sz w:val="20"/>
          <w:szCs w:val="20"/>
          <w:vertAlign w:val="superscript"/>
        </w:rPr>
        <w:footnoteReference w:id="15"/>
      </w:r>
      <w:r w:rsidRPr="00875049">
        <w:rPr>
          <w:rFonts w:ascii="Aptos" w:hAnsi="Aptos"/>
          <w:color w:val="auto"/>
          <w:sz w:val="20"/>
          <w:szCs w:val="20"/>
          <w:vertAlign w:val="superscript"/>
        </w:rPr>
        <w:t>,</w:t>
      </w:r>
      <w:r w:rsidRPr="00875049">
        <w:rPr>
          <w:rFonts w:ascii="Aptos" w:hAnsi="Aptos"/>
          <w:color w:val="auto"/>
          <w:sz w:val="20"/>
          <w:szCs w:val="20"/>
          <w:vertAlign w:val="superscript"/>
        </w:rPr>
        <w:footnoteReference w:id="16"/>
      </w:r>
    </w:p>
    <w:p w14:paraId="7A54232E" w14:textId="77777777" w:rsidR="00875049" w:rsidRPr="00875049" w:rsidRDefault="00875049" w:rsidP="00875049">
      <w:pPr>
        <w:jc w:val="both"/>
        <w:rPr>
          <w:rFonts w:ascii="Aptos" w:hAnsi="Aptos"/>
          <w:b/>
          <w:color w:val="auto"/>
          <w:sz w:val="20"/>
          <w:szCs w:val="20"/>
        </w:rPr>
      </w:pPr>
    </w:p>
    <w:p w14:paraId="2B09F4B7" w14:textId="1FB02FA0" w:rsidR="001D1277" w:rsidRDefault="001D1277" w:rsidP="00875049">
      <w:pPr>
        <w:jc w:val="both"/>
        <w:rPr>
          <w:rFonts w:ascii="Aptos" w:hAnsi="Aptos"/>
          <w:color w:val="auto"/>
          <w:sz w:val="20"/>
          <w:szCs w:val="20"/>
        </w:rPr>
      </w:pPr>
      <w:r w:rsidRPr="00875049">
        <w:rPr>
          <w:rFonts w:ascii="Aptos" w:hAnsi="Aptos"/>
          <w:b/>
          <w:bCs/>
          <w:color w:val="auto"/>
          <w:sz w:val="20"/>
          <w:szCs w:val="20"/>
        </w:rPr>
        <w:t xml:space="preserve">AI </w:t>
      </w:r>
      <w:r w:rsidR="008A63E8" w:rsidRPr="00875049">
        <w:rPr>
          <w:rFonts w:ascii="Aptos" w:hAnsi="Aptos"/>
          <w:b/>
          <w:bCs/>
          <w:color w:val="auto"/>
          <w:sz w:val="20"/>
          <w:szCs w:val="20"/>
        </w:rPr>
        <w:t>R</w:t>
      </w:r>
      <w:r w:rsidRPr="00875049">
        <w:rPr>
          <w:rFonts w:ascii="Aptos" w:hAnsi="Aptos"/>
          <w:b/>
          <w:bCs/>
          <w:color w:val="auto"/>
          <w:sz w:val="20"/>
          <w:szCs w:val="20"/>
        </w:rPr>
        <w:t xml:space="preserve">isk </w:t>
      </w:r>
      <w:r w:rsidR="008A63E8" w:rsidRPr="00875049">
        <w:rPr>
          <w:rFonts w:ascii="Aptos" w:hAnsi="Aptos"/>
          <w:b/>
          <w:bCs/>
          <w:color w:val="auto"/>
          <w:sz w:val="20"/>
          <w:szCs w:val="20"/>
        </w:rPr>
        <w:t>A</w:t>
      </w:r>
      <w:r w:rsidRPr="00875049">
        <w:rPr>
          <w:rFonts w:ascii="Aptos" w:hAnsi="Aptos"/>
          <w:b/>
          <w:bCs/>
          <w:color w:val="auto"/>
          <w:sz w:val="20"/>
          <w:szCs w:val="20"/>
        </w:rPr>
        <w:t>ssessment</w:t>
      </w:r>
      <w:r w:rsidR="008A63E8" w:rsidRPr="00875049">
        <w:rPr>
          <w:rFonts w:ascii="Aptos" w:hAnsi="Aptos"/>
          <w:color w:val="auto"/>
          <w:sz w:val="20"/>
          <w:szCs w:val="20"/>
        </w:rPr>
        <w:t xml:space="preserve">: </w:t>
      </w:r>
      <w:r w:rsidRPr="00875049">
        <w:rPr>
          <w:rFonts w:ascii="Aptos" w:hAnsi="Aptos"/>
          <w:color w:val="auto"/>
          <w:sz w:val="20"/>
          <w:szCs w:val="20"/>
        </w:rPr>
        <w:t>The systematic process of identifying and evaluating the likelihood and potential consequences of events or actions within AI that could lead to harm.</w:t>
      </w:r>
      <w:r w:rsidRPr="00875049">
        <w:rPr>
          <w:rFonts w:ascii="Aptos" w:hAnsi="Aptos"/>
          <w:color w:val="auto"/>
          <w:sz w:val="20"/>
          <w:szCs w:val="20"/>
          <w:vertAlign w:val="superscript"/>
        </w:rPr>
        <w:footnoteReference w:id="17"/>
      </w:r>
    </w:p>
    <w:p w14:paraId="29ACEE6A" w14:textId="77777777" w:rsidR="00875049" w:rsidRPr="00875049" w:rsidRDefault="00875049" w:rsidP="00875049">
      <w:pPr>
        <w:jc w:val="both"/>
        <w:rPr>
          <w:rFonts w:ascii="Aptos" w:hAnsi="Aptos"/>
          <w:color w:val="auto"/>
          <w:sz w:val="20"/>
          <w:szCs w:val="20"/>
        </w:rPr>
      </w:pPr>
    </w:p>
    <w:p w14:paraId="20E86D6D" w14:textId="206C4176" w:rsidR="001D1277" w:rsidRDefault="001D1277" w:rsidP="00875049">
      <w:pPr>
        <w:jc w:val="both"/>
        <w:rPr>
          <w:rFonts w:ascii="Aptos" w:hAnsi="Aptos"/>
          <w:color w:val="auto"/>
          <w:sz w:val="20"/>
          <w:szCs w:val="20"/>
        </w:rPr>
      </w:pPr>
      <w:r w:rsidRPr="00875049">
        <w:rPr>
          <w:rFonts w:ascii="Aptos" w:hAnsi="Aptos"/>
          <w:b/>
          <w:bCs/>
          <w:color w:val="auto"/>
          <w:sz w:val="20"/>
          <w:szCs w:val="20"/>
        </w:rPr>
        <w:t xml:space="preserve">AI </w:t>
      </w:r>
      <w:r w:rsidR="00B51880" w:rsidRPr="00875049">
        <w:rPr>
          <w:rFonts w:ascii="Aptos" w:hAnsi="Aptos"/>
          <w:b/>
          <w:bCs/>
          <w:color w:val="auto"/>
          <w:sz w:val="20"/>
          <w:szCs w:val="20"/>
        </w:rPr>
        <w:t>S</w:t>
      </w:r>
      <w:r w:rsidRPr="00875049">
        <w:rPr>
          <w:rFonts w:ascii="Aptos" w:hAnsi="Aptos"/>
          <w:b/>
          <w:bCs/>
          <w:color w:val="auto"/>
          <w:sz w:val="20"/>
          <w:szCs w:val="20"/>
        </w:rPr>
        <w:t>ystem</w:t>
      </w:r>
      <w:r w:rsidR="002F6A10" w:rsidRPr="00875049">
        <w:rPr>
          <w:rFonts w:ascii="Aptos" w:hAnsi="Aptos"/>
          <w:color w:val="auto"/>
          <w:sz w:val="20"/>
          <w:szCs w:val="20"/>
        </w:rPr>
        <w:t xml:space="preserve">: </w:t>
      </w:r>
      <w:r w:rsidRPr="00875049">
        <w:rPr>
          <w:rFonts w:ascii="Aptos" w:hAnsi="Aptos"/>
          <w:color w:val="auto"/>
          <w:sz w:val="20"/>
          <w:szCs w:val="20"/>
        </w:rPr>
        <w:t>An engineered or machine-based system that can, for a given set of objectives, generate outputs such as predictions, recommendations, or decisions that influence real or virtual environments. AI systems are designed to operate with varying levels of autonomy.</w:t>
      </w:r>
      <w:r w:rsidRPr="00875049">
        <w:rPr>
          <w:rFonts w:ascii="Aptos" w:hAnsi="Aptos"/>
          <w:color w:val="auto"/>
          <w:sz w:val="20"/>
          <w:szCs w:val="20"/>
          <w:vertAlign w:val="superscript"/>
        </w:rPr>
        <w:footnoteReference w:id="18"/>
      </w:r>
    </w:p>
    <w:p w14:paraId="29B6AE24" w14:textId="77777777" w:rsidR="00875049" w:rsidRPr="00875049" w:rsidRDefault="00875049" w:rsidP="00875049">
      <w:pPr>
        <w:jc w:val="both"/>
        <w:rPr>
          <w:rFonts w:ascii="Aptos" w:hAnsi="Aptos"/>
          <w:color w:val="auto"/>
          <w:sz w:val="20"/>
          <w:szCs w:val="20"/>
        </w:rPr>
      </w:pPr>
    </w:p>
    <w:p w14:paraId="0FBAB4A9" w14:textId="434CB7D5" w:rsidR="001D1277" w:rsidRDefault="001D1277" w:rsidP="00875049">
      <w:pPr>
        <w:jc w:val="both"/>
        <w:rPr>
          <w:rFonts w:ascii="Aptos" w:hAnsi="Aptos"/>
          <w:color w:val="auto"/>
          <w:sz w:val="20"/>
          <w:szCs w:val="20"/>
        </w:rPr>
      </w:pPr>
      <w:r w:rsidRPr="00875049">
        <w:rPr>
          <w:rFonts w:ascii="Aptos" w:hAnsi="Aptos"/>
          <w:b/>
          <w:bCs/>
          <w:color w:val="auto"/>
          <w:sz w:val="20"/>
          <w:szCs w:val="20"/>
        </w:rPr>
        <w:t>Algorithm</w:t>
      </w:r>
      <w:r w:rsidR="002F6A10" w:rsidRPr="00875049">
        <w:rPr>
          <w:rFonts w:ascii="Aptos" w:hAnsi="Aptos"/>
          <w:b/>
          <w:bCs/>
          <w:color w:val="auto"/>
          <w:sz w:val="20"/>
          <w:szCs w:val="20"/>
        </w:rPr>
        <w:t xml:space="preserve">: </w:t>
      </w:r>
      <w:r w:rsidRPr="00875049">
        <w:rPr>
          <w:rFonts w:ascii="Aptos" w:hAnsi="Aptos"/>
          <w:color w:val="auto"/>
          <w:sz w:val="20"/>
          <w:szCs w:val="20"/>
        </w:rPr>
        <w:t>A clearly specified mathematical process for computation; a set of rules that, if followed, will give a prescribed result.</w:t>
      </w:r>
      <w:r w:rsidRPr="00875049">
        <w:rPr>
          <w:rFonts w:ascii="Aptos" w:hAnsi="Aptos"/>
          <w:color w:val="auto"/>
          <w:sz w:val="20"/>
          <w:szCs w:val="20"/>
          <w:vertAlign w:val="superscript"/>
        </w:rPr>
        <w:footnoteReference w:id="19"/>
      </w:r>
    </w:p>
    <w:p w14:paraId="1690110E" w14:textId="77777777" w:rsidR="00875049" w:rsidRPr="00875049" w:rsidRDefault="00875049" w:rsidP="00875049">
      <w:pPr>
        <w:jc w:val="both"/>
        <w:rPr>
          <w:rFonts w:ascii="Aptos" w:hAnsi="Aptos"/>
          <w:b/>
          <w:color w:val="auto"/>
          <w:sz w:val="20"/>
          <w:szCs w:val="20"/>
        </w:rPr>
      </w:pPr>
    </w:p>
    <w:p w14:paraId="08B16481" w14:textId="4620196F" w:rsidR="001D1277" w:rsidRDefault="001D1277" w:rsidP="00875049">
      <w:pPr>
        <w:jc w:val="both"/>
        <w:rPr>
          <w:rFonts w:ascii="Aptos" w:hAnsi="Aptos"/>
          <w:color w:val="auto"/>
          <w:sz w:val="20"/>
          <w:szCs w:val="20"/>
        </w:rPr>
      </w:pPr>
      <w:r w:rsidRPr="00875049">
        <w:rPr>
          <w:rFonts w:ascii="Aptos" w:hAnsi="Aptos"/>
          <w:b/>
          <w:bCs/>
          <w:color w:val="auto"/>
          <w:sz w:val="20"/>
          <w:szCs w:val="20"/>
        </w:rPr>
        <w:t xml:space="preserve">Algorithmic </w:t>
      </w:r>
      <w:r w:rsidR="00C734BD" w:rsidRPr="00875049">
        <w:rPr>
          <w:rFonts w:ascii="Aptos" w:hAnsi="Aptos"/>
          <w:b/>
          <w:bCs/>
          <w:color w:val="auto"/>
          <w:sz w:val="20"/>
          <w:szCs w:val="20"/>
        </w:rPr>
        <w:t>B</w:t>
      </w:r>
      <w:r w:rsidRPr="00875049">
        <w:rPr>
          <w:rFonts w:ascii="Aptos" w:hAnsi="Aptos"/>
          <w:b/>
          <w:bCs/>
          <w:color w:val="auto"/>
          <w:sz w:val="20"/>
          <w:szCs w:val="20"/>
        </w:rPr>
        <w:t>ias</w:t>
      </w:r>
      <w:r w:rsidR="002F6A10" w:rsidRPr="00875049">
        <w:rPr>
          <w:rFonts w:ascii="Aptos" w:hAnsi="Aptos"/>
          <w:b/>
          <w:bCs/>
          <w:color w:val="auto"/>
          <w:sz w:val="20"/>
          <w:szCs w:val="20"/>
        </w:rPr>
        <w:t xml:space="preserve">: </w:t>
      </w:r>
      <w:r w:rsidRPr="00875049">
        <w:rPr>
          <w:rFonts w:ascii="Aptos" w:hAnsi="Aptos"/>
          <w:color w:val="auto"/>
          <w:sz w:val="20"/>
          <w:szCs w:val="20"/>
        </w:rPr>
        <w:t xml:space="preserve">An AI system </w:t>
      </w:r>
      <w:r w:rsidR="00C734BD" w:rsidRPr="00875049">
        <w:rPr>
          <w:rFonts w:ascii="Aptos" w:hAnsi="Aptos"/>
          <w:color w:val="auto"/>
          <w:sz w:val="20"/>
          <w:szCs w:val="20"/>
        </w:rPr>
        <w:t>that</w:t>
      </w:r>
      <w:r w:rsidRPr="00875049">
        <w:rPr>
          <w:rFonts w:ascii="Aptos" w:hAnsi="Aptos"/>
          <w:color w:val="auto"/>
          <w:sz w:val="20"/>
          <w:szCs w:val="20"/>
        </w:rPr>
        <w:t xml:space="preserve"> exhibits systematically inaccurate behavior.</w:t>
      </w:r>
      <w:r w:rsidRPr="00875049">
        <w:rPr>
          <w:rFonts w:ascii="Aptos" w:hAnsi="Aptos"/>
          <w:color w:val="auto"/>
          <w:sz w:val="20"/>
          <w:szCs w:val="20"/>
          <w:vertAlign w:val="superscript"/>
        </w:rPr>
        <w:footnoteReference w:id="20"/>
      </w:r>
    </w:p>
    <w:p w14:paraId="1F07F042" w14:textId="416A4D94" w:rsidR="001D1277" w:rsidRDefault="001D1277" w:rsidP="00875049">
      <w:pPr>
        <w:jc w:val="both"/>
        <w:rPr>
          <w:rFonts w:ascii="Aptos" w:hAnsi="Aptos"/>
          <w:color w:val="auto"/>
          <w:sz w:val="20"/>
          <w:szCs w:val="20"/>
          <w:vertAlign w:val="superscript"/>
        </w:rPr>
      </w:pPr>
      <w:r w:rsidRPr="00875049">
        <w:rPr>
          <w:rFonts w:ascii="Aptos" w:hAnsi="Aptos"/>
          <w:b/>
          <w:bCs/>
          <w:color w:val="auto"/>
          <w:sz w:val="20"/>
          <w:szCs w:val="20"/>
        </w:rPr>
        <w:lastRenderedPageBreak/>
        <w:t xml:space="preserve">Anomaly </w:t>
      </w:r>
      <w:r w:rsidR="00C734BD" w:rsidRPr="00875049">
        <w:rPr>
          <w:rFonts w:ascii="Aptos" w:hAnsi="Aptos"/>
          <w:b/>
          <w:bCs/>
          <w:color w:val="auto"/>
          <w:sz w:val="20"/>
          <w:szCs w:val="20"/>
        </w:rPr>
        <w:t>D</w:t>
      </w:r>
      <w:r w:rsidRPr="00875049">
        <w:rPr>
          <w:rFonts w:ascii="Aptos" w:hAnsi="Aptos"/>
          <w:b/>
          <w:bCs/>
          <w:color w:val="auto"/>
          <w:sz w:val="20"/>
          <w:szCs w:val="20"/>
        </w:rPr>
        <w:t xml:space="preserve">etection </w:t>
      </w:r>
      <w:r w:rsidR="00C734BD" w:rsidRPr="00875049">
        <w:rPr>
          <w:rFonts w:ascii="Aptos" w:hAnsi="Aptos"/>
          <w:b/>
          <w:bCs/>
          <w:color w:val="auto"/>
          <w:sz w:val="20"/>
          <w:szCs w:val="20"/>
        </w:rPr>
        <w:t>S</w:t>
      </w:r>
      <w:r w:rsidRPr="00875049">
        <w:rPr>
          <w:rFonts w:ascii="Aptos" w:hAnsi="Aptos"/>
          <w:b/>
          <w:bCs/>
          <w:color w:val="auto"/>
          <w:sz w:val="20"/>
          <w:szCs w:val="20"/>
        </w:rPr>
        <w:t>ystem</w:t>
      </w:r>
      <w:r w:rsidR="00C734BD" w:rsidRPr="00875049">
        <w:rPr>
          <w:rFonts w:ascii="Aptos" w:hAnsi="Aptos"/>
          <w:b/>
          <w:bCs/>
          <w:color w:val="auto"/>
          <w:sz w:val="20"/>
          <w:szCs w:val="20"/>
        </w:rPr>
        <w:t>/Mechanism:</w:t>
      </w:r>
      <w:r w:rsidRPr="00875049">
        <w:rPr>
          <w:rFonts w:ascii="Aptos" w:hAnsi="Aptos"/>
          <w:b/>
          <w:bCs/>
          <w:color w:val="auto"/>
          <w:sz w:val="20"/>
          <w:szCs w:val="20"/>
        </w:rPr>
        <w:t xml:space="preserve"> </w:t>
      </w:r>
      <w:r w:rsidRPr="00875049">
        <w:rPr>
          <w:rFonts w:ascii="Aptos" w:hAnsi="Aptos"/>
          <w:color w:val="auto"/>
          <w:sz w:val="20"/>
          <w:szCs w:val="20"/>
        </w:rPr>
        <w:t xml:space="preserve">A system for identifying the occurrence of a condition that deviates from expectations based on requirements specifications, design documents, user documents, or standards, or from </w:t>
      </w:r>
      <w:r w:rsidR="004D530E" w:rsidRPr="00875049">
        <w:rPr>
          <w:rFonts w:ascii="Aptos" w:hAnsi="Aptos"/>
          <w:color w:val="auto"/>
          <w:sz w:val="20"/>
          <w:szCs w:val="20"/>
        </w:rPr>
        <w:t>a person’s</w:t>
      </w:r>
      <w:r w:rsidRPr="00875049">
        <w:rPr>
          <w:rFonts w:ascii="Aptos" w:hAnsi="Aptos"/>
          <w:color w:val="auto"/>
          <w:sz w:val="20"/>
          <w:szCs w:val="20"/>
        </w:rPr>
        <w:t xml:space="preserve"> perceptions or experiences.</w:t>
      </w:r>
      <w:r w:rsidRPr="00875049">
        <w:rPr>
          <w:rFonts w:ascii="Aptos" w:hAnsi="Aptos"/>
          <w:color w:val="auto"/>
          <w:sz w:val="20"/>
          <w:szCs w:val="20"/>
          <w:vertAlign w:val="superscript"/>
        </w:rPr>
        <w:footnoteReference w:id="21"/>
      </w:r>
      <w:r w:rsidRPr="00875049">
        <w:rPr>
          <w:rFonts w:ascii="Aptos" w:hAnsi="Aptos"/>
          <w:color w:val="auto"/>
          <w:sz w:val="20"/>
          <w:szCs w:val="20"/>
          <w:vertAlign w:val="superscript"/>
        </w:rPr>
        <w:t>,</w:t>
      </w:r>
      <w:r w:rsidRPr="00875049">
        <w:rPr>
          <w:rFonts w:ascii="Aptos" w:hAnsi="Aptos"/>
          <w:color w:val="auto"/>
          <w:sz w:val="20"/>
          <w:szCs w:val="20"/>
          <w:vertAlign w:val="superscript"/>
        </w:rPr>
        <w:footnoteReference w:id="22"/>
      </w:r>
    </w:p>
    <w:p w14:paraId="12275912" w14:textId="77777777" w:rsidR="00875049" w:rsidRPr="00875049" w:rsidRDefault="00875049" w:rsidP="00875049">
      <w:pPr>
        <w:jc w:val="both"/>
        <w:rPr>
          <w:rFonts w:ascii="Aptos" w:hAnsi="Aptos"/>
          <w:b/>
          <w:color w:val="auto"/>
          <w:sz w:val="20"/>
          <w:szCs w:val="20"/>
        </w:rPr>
      </w:pPr>
    </w:p>
    <w:p w14:paraId="0E98E8B9" w14:textId="2E0FC7E7" w:rsidR="001D1277" w:rsidRDefault="001D1277" w:rsidP="00875049">
      <w:pPr>
        <w:jc w:val="both"/>
        <w:rPr>
          <w:rFonts w:ascii="Aptos" w:hAnsi="Aptos"/>
          <w:color w:val="auto"/>
          <w:sz w:val="20"/>
          <w:szCs w:val="20"/>
        </w:rPr>
      </w:pPr>
      <w:r w:rsidRPr="00875049">
        <w:rPr>
          <w:rFonts w:ascii="Aptos" w:hAnsi="Aptos"/>
          <w:b/>
          <w:bCs/>
          <w:color w:val="auto"/>
          <w:sz w:val="20"/>
          <w:szCs w:val="20"/>
        </w:rPr>
        <w:t xml:space="preserve">Artificial </w:t>
      </w:r>
      <w:r w:rsidR="004D7E42" w:rsidRPr="00875049">
        <w:rPr>
          <w:rFonts w:ascii="Aptos" w:hAnsi="Aptos"/>
          <w:b/>
          <w:bCs/>
          <w:color w:val="auto"/>
          <w:sz w:val="20"/>
          <w:szCs w:val="20"/>
        </w:rPr>
        <w:t>G</w:t>
      </w:r>
      <w:r w:rsidRPr="00875049">
        <w:rPr>
          <w:rFonts w:ascii="Aptos" w:hAnsi="Aptos"/>
          <w:b/>
          <w:bCs/>
          <w:color w:val="auto"/>
          <w:sz w:val="20"/>
          <w:szCs w:val="20"/>
        </w:rPr>
        <w:t xml:space="preserve">eneral </w:t>
      </w:r>
      <w:r w:rsidR="004D7E42" w:rsidRPr="00875049">
        <w:rPr>
          <w:rFonts w:ascii="Aptos" w:hAnsi="Aptos"/>
          <w:b/>
          <w:bCs/>
          <w:color w:val="auto"/>
          <w:sz w:val="20"/>
          <w:szCs w:val="20"/>
        </w:rPr>
        <w:t>I</w:t>
      </w:r>
      <w:r w:rsidRPr="00875049">
        <w:rPr>
          <w:rFonts w:ascii="Aptos" w:hAnsi="Aptos"/>
          <w:b/>
          <w:bCs/>
          <w:color w:val="auto"/>
          <w:sz w:val="20"/>
          <w:szCs w:val="20"/>
        </w:rPr>
        <w:t>ntelligence</w:t>
      </w:r>
      <w:r w:rsidR="004D7E42" w:rsidRPr="00875049">
        <w:rPr>
          <w:rFonts w:ascii="Aptos" w:hAnsi="Aptos"/>
          <w:b/>
          <w:bCs/>
          <w:color w:val="auto"/>
          <w:sz w:val="20"/>
          <w:szCs w:val="20"/>
        </w:rPr>
        <w:t xml:space="preserve">: </w:t>
      </w:r>
      <w:r w:rsidR="00A6797F" w:rsidRPr="00875049">
        <w:rPr>
          <w:rFonts w:ascii="Aptos" w:hAnsi="Aptos"/>
          <w:color w:val="auto"/>
          <w:sz w:val="20"/>
          <w:szCs w:val="20"/>
        </w:rPr>
        <w:t>T</w:t>
      </w:r>
      <w:r w:rsidRPr="00875049">
        <w:rPr>
          <w:rFonts w:ascii="Aptos" w:hAnsi="Aptos"/>
          <w:color w:val="auto"/>
          <w:sz w:val="20"/>
          <w:szCs w:val="20"/>
        </w:rPr>
        <w:t>he hypothetical intelligence of a machine that possesses the ability to understand or learn any intellectual task that a human can</w:t>
      </w:r>
      <w:r w:rsidR="00A6797F" w:rsidRPr="00875049">
        <w:rPr>
          <w:rFonts w:ascii="Aptos" w:hAnsi="Aptos"/>
          <w:color w:val="auto"/>
          <w:sz w:val="20"/>
          <w:szCs w:val="20"/>
        </w:rPr>
        <w:t xml:space="preserve"> understand or learn</w:t>
      </w:r>
      <w:r w:rsidR="00347F1A" w:rsidRPr="00875049">
        <w:rPr>
          <w:rFonts w:ascii="Aptos" w:hAnsi="Aptos"/>
          <w:color w:val="auto"/>
          <w:sz w:val="20"/>
          <w:szCs w:val="20"/>
        </w:rPr>
        <w:t xml:space="preserve">; </w:t>
      </w:r>
      <w:r w:rsidRPr="00875049">
        <w:rPr>
          <w:rFonts w:ascii="Aptos" w:hAnsi="Aptos"/>
          <w:color w:val="auto"/>
          <w:sz w:val="20"/>
          <w:szCs w:val="20"/>
        </w:rPr>
        <w:t>a type of AI that aims to mimic the cognitive abilities of the human brain.</w:t>
      </w:r>
      <w:r w:rsidRPr="00875049">
        <w:rPr>
          <w:rFonts w:ascii="Aptos" w:hAnsi="Aptos"/>
          <w:color w:val="auto"/>
          <w:sz w:val="20"/>
          <w:szCs w:val="20"/>
          <w:vertAlign w:val="superscript"/>
        </w:rPr>
        <w:footnoteReference w:id="23"/>
      </w:r>
    </w:p>
    <w:p w14:paraId="6E38108D" w14:textId="77777777" w:rsidR="00875049" w:rsidRPr="00875049" w:rsidRDefault="00875049" w:rsidP="00875049">
      <w:pPr>
        <w:jc w:val="both"/>
        <w:rPr>
          <w:rFonts w:ascii="Aptos" w:hAnsi="Aptos"/>
          <w:b/>
          <w:color w:val="auto"/>
          <w:sz w:val="20"/>
          <w:szCs w:val="20"/>
        </w:rPr>
      </w:pPr>
    </w:p>
    <w:p w14:paraId="0AC4583D" w14:textId="03FEED7D" w:rsidR="001D1277" w:rsidRDefault="001D1277" w:rsidP="00875049">
      <w:pPr>
        <w:jc w:val="both"/>
        <w:rPr>
          <w:rFonts w:ascii="Aptos" w:hAnsi="Aptos"/>
          <w:color w:val="auto"/>
          <w:sz w:val="20"/>
          <w:szCs w:val="20"/>
        </w:rPr>
      </w:pPr>
      <w:r w:rsidRPr="00875049">
        <w:rPr>
          <w:rFonts w:ascii="Aptos" w:hAnsi="Aptos"/>
          <w:b/>
          <w:bCs/>
          <w:color w:val="auto"/>
          <w:sz w:val="20"/>
          <w:szCs w:val="20"/>
        </w:rPr>
        <w:t xml:space="preserve">Artificial </w:t>
      </w:r>
      <w:r w:rsidR="009356C6" w:rsidRPr="00875049">
        <w:rPr>
          <w:rFonts w:ascii="Aptos" w:hAnsi="Aptos"/>
          <w:b/>
          <w:bCs/>
          <w:color w:val="auto"/>
          <w:sz w:val="20"/>
          <w:szCs w:val="20"/>
        </w:rPr>
        <w:t>I</w:t>
      </w:r>
      <w:r w:rsidRPr="00875049">
        <w:rPr>
          <w:rFonts w:ascii="Aptos" w:hAnsi="Aptos"/>
          <w:b/>
          <w:bCs/>
          <w:color w:val="auto"/>
          <w:sz w:val="20"/>
          <w:szCs w:val="20"/>
        </w:rPr>
        <w:t>ntelligence</w:t>
      </w:r>
      <w:r w:rsidR="00347F1A" w:rsidRPr="00875049">
        <w:rPr>
          <w:rFonts w:ascii="Aptos" w:hAnsi="Aptos"/>
          <w:b/>
          <w:bCs/>
          <w:color w:val="auto"/>
          <w:sz w:val="20"/>
          <w:szCs w:val="20"/>
        </w:rPr>
        <w:t>:</w:t>
      </w:r>
      <w:r w:rsidRPr="00875049">
        <w:rPr>
          <w:rFonts w:ascii="Aptos" w:hAnsi="Aptos"/>
          <w:color w:val="auto"/>
          <w:sz w:val="20"/>
          <w:szCs w:val="20"/>
        </w:rPr>
        <w:t xml:space="preserve"> </w:t>
      </w:r>
      <w:r w:rsidR="00347F1A" w:rsidRPr="00875049">
        <w:rPr>
          <w:rFonts w:ascii="Aptos" w:hAnsi="Aptos"/>
          <w:color w:val="auto"/>
          <w:sz w:val="20"/>
          <w:szCs w:val="20"/>
        </w:rPr>
        <w:t>A</w:t>
      </w:r>
      <w:r w:rsidRPr="00875049">
        <w:rPr>
          <w:rFonts w:ascii="Aptos" w:hAnsi="Aptos"/>
          <w:color w:val="auto"/>
          <w:sz w:val="20"/>
          <w:szCs w:val="20"/>
        </w:rPr>
        <w:t xml:space="preserve"> machine-based system that can, for a given set of human-defined objectives, make predictions, recommendations</w:t>
      </w:r>
      <w:r w:rsidR="00347F1A" w:rsidRPr="00875049">
        <w:rPr>
          <w:rFonts w:ascii="Aptos" w:hAnsi="Aptos"/>
          <w:color w:val="auto"/>
          <w:sz w:val="20"/>
          <w:szCs w:val="20"/>
        </w:rPr>
        <w:t>,</w:t>
      </w:r>
      <w:r w:rsidRPr="00875049">
        <w:rPr>
          <w:rFonts w:ascii="Aptos" w:hAnsi="Aptos"/>
          <w:color w:val="auto"/>
          <w:sz w:val="20"/>
          <w:szCs w:val="20"/>
        </w:rPr>
        <w:t xml:space="preserve"> or decisions influencing real or virtual environments. Artificial intelligence systems use machine and human-based inputs to</w:t>
      </w:r>
      <w:r w:rsidR="00347F1A" w:rsidRPr="00875049">
        <w:rPr>
          <w:rFonts w:ascii="Aptos" w:hAnsi="Aptos"/>
          <w:color w:val="auto"/>
          <w:sz w:val="20"/>
          <w:szCs w:val="20"/>
        </w:rPr>
        <w:t xml:space="preserve">: (a) </w:t>
      </w:r>
      <w:r w:rsidRPr="00875049">
        <w:rPr>
          <w:rFonts w:ascii="Aptos" w:hAnsi="Aptos"/>
          <w:color w:val="auto"/>
          <w:sz w:val="20"/>
          <w:szCs w:val="20"/>
        </w:rPr>
        <w:t>perceive real and virtual environments;</w:t>
      </w:r>
      <w:r w:rsidR="00347F1A" w:rsidRPr="00875049">
        <w:rPr>
          <w:rFonts w:ascii="Aptos" w:hAnsi="Aptos"/>
          <w:color w:val="auto"/>
          <w:sz w:val="20"/>
          <w:szCs w:val="20"/>
        </w:rPr>
        <w:t xml:space="preserve"> (b) </w:t>
      </w:r>
      <w:r w:rsidRPr="00875049">
        <w:rPr>
          <w:rFonts w:ascii="Aptos" w:hAnsi="Aptos"/>
          <w:color w:val="auto"/>
          <w:sz w:val="20"/>
          <w:szCs w:val="20"/>
        </w:rPr>
        <w:t>abstract such perceptions into models through analysis in an automated manner; and</w:t>
      </w:r>
      <w:r w:rsidR="009356C6" w:rsidRPr="00875049">
        <w:rPr>
          <w:rFonts w:ascii="Aptos" w:hAnsi="Aptos"/>
          <w:color w:val="auto"/>
          <w:sz w:val="20"/>
          <w:szCs w:val="20"/>
        </w:rPr>
        <w:t xml:space="preserve"> (c) </w:t>
      </w:r>
      <w:r w:rsidRPr="00875049">
        <w:rPr>
          <w:rFonts w:ascii="Aptos" w:hAnsi="Aptos"/>
          <w:color w:val="auto"/>
          <w:sz w:val="20"/>
          <w:szCs w:val="20"/>
        </w:rPr>
        <w:t>use model inference to formulate options for information or action.</w:t>
      </w:r>
      <w:r w:rsidRPr="00875049">
        <w:rPr>
          <w:rFonts w:ascii="Aptos" w:hAnsi="Aptos"/>
          <w:color w:val="auto"/>
          <w:sz w:val="20"/>
          <w:szCs w:val="20"/>
          <w:vertAlign w:val="superscript"/>
        </w:rPr>
        <w:footnoteReference w:id="24"/>
      </w:r>
    </w:p>
    <w:p w14:paraId="657731C2" w14:textId="77777777" w:rsidR="00875049" w:rsidRPr="00875049" w:rsidRDefault="00875049" w:rsidP="00875049">
      <w:pPr>
        <w:jc w:val="both"/>
        <w:rPr>
          <w:rFonts w:ascii="Aptos" w:hAnsi="Aptos"/>
          <w:color w:val="auto"/>
          <w:sz w:val="20"/>
          <w:szCs w:val="20"/>
        </w:rPr>
      </w:pPr>
    </w:p>
    <w:p w14:paraId="2979D5DB" w14:textId="1C1C33CA" w:rsidR="001D1277" w:rsidRDefault="001D1277" w:rsidP="00875049">
      <w:pPr>
        <w:jc w:val="both"/>
        <w:rPr>
          <w:rFonts w:ascii="Aptos" w:hAnsi="Aptos"/>
          <w:color w:val="auto"/>
          <w:sz w:val="20"/>
          <w:szCs w:val="20"/>
        </w:rPr>
      </w:pPr>
      <w:r w:rsidRPr="00875049">
        <w:rPr>
          <w:rFonts w:ascii="Aptos" w:hAnsi="Aptos"/>
          <w:b/>
          <w:color w:val="auto"/>
          <w:sz w:val="20"/>
          <w:szCs w:val="20"/>
        </w:rPr>
        <w:t>Benchmarks</w:t>
      </w:r>
      <w:r w:rsidR="009356C6" w:rsidRPr="00875049">
        <w:rPr>
          <w:rFonts w:ascii="Aptos" w:hAnsi="Aptos"/>
          <w:color w:val="auto"/>
          <w:sz w:val="20"/>
          <w:szCs w:val="20"/>
        </w:rPr>
        <w:t xml:space="preserve">: </w:t>
      </w:r>
      <w:r w:rsidRPr="00875049">
        <w:rPr>
          <w:rFonts w:ascii="Aptos" w:hAnsi="Aptos"/>
          <w:color w:val="auto"/>
          <w:sz w:val="20"/>
          <w:szCs w:val="20"/>
        </w:rPr>
        <w:t>An alternative prediction or approach used to compare a model’s inputs and outputs to estimates from alternative internal or external data or models.</w:t>
      </w:r>
      <w:r w:rsidRPr="00875049">
        <w:rPr>
          <w:rFonts w:ascii="Aptos" w:hAnsi="Aptos"/>
          <w:color w:val="auto"/>
          <w:sz w:val="20"/>
          <w:szCs w:val="20"/>
          <w:vertAlign w:val="superscript"/>
        </w:rPr>
        <w:footnoteReference w:id="25"/>
      </w:r>
    </w:p>
    <w:p w14:paraId="6B40A88B" w14:textId="77777777" w:rsidR="00875049" w:rsidRPr="00875049" w:rsidRDefault="00875049" w:rsidP="00875049">
      <w:pPr>
        <w:jc w:val="both"/>
        <w:rPr>
          <w:rFonts w:ascii="Aptos" w:hAnsi="Aptos"/>
          <w:color w:val="auto"/>
          <w:sz w:val="20"/>
          <w:szCs w:val="20"/>
        </w:rPr>
      </w:pPr>
    </w:p>
    <w:p w14:paraId="420E0727" w14:textId="7978D456" w:rsidR="001D1277" w:rsidRDefault="001D1277" w:rsidP="00875049">
      <w:pPr>
        <w:jc w:val="both"/>
        <w:rPr>
          <w:rFonts w:ascii="Aptos" w:hAnsi="Aptos"/>
          <w:color w:val="auto"/>
          <w:sz w:val="20"/>
          <w:szCs w:val="20"/>
        </w:rPr>
      </w:pPr>
      <w:r w:rsidRPr="00875049">
        <w:rPr>
          <w:rFonts w:ascii="Aptos" w:hAnsi="Aptos"/>
          <w:b/>
          <w:color w:val="auto"/>
          <w:sz w:val="20"/>
          <w:szCs w:val="20"/>
        </w:rPr>
        <w:t xml:space="preserve">Black </w:t>
      </w:r>
      <w:r w:rsidR="00CE31DB" w:rsidRPr="00875049">
        <w:rPr>
          <w:rFonts w:ascii="Aptos" w:hAnsi="Aptos"/>
          <w:b/>
          <w:color w:val="auto"/>
          <w:sz w:val="20"/>
          <w:szCs w:val="20"/>
        </w:rPr>
        <w:t>B</w:t>
      </w:r>
      <w:r w:rsidRPr="00875049">
        <w:rPr>
          <w:rFonts w:ascii="Aptos" w:hAnsi="Aptos"/>
          <w:b/>
          <w:color w:val="auto"/>
          <w:sz w:val="20"/>
          <w:szCs w:val="20"/>
        </w:rPr>
        <w:t>ox</w:t>
      </w:r>
      <w:r w:rsidR="00CE31DB" w:rsidRPr="00875049">
        <w:rPr>
          <w:rFonts w:ascii="Aptos" w:hAnsi="Aptos"/>
          <w:color w:val="auto"/>
          <w:sz w:val="20"/>
          <w:szCs w:val="20"/>
        </w:rPr>
        <w:t>: A</w:t>
      </w:r>
      <w:r w:rsidRPr="00875049">
        <w:rPr>
          <w:rFonts w:ascii="Aptos" w:hAnsi="Aptos"/>
          <w:color w:val="auto"/>
          <w:sz w:val="20"/>
          <w:szCs w:val="20"/>
        </w:rPr>
        <w:t xml:space="preserve">n AI system whose internal workings are a mystery to its users. Users can see the system’s inputs and </w:t>
      </w:r>
      <w:r w:rsidR="00CE31DB" w:rsidRPr="00875049">
        <w:rPr>
          <w:rFonts w:ascii="Aptos" w:hAnsi="Aptos"/>
          <w:color w:val="auto"/>
          <w:sz w:val="20"/>
          <w:szCs w:val="20"/>
        </w:rPr>
        <w:t>outputs but</w:t>
      </w:r>
      <w:r w:rsidRPr="00875049">
        <w:rPr>
          <w:rFonts w:ascii="Aptos" w:hAnsi="Aptos"/>
          <w:color w:val="auto"/>
          <w:sz w:val="20"/>
          <w:szCs w:val="20"/>
        </w:rPr>
        <w:t xml:space="preserve"> cannot see what happens within the AI tool to produce those outputs.</w:t>
      </w:r>
      <w:r w:rsidRPr="00875049">
        <w:rPr>
          <w:rFonts w:ascii="Aptos" w:hAnsi="Aptos"/>
          <w:color w:val="auto"/>
          <w:sz w:val="20"/>
          <w:szCs w:val="20"/>
          <w:vertAlign w:val="superscript"/>
        </w:rPr>
        <w:footnoteReference w:id="26"/>
      </w:r>
    </w:p>
    <w:p w14:paraId="43FAE4B1" w14:textId="77777777" w:rsidR="00875049" w:rsidRPr="00875049" w:rsidRDefault="00875049" w:rsidP="00875049">
      <w:pPr>
        <w:jc w:val="both"/>
        <w:rPr>
          <w:rFonts w:ascii="Aptos" w:hAnsi="Aptos"/>
          <w:color w:val="auto"/>
          <w:sz w:val="20"/>
          <w:szCs w:val="20"/>
        </w:rPr>
      </w:pPr>
    </w:p>
    <w:p w14:paraId="2F353FC8" w14:textId="47A69D22" w:rsidR="001D1277" w:rsidRDefault="001D1277" w:rsidP="00875049">
      <w:pPr>
        <w:jc w:val="both"/>
        <w:rPr>
          <w:rFonts w:ascii="Aptos" w:hAnsi="Aptos"/>
          <w:color w:val="auto"/>
          <w:sz w:val="20"/>
          <w:szCs w:val="20"/>
        </w:rPr>
      </w:pPr>
      <w:r w:rsidRPr="00875049">
        <w:rPr>
          <w:rFonts w:ascii="Aptos" w:hAnsi="Aptos"/>
          <w:b/>
          <w:color w:val="auto"/>
          <w:sz w:val="20"/>
          <w:szCs w:val="20"/>
        </w:rPr>
        <w:t xml:space="preserve">Capability </w:t>
      </w:r>
      <w:r w:rsidR="00FD6E84" w:rsidRPr="00875049">
        <w:rPr>
          <w:rFonts w:ascii="Aptos" w:hAnsi="Aptos"/>
          <w:b/>
          <w:color w:val="auto"/>
          <w:sz w:val="20"/>
          <w:szCs w:val="20"/>
        </w:rPr>
        <w:t>E</w:t>
      </w:r>
      <w:r w:rsidRPr="00875049">
        <w:rPr>
          <w:rFonts w:ascii="Aptos" w:hAnsi="Aptos"/>
          <w:b/>
          <w:color w:val="auto"/>
          <w:sz w:val="20"/>
          <w:szCs w:val="20"/>
        </w:rPr>
        <w:t>valuation</w:t>
      </w:r>
      <w:r w:rsidR="00FD6E84" w:rsidRPr="00875049">
        <w:rPr>
          <w:rFonts w:ascii="Aptos" w:hAnsi="Aptos"/>
          <w:b/>
          <w:color w:val="auto"/>
          <w:sz w:val="20"/>
          <w:szCs w:val="20"/>
        </w:rPr>
        <w:t>/Assessment</w:t>
      </w:r>
      <w:r w:rsidR="00FD6E84" w:rsidRPr="00875049">
        <w:rPr>
          <w:rFonts w:ascii="Aptos" w:hAnsi="Aptos"/>
          <w:b/>
          <w:bCs/>
          <w:color w:val="auto"/>
          <w:sz w:val="20"/>
          <w:szCs w:val="20"/>
        </w:rPr>
        <w:t xml:space="preserve">: </w:t>
      </w:r>
      <w:r w:rsidRPr="00875049">
        <w:rPr>
          <w:rFonts w:ascii="Aptos" w:hAnsi="Aptos"/>
          <w:color w:val="auto"/>
          <w:sz w:val="20"/>
          <w:szCs w:val="20"/>
        </w:rPr>
        <w:t xml:space="preserve">A comprehensive </w:t>
      </w:r>
      <w:r w:rsidR="00FD6E84" w:rsidRPr="00875049">
        <w:rPr>
          <w:rFonts w:ascii="Aptos" w:hAnsi="Aptos"/>
          <w:color w:val="auto"/>
          <w:sz w:val="20"/>
          <w:szCs w:val="20"/>
        </w:rPr>
        <w:t>review</w:t>
      </w:r>
      <w:r w:rsidRPr="00875049">
        <w:rPr>
          <w:rFonts w:ascii="Aptos" w:hAnsi="Aptos"/>
          <w:color w:val="auto"/>
          <w:sz w:val="20"/>
          <w:szCs w:val="20"/>
        </w:rPr>
        <w:t xml:space="preserve"> of an AI model</w:t>
      </w:r>
      <w:r w:rsidR="00FD6E84" w:rsidRPr="00875049">
        <w:rPr>
          <w:rFonts w:ascii="Aptos" w:hAnsi="Aptos"/>
          <w:color w:val="auto"/>
          <w:sz w:val="20"/>
          <w:szCs w:val="20"/>
        </w:rPr>
        <w:t>’s</w:t>
      </w:r>
      <w:r w:rsidRPr="00875049">
        <w:rPr>
          <w:rFonts w:ascii="Aptos" w:hAnsi="Aptos"/>
          <w:color w:val="auto"/>
          <w:sz w:val="20"/>
          <w:szCs w:val="20"/>
        </w:rPr>
        <w:t xml:space="preserve"> or</w:t>
      </w:r>
      <w:r w:rsidR="00973346" w:rsidRPr="00875049">
        <w:rPr>
          <w:rFonts w:ascii="Aptos" w:hAnsi="Aptos"/>
          <w:color w:val="auto"/>
          <w:sz w:val="20"/>
          <w:szCs w:val="20"/>
        </w:rPr>
        <w:t xml:space="preserve"> AI</w:t>
      </w:r>
      <w:r w:rsidRPr="00875049">
        <w:rPr>
          <w:rFonts w:ascii="Aptos" w:hAnsi="Aptos"/>
          <w:color w:val="auto"/>
          <w:sz w:val="20"/>
          <w:szCs w:val="20"/>
        </w:rPr>
        <w:t xml:space="preserve"> system's overall capabilities, both planned and unplanned, emerging, or malicious. Unlike specific task-focused evaluation, capability evaluation seeks to understand the full range of AI</w:t>
      </w:r>
      <w:r w:rsidR="00FD6E84" w:rsidRPr="00875049">
        <w:rPr>
          <w:rFonts w:ascii="Aptos" w:hAnsi="Aptos"/>
          <w:color w:val="auto"/>
          <w:sz w:val="20"/>
          <w:szCs w:val="20"/>
        </w:rPr>
        <w:t xml:space="preserve"> </w:t>
      </w:r>
      <w:r w:rsidRPr="00875049">
        <w:rPr>
          <w:rFonts w:ascii="Aptos" w:hAnsi="Aptos"/>
          <w:color w:val="auto"/>
          <w:sz w:val="20"/>
          <w:szCs w:val="20"/>
        </w:rPr>
        <w:t>capabilities</w:t>
      </w:r>
      <w:r w:rsidR="00FD6E84" w:rsidRPr="00875049">
        <w:rPr>
          <w:rFonts w:ascii="Aptos" w:hAnsi="Aptos"/>
          <w:color w:val="auto"/>
          <w:sz w:val="20"/>
          <w:szCs w:val="20"/>
        </w:rPr>
        <w:t xml:space="preserve">, </w:t>
      </w:r>
      <w:r w:rsidR="00973346" w:rsidRPr="00875049">
        <w:rPr>
          <w:rFonts w:ascii="Aptos" w:hAnsi="Aptos"/>
          <w:color w:val="auto"/>
          <w:sz w:val="20"/>
          <w:szCs w:val="20"/>
        </w:rPr>
        <w:t>such as</w:t>
      </w:r>
      <w:r w:rsidRPr="00875049">
        <w:rPr>
          <w:rFonts w:ascii="Aptos" w:hAnsi="Aptos"/>
          <w:color w:val="auto"/>
          <w:sz w:val="20"/>
          <w:szCs w:val="20"/>
        </w:rPr>
        <w:t xml:space="preserve"> how AI might adapt or evolve beyond its initial training, identifying both beneficial emergent behaviors and potential risks that could arise from autonomous operation or interaction with complex environments.</w:t>
      </w:r>
      <w:r w:rsidRPr="00875049">
        <w:rPr>
          <w:rFonts w:ascii="Aptos" w:hAnsi="Aptos"/>
          <w:color w:val="auto"/>
          <w:sz w:val="20"/>
          <w:szCs w:val="20"/>
          <w:vertAlign w:val="superscript"/>
        </w:rPr>
        <w:footnoteReference w:id="27"/>
      </w:r>
    </w:p>
    <w:p w14:paraId="054A8DC4" w14:textId="77777777" w:rsidR="00875049" w:rsidRPr="00875049" w:rsidRDefault="00875049" w:rsidP="00875049">
      <w:pPr>
        <w:jc w:val="both"/>
        <w:rPr>
          <w:rFonts w:ascii="Aptos" w:hAnsi="Aptos"/>
          <w:color w:val="auto"/>
          <w:sz w:val="20"/>
          <w:szCs w:val="20"/>
        </w:rPr>
      </w:pPr>
    </w:p>
    <w:p w14:paraId="348E9425" w14:textId="13E8B412" w:rsidR="001D1277" w:rsidRDefault="001D1277" w:rsidP="00875049">
      <w:pPr>
        <w:jc w:val="both"/>
        <w:rPr>
          <w:rFonts w:ascii="Aptos" w:hAnsi="Aptos"/>
          <w:color w:val="auto"/>
          <w:sz w:val="20"/>
          <w:szCs w:val="20"/>
        </w:rPr>
      </w:pPr>
      <w:r w:rsidRPr="00875049">
        <w:rPr>
          <w:rFonts w:ascii="Aptos" w:hAnsi="Aptos"/>
          <w:b/>
          <w:bCs/>
          <w:color w:val="auto"/>
          <w:sz w:val="20"/>
          <w:szCs w:val="20"/>
        </w:rPr>
        <w:t xml:space="preserve">Data </w:t>
      </w:r>
      <w:r w:rsidR="004F7F99" w:rsidRPr="00875049">
        <w:rPr>
          <w:rFonts w:ascii="Aptos" w:hAnsi="Aptos"/>
          <w:b/>
          <w:bCs/>
          <w:color w:val="auto"/>
          <w:sz w:val="20"/>
          <w:szCs w:val="20"/>
        </w:rPr>
        <w:t>L</w:t>
      </w:r>
      <w:r w:rsidRPr="00875049">
        <w:rPr>
          <w:rFonts w:ascii="Aptos" w:hAnsi="Aptos"/>
          <w:b/>
          <w:bCs/>
          <w:color w:val="auto"/>
          <w:sz w:val="20"/>
          <w:szCs w:val="20"/>
        </w:rPr>
        <w:t>ineage</w:t>
      </w:r>
      <w:r w:rsidR="004F7F99" w:rsidRPr="00875049">
        <w:rPr>
          <w:rFonts w:ascii="Aptos" w:hAnsi="Aptos"/>
          <w:color w:val="auto"/>
          <w:sz w:val="20"/>
          <w:szCs w:val="20"/>
        </w:rPr>
        <w:t xml:space="preserve">: </w:t>
      </w:r>
      <w:r w:rsidRPr="00875049">
        <w:rPr>
          <w:rFonts w:ascii="Aptos" w:hAnsi="Aptos"/>
          <w:color w:val="auto"/>
          <w:sz w:val="20"/>
          <w:szCs w:val="20"/>
        </w:rPr>
        <w:t>The history of processing of a data element, which may include point-to-point data flows and the data actions performed upon the data element.</w:t>
      </w:r>
      <w:r w:rsidRPr="00875049">
        <w:rPr>
          <w:rFonts w:ascii="Aptos" w:hAnsi="Aptos"/>
          <w:color w:val="auto"/>
          <w:sz w:val="20"/>
          <w:szCs w:val="20"/>
          <w:vertAlign w:val="superscript"/>
        </w:rPr>
        <w:footnoteReference w:id="28"/>
      </w:r>
    </w:p>
    <w:p w14:paraId="1B785280" w14:textId="77777777" w:rsidR="00875049" w:rsidRPr="00875049" w:rsidRDefault="00875049" w:rsidP="00875049">
      <w:pPr>
        <w:jc w:val="both"/>
        <w:rPr>
          <w:rFonts w:ascii="Aptos" w:hAnsi="Aptos"/>
          <w:color w:val="auto"/>
          <w:sz w:val="20"/>
          <w:szCs w:val="20"/>
        </w:rPr>
      </w:pPr>
    </w:p>
    <w:p w14:paraId="5CD60BFB" w14:textId="0614379A" w:rsidR="001D1277" w:rsidRDefault="001D1277" w:rsidP="00875049">
      <w:pPr>
        <w:jc w:val="both"/>
        <w:rPr>
          <w:rFonts w:ascii="Aptos" w:hAnsi="Aptos"/>
          <w:color w:val="auto"/>
          <w:sz w:val="20"/>
          <w:szCs w:val="20"/>
        </w:rPr>
      </w:pPr>
      <w:r w:rsidRPr="00875049">
        <w:rPr>
          <w:rFonts w:ascii="Aptos" w:hAnsi="Aptos"/>
          <w:b/>
          <w:bCs/>
          <w:color w:val="auto"/>
          <w:sz w:val="20"/>
          <w:szCs w:val="20"/>
        </w:rPr>
        <w:t xml:space="preserve">Data </w:t>
      </w:r>
      <w:r w:rsidR="00944F5A" w:rsidRPr="00875049">
        <w:rPr>
          <w:rFonts w:ascii="Aptos" w:hAnsi="Aptos"/>
          <w:b/>
          <w:bCs/>
          <w:color w:val="auto"/>
          <w:sz w:val="20"/>
          <w:szCs w:val="20"/>
        </w:rPr>
        <w:t>P</w:t>
      </w:r>
      <w:r w:rsidRPr="00875049">
        <w:rPr>
          <w:rFonts w:ascii="Aptos" w:hAnsi="Aptos"/>
          <w:b/>
          <w:bCs/>
          <w:color w:val="auto"/>
          <w:sz w:val="20"/>
          <w:szCs w:val="20"/>
        </w:rPr>
        <w:t>oisoning</w:t>
      </w:r>
      <w:r w:rsidR="00944F5A" w:rsidRPr="00875049">
        <w:rPr>
          <w:rFonts w:ascii="Aptos" w:hAnsi="Aptos"/>
          <w:color w:val="auto"/>
          <w:sz w:val="20"/>
          <w:szCs w:val="20"/>
        </w:rPr>
        <w:t xml:space="preserve">: </w:t>
      </w:r>
      <w:r w:rsidRPr="00875049">
        <w:rPr>
          <w:rFonts w:ascii="Aptos" w:hAnsi="Aptos"/>
          <w:color w:val="auto"/>
          <w:sz w:val="20"/>
          <w:szCs w:val="20"/>
        </w:rPr>
        <w:t>An attack that “corrupt[s] and contaminate[s] training data to compromise the</w:t>
      </w:r>
      <w:r w:rsidR="00944F5A" w:rsidRPr="00875049">
        <w:rPr>
          <w:rFonts w:ascii="Aptos" w:hAnsi="Aptos"/>
          <w:color w:val="auto"/>
          <w:sz w:val="20"/>
          <w:szCs w:val="20"/>
        </w:rPr>
        <w:t xml:space="preserve"> AI</w:t>
      </w:r>
      <w:r w:rsidRPr="00875049">
        <w:rPr>
          <w:rFonts w:ascii="Aptos" w:hAnsi="Aptos"/>
          <w:color w:val="auto"/>
          <w:sz w:val="20"/>
          <w:szCs w:val="20"/>
        </w:rPr>
        <w:t xml:space="preserve"> system’s performance.”</w:t>
      </w:r>
      <w:r w:rsidRPr="00875049">
        <w:rPr>
          <w:rFonts w:ascii="Aptos" w:hAnsi="Aptos"/>
          <w:color w:val="auto"/>
          <w:sz w:val="20"/>
          <w:szCs w:val="20"/>
          <w:vertAlign w:val="superscript"/>
        </w:rPr>
        <w:footnoteReference w:id="29"/>
      </w:r>
      <w:r w:rsidRPr="00875049">
        <w:rPr>
          <w:rFonts w:ascii="Aptos" w:hAnsi="Aptos"/>
          <w:color w:val="auto"/>
          <w:sz w:val="20"/>
          <w:szCs w:val="20"/>
        </w:rPr>
        <w:t xml:space="preserve"> Such attacks can affect multiple entities simultaneously if they utilize the same poisoned dataset for training AI models.</w:t>
      </w:r>
    </w:p>
    <w:p w14:paraId="45EA3F16" w14:textId="77777777" w:rsidR="00875049" w:rsidRPr="00875049" w:rsidRDefault="00875049" w:rsidP="00875049">
      <w:pPr>
        <w:jc w:val="both"/>
        <w:rPr>
          <w:rFonts w:ascii="Aptos" w:hAnsi="Aptos"/>
          <w:color w:val="auto"/>
          <w:sz w:val="20"/>
          <w:szCs w:val="20"/>
        </w:rPr>
      </w:pPr>
    </w:p>
    <w:p w14:paraId="1A969366" w14:textId="7DA7DC52" w:rsidR="001D1277" w:rsidRDefault="001D1277" w:rsidP="00875049">
      <w:pPr>
        <w:jc w:val="both"/>
        <w:rPr>
          <w:rFonts w:ascii="Aptos" w:hAnsi="Aptos"/>
          <w:color w:val="auto"/>
          <w:sz w:val="20"/>
          <w:szCs w:val="20"/>
        </w:rPr>
      </w:pPr>
      <w:r w:rsidRPr="00875049">
        <w:rPr>
          <w:rFonts w:ascii="Aptos" w:hAnsi="Aptos"/>
          <w:b/>
          <w:bCs/>
          <w:color w:val="auto"/>
          <w:sz w:val="20"/>
          <w:szCs w:val="20"/>
        </w:rPr>
        <w:t xml:space="preserve">Data </w:t>
      </w:r>
      <w:r w:rsidR="00BB0980" w:rsidRPr="00875049">
        <w:rPr>
          <w:rFonts w:ascii="Aptos" w:hAnsi="Aptos"/>
          <w:b/>
          <w:bCs/>
          <w:color w:val="auto"/>
          <w:sz w:val="20"/>
          <w:szCs w:val="20"/>
        </w:rPr>
        <w:t>Q</w:t>
      </w:r>
      <w:r w:rsidRPr="00875049">
        <w:rPr>
          <w:rFonts w:ascii="Aptos" w:hAnsi="Aptos"/>
          <w:b/>
          <w:bCs/>
          <w:color w:val="auto"/>
          <w:sz w:val="20"/>
          <w:szCs w:val="20"/>
        </w:rPr>
        <w:t>uality/</w:t>
      </w:r>
      <w:r w:rsidR="00BB0980" w:rsidRPr="00875049">
        <w:rPr>
          <w:rFonts w:ascii="Aptos" w:hAnsi="Aptos"/>
          <w:b/>
          <w:bCs/>
          <w:color w:val="auto"/>
          <w:sz w:val="20"/>
          <w:szCs w:val="20"/>
        </w:rPr>
        <w:t>V</w:t>
      </w:r>
      <w:r w:rsidRPr="00875049">
        <w:rPr>
          <w:rFonts w:ascii="Aptos" w:hAnsi="Aptos"/>
          <w:b/>
          <w:bCs/>
          <w:color w:val="auto"/>
          <w:sz w:val="20"/>
          <w:szCs w:val="20"/>
        </w:rPr>
        <w:t>alidity</w:t>
      </w:r>
      <w:r w:rsidR="00BB0980" w:rsidRPr="00875049">
        <w:rPr>
          <w:rFonts w:ascii="Aptos" w:hAnsi="Aptos"/>
          <w:color w:val="auto"/>
          <w:sz w:val="20"/>
          <w:szCs w:val="20"/>
        </w:rPr>
        <w:t xml:space="preserve">: </w:t>
      </w:r>
      <w:r w:rsidRPr="00875049">
        <w:rPr>
          <w:rFonts w:ascii="Aptos" w:hAnsi="Aptos"/>
          <w:color w:val="auto"/>
          <w:sz w:val="20"/>
          <w:szCs w:val="20"/>
        </w:rPr>
        <w:t>The usefulness, accuracy, and correctness of data for its application.</w:t>
      </w:r>
      <w:r w:rsidRPr="00875049">
        <w:rPr>
          <w:rFonts w:ascii="Aptos" w:hAnsi="Aptos"/>
          <w:color w:val="auto"/>
          <w:sz w:val="20"/>
          <w:szCs w:val="20"/>
          <w:vertAlign w:val="superscript"/>
        </w:rPr>
        <w:footnoteReference w:id="30"/>
      </w:r>
    </w:p>
    <w:p w14:paraId="2C022489" w14:textId="77777777" w:rsidR="00875049" w:rsidRPr="00875049" w:rsidRDefault="00875049" w:rsidP="00875049">
      <w:pPr>
        <w:jc w:val="both"/>
        <w:rPr>
          <w:rFonts w:ascii="Aptos" w:hAnsi="Aptos"/>
          <w:color w:val="auto"/>
          <w:sz w:val="20"/>
          <w:szCs w:val="20"/>
        </w:rPr>
      </w:pPr>
    </w:p>
    <w:p w14:paraId="5365CAB9" w14:textId="7E571E80" w:rsidR="001D1277" w:rsidRDefault="001D1277" w:rsidP="00875049">
      <w:pPr>
        <w:jc w:val="both"/>
        <w:rPr>
          <w:rFonts w:ascii="Aptos" w:hAnsi="Aptos"/>
          <w:color w:val="auto"/>
          <w:sz w:val="20"/>
          <w:szCs w:val="20"/>
        </w:rPr>
      </w:pPr>
      <w:r w:rsidRPr="00875049">
        <w:rPr>
          <w:rFonts w:ascii="Aptos" w:hAnsi="Aptos"/>
          <w:b/>
          <w:color w:val="auto"/>
          <w:sz w:val="20"/>
          <w:szCs w:val="20"/>
        </w:rPr>
        <w:t>Deepfake</w:t>
      </w:r>
      <w:r w:rsidR="00C803C9" w:rsidRPr="00875049">
        <w:rPr>
          <w:rFonts w:ascii="Aptos" w:hAnsi="Aptos"/>
          <w:color w:val="auto"/>
          <w:sz w:val="20"/>
          <w:szCs w:val="20"/>
        </w:rPr>
        <w:t xml:space="preserve">: </w:t>
      </w:r>
      <w:r w:rsidRPr="00875049">
        <w:rPr>
          <w:rFonts w:ascii="Aptos" w:hAnsi="Aptos"/>
          <w:color w:val="auto"/>
          <w:sz w:val="20"/>
          <w:szCs w:val="20"/>
        </w:rPr>
        <w:t>AI-generated or manipulated image, audio</w:t>
      </w:r>
      <w:r w:rsidR="003F7626" w:rsidRPr="00875049">
        <w:rPr>
          <w:rFonts w:ascii="Aptos" w:hAnsi="Aptos"/>
          <w:color w:val="auto"/>
          <w:sz w:val="20"/>
          <w:szCs w:val="20"/>
        </w:rPr>
        <w:t>,</w:t>
      </w:r>
      <w:r w:rsidRPr="00875049">
        <w:rPr>
          <w:rFonts w:ascii="Aptos" w:hAnsi="Aptos"/>
          <w:color w:val="auto"/>
          <w:sz w:val="20"/>
          <w:szCs w:val="20"/>
        </w:rPr>
        <w:t xml:space="preserve"> or video content that resembles existing persons, objects, places or other entities or events and would falsely appear to a person to be authentic or truthful.</w:t>
      </w:r>
      <w:r w:rsidRPr="00875049">
        <w:rPr>
          <w:rFonts w:ascii="Aptos" w:hAnsi="Aptos"/>
          <w:color w:val="auto"/>
          <w:sz w:val="20"/>
          <w:szCs w:val="20"/>
          <w:vertAlign w:val="superscript"/>
        </w:rPr>
        <w:footnoteReference w:id="31"/>
      </w:r>
    </w:p>
    <w:p w14:paraId="66631092" w14:textId="77777777" w:rsidR="00875049" w:rsidRPr="00875049" w:rsidRDefault="00875049" w:rsidP="00875049">
      <w:pPr>
        <w:jc w:val="both"/>
        <w:rPr>
          <w:rFonts w:ascii="Aptos" w:hAnsi="Aptos"/>
          <w:color w:val="auto"/>
          <w:sz w:val="20"/>
          <w:szCs w:val="20"/>
        </w:rPr>
      </w:pPr>
    </w:p>
    <w:p w14:paraId="13FE13E4" w14:textId="1E961521" w:rsidR="001D1277" w:rsidRDefault="001D1277" w:rsidP="00875049">
      <w:pPr>
        <w:jc w:val="both"/>
        <w:rPr>
          <w:rFonts w:ascii="Aptos" w:hAnsi="Aptos"/>
          <w:color w:val="auto"/>
          <w:sz w:val="20"/>
          <w:szCs w:val="20"/>
        </w:rPr>
      </w:pPr>
      <w:r w:rsidRPr="00875049">
        <w:rPr>
          <w:rFonts w:ascii="Aptos" w:hAnsi="Aptos"/>
          <w:b/>
          <w:bCs/>
          <w:color w:val="auto"/>
          <w:sz w:val="20"/>
          <w:szCs w:val="20"/>
        </w:rPr>
        <w:lastRenderedPageBreak/>
        <w:t>Explainability</w:t>
      </w:r>
      <w:r w:rsidR="00C5009B" w:rsidRPr="00875049">
        <w:rPr>
          <w:rFonts w:ascii="Aptos" w:hAnsi="Aptos"/>
          <w:color w:val="auto"/>
          <w:sz w:val="20"/>
          <w:szCs w:val="20"/>
        </w:rPr>
        <w:t>: T</w:t>
      </w:r>
      <w:r w:rsidRPr="00875049">
        <w:rPr>
          <w:rFonts w:ascii="Aptos" w:hAnsi="Aptos"/>
          <w:color w:val="auto"/>
          <w:sz w:val="20"/>
          <w:szCs w:val="20"/>
        </w:rPr>
        <w:t>he extent to which AI decisioning processes and outcomes are reasonably understood by operators.</w:t>
      </w:r>
      <w:r w:rsidRPr="00875049">
        <w:rPr>
          <w:rFonts w:ascii="Aptos" w:hAnsi="Aptos"/>
          <w:color w:val="auto"/>
          <w:sz w:val="20"/>
          <w:szCs w:val="20"/>
          <w:vertAlign w:val="superscript"/>
        </w:rPr>
        <w:footnoteReference w:id="32"/>
      </w:r>
    </w:p>
    <w:p w14:paraId="168699D3" w14:textId="77777777" w:rsidR="00875049" w:rsidRPr="00875049" w:rsidRDefault="00875049" w:rsidP="00875049">
      <w:pPr>
        <w:jc w:val="both"/>
        <w:rPr>
          <w:rFonts w:ascii="Aptos" w:hAnsi="Aptos"/>
          <w:color w:val="auto"/>
          <w:sz w:val="20"/>
          <w:szCs w:val="20"/>
        </w:rPr>
      </w:pPr>
    </w:p>
    <w:p w14:paraId="6906EB61" w14:textId="46568167" w:rsidR="001D1277" w:rsidRDefault="001D1277" w:rsidP="00875049">
      <w:pPr>
        <w:jc w:val="both"/>
        <w:rPr>
          <w:rFonts w:ascii="Aptos" w:hAnsi="Aptos"/>
          <w:color w:val="auto"/>
          <w:sz w:val="20"/>
          <w:szCs w:val="20"/>
        </w:rPr>
      </w:pPr>
      <w:r w:rsidRPr="00875049">
        <w:rPr>
          <w:rFonts w:ascii="Aptos" w:hAnsi="Aptos"/>
          <w:b/>
          <w:bCs/>
          <w:color w:val="auto"/>
          <w:sz w:val="20"/>
          <w:szCs w:val="20"/>
        </w:rPr>
        <w:t xml:space="preserve">General </w:t>
      </w:r>
      <w:r w:rsidR="00266AEC" w:rsidRPr="00875049">
        <w:rPr>
          <w:rFonts w:ascii="Aptos" w:hAnsi="Aptos"/>
          <w:b/>
          <w:bCs/>
          <w:color w:val="auto"/>
          <w:sz w:val="20"/>
          <w:szCs w:val="20"/>
        </w:rPr>
        <w:t>P</w:t>
      </w:r>
      <w:r w:rsidRPr="00875049">
        <w:rPr>
          <w:rFonts w:ascii="Aptos" w:hAnsi="Aptos"/>
          <w:b/>
          <w:bCs/>
          <w:color w:val="auto"/>
          <w:sz w:val="20"/>
          <w:szCs w:val="20"/>
        </w:rPr>
        <w:t>urpose AI</w:t>
      </w:r>
      <w:r w:rsidR="00266AEC" w:rsidRPr="00875049">
        <w:rPr>
          <w:rFonts w:ascii="Aptos" w:hAnsi="Aptos"/>
          <w:color w:val="auto"/>
          <w:sz w:val="20"/>
          <w:szCs w:val="20"/>
        </w:rPr>
        <w:t xml:space="preserve">: </w:t>
      </w:r>
      <w:r w:rsidRPr="00875049">
        <w:rPr>
          <w:rFonts w:ascii="Aptos" w:hAnsi="Aptos"/>
          <w:color w:val="auto"/>
          <w:sz w:val="20"/>
          <w:szCs w:val="20"/>
        </w:rPr>
        <w:t xml:space="preserve">AI designed for use across a broad array of tasks </w:t>
      </w:r>
      <w:r w:rsidR="00266AEC" w:rsidRPr="00875049">
        <w:rPr>
          <w:rFonts w:ascii="Aptos" w:hAnsi="Aptos"/>
          <w:color w:val="auto"/>
          <w:sz w:val="20"/>
          <w:szCs w:val="20"/>
        </w:rPr>
        <w:t>and</w:t>
      </w:r>
      <w:r w:rsidRPr="00875049">
        <w:rPr>
          <w:rFonts w:ascii="Aptos" w:hAnsi="Aptos"/>
          <w:color w:val="auto"/>
          <w:sz w:val="20"/>
          <w:szCs w:val="20"/>
        </w:rPr>
        <w:t xml:space="preserve"> applications </w:t>
      </w:r>
      <w:r w:rsidR="00266AEC" w:rsidRPr="00875049">
        <w:rPr>
          <w:rFonts w:ascii="Aptos" w:hAnsi="Aptos"/>
          <w:color w:val="auto"/>
          <w:sz w:val="20"/>
          <w:szCs w:val="20"/>
        </w:rPr>
        <w:t>as opposed to</w:t>
      </w:r>
      <w:r w:rsidRPr="00875049">
        <w:rPr>
          <w:rFonts w:ascii="Aptos" w:hAnsi="Aptos"/>
          <w:color w:val="auto"/>
          <w:sz w:val="20"/>
          <w:szCs w:val="20"/>
        </w:rPr>
        <w:t xml:space="preserve"> a specific domain.</w:t>
      </w:r>
      <w:r w:rsidRPr="00875049">
        <w:rPr>
          <w:rFonts w:ascii="Aptos" w:hAnsi="Aptos"/>
          <w:color w:val="auto"/>
          <w:sz w:val="20"/>
          <w:szCs w:val="20"/>
          <w:vertAlign w:val="superscript"/>
        </w:rPr>
        <w:footnoteReference w:id="33"/>
      </w:r>
    </w:p>
    <w:p w14:paraId="46286113" w14:textId="77777777" w:rsidR="00875049" w:rsidRPr="00875049" w:rsidRDefault="00875049" w:rsidP="00875049">
      <w:pPr>
        <w:jc w:val="both"/>
        <w:rPr>
          <w:rFonts w:ascii="Aptos" w:hAnsi="Aptos"/>
          <w:color w:val="auto"/>
          <w:sz w:val="20"/>
          <w:szCs w:val="20"/>
        </w:rPr>
      </w:pPr>
    </w:p>
    <w:p w14:paraId="4980CE37" w14:textId="73CC1B0C" w:rsidR="001D1277" w:rsidRDefault="001D1277" w:rsidP="00875049">
      <w:pPr>
        <w:jc w:val="both"/>
        <w:rPr>
          <w:rFonts w:ascii="Aptos" w:hAnsi="Aptos"/>
          <w:color w:val="auto"/>
          <w:sz w:val="20"/>
          <w:szCs w:val="20"/>
        </w:rPr>
      </w:pPr>
      <w:r w:rsidRPr="00875049">
        <w:rPr>
          <w:rFonts w:ascii="Aptos" w:hAnsi="Aptos"/>
          <w:b/>
          <w:bCs/>
          <w:color w:val="auto"/>
          <w:sz w:val="20"/>
          <w:szCs w:val="20"/>
        </w:rPr>
        <w:t>Generative AI</w:t>
      </w:r>
      <w:r w:rsidR="00266AEC" w:rsidRPr="00875049">
        <w:rPr>
          <w:rFonts w:ascii="Aptos" w:hAnsi="Aptos"/>
          <w:color w:val="auto"/>
          <w:sz w:val="20"/>
          <w:szCs w:val="20"/>
        </w:rPr>
        <w:t xml:space="preserve">: </w:t>
      </w:r>
      <w:r w:rsidRPr="00875049">
        <w:rPr>
          <w:rFonts w:ascii="Aptos" w:hAnsi="Aptos"/>
          <w:color w:val="auto"/>
          <w:sz w:val="20"/>
          <w:szCs w:val="20"/>
        </w:rPr>
        <w:t>The class of AI that emulate</w:t>
      </w:r>
      <w:r w:rsidR="00476A77" w:rsidRPr="00875049">
        <w:rPr>
          <w:rFonts w:ascii="Aptos" w:hAnsi="Aptos"/>
          <w:color w:val="auto"/>
          <w:sz w:val="20"/>
          <w:szCs w:val="20"/>
        </w:rPr>
        <w:t>s</w:t>
      </w:r>
      <w:r w:rsidRPr="00875049">
        <w:rPr>
          <w:rFonts w:ascii="Aptos" w:hAnsi="Aptos"/>
          <w:color w:val="auto"/>
          <w:sz w:val="20"/>
          <w:szCs w:val="20"/>
        </w:rPr>
        <w:t xml:space="preserve"> the structure and characteristics of input data in order to generate derived synthetic content. This can include images, videos, audio, text, and other digital content.</w:t>
      </w:r>
      <w:r w:rsidRPr="00875049">
        <w:rPr>
          <w:rFonts w:ascii="Aptos" w:hAnsi="Aptos"/>
          <w:color w:val="auto"/>
          <w:sz w:val="20"/>
          <w:szCs w:val="20"/>
          <w:vertAlign w:val="superscript"/>
        </w:rPr>
        <w:footnoteReference w:id="34"/>
      </w:r>
    </w:p>
    <w:p w14:paraId="05E55CDE" w14:textId="77777777" w:rsidR="00875049" w:rsidRPr="00875049" w:rsidRDefault="00875049" w:rsidP="00875049">
      <w:pPr>
        <w:jc w:val="both"/>
        <w:rPr>
          <w:rFonts w:ascii="Aptos" w:hAnsi="Aptos"/>
          <w:color w:val="auto"/>
          <w:sz w:val="20"/>
          <w:szCs w:val="20"/>
        </w:rPr>
      </w:pPr>
    </w:p>
    <w:p w14:paraId="6D73F5FC" w14:textId="67C0956C" w:rsidR="001D1277" w:rsidRDefault="001D1277" w:rsidP="00875049">
      <w:pPr>
        <w:jc w:val="both"/>
        <w:rPr>
          <w:rFonts w:ascii="Aptos" w:hAnsi="Aptos"/>
          <w:color w:val="auto"/>
          <w:sz w:val="20"/>
          <w:szCs w:val="20"/>
        </w:rPr>
      </w:pPr>
      <w:r w:rsidRPr="00875049">
        <w:rPr>
          <w:rFonts w:ascii="Aptos" w:hAnsi="Aptos"/>
          <w:b/>
          <w:bCs/>
          <w:color w:val="auto"/>
          <w:sz w:val="20"/>
          <w:szCs w:val="20"/>
        </w:rPr>
        <w:t>Guardrails</w:t>
      </w:r>
      <w:r w:rsidR="00777439" w:rsidRPr="00875049">
        <w:rPr>
          <w:rFonts w:ascii="Aptos" w:hAnsi="Aptos"/>
          <w:b/>
          <w:bCs/>
          <w:color w:val="auto"/>
          <w:sz w:val="20"/>
          <w:szCs w:val="20"/>
        </w:rPr>
        <w:t xml:space="preserve">: </w:t>
      </w:r>
      <w:r w:rsidRPr="00875049">
        <w:rPr>
          <w:rFonts w:ascii="Aptos" w:hAnsi="Aptos"/>
          <w:color w:val="auto"/>
          <w:sz w:val="20"/>
          <w:szCs w:val="20"/>
        </w:rPr>
        <w:t>Layered safeguards that ensure generative AI systems behave ethically, safely, and within organizational or regulatory boundaries by filtering training data, aligning model behavior, and enforcing post-deployment controls.</w:t>
      </w:r>
      <w:r w:rsidRPr="00875049">
        <w:rPr>
          <w:rFonts w:ascii="Aptos" w:hAnsi="Aptos"/>
          <w:color w:val="auto"/>
          <w:sz w:val="20"/>
          <w:szCs w:val="20"/>
          <w:vertAlign w:val="superscript"/>
        </w:rPr>
        <w:footnoteReference w:id="35"/>
      </w:r>
    </w:p>
    <w:p w14:paraId="66E0D971" w14:textId="77777777" w:rsidR="00875049" w:rsidRPr="00875049" w:rsidRDefault="00875049" w:rsidP="00875049">
      <w:pPr>
        <w:jc w:val="both"/>
        <w:rPr>
          <w:rFonts w:ascii="Aptos" w:hAnsi="Aptos"/>
          <w:color w:val="auto"/>
          <w:sz w:val="20"/>
          <w:szCs w:val="20"/>
        </w:rPr>
      </w:pPr>
    </w:p>
    <w:p w14:paraId="14B0B4DE" w14:textId="24CDFCE7" w:rsidR="001D1277" w:rsidRDefault="001D1277" w:rsidP="00875049">
      <w:pPr>
        <w:jc w:val="both"/>
        <w:rPr>
          <w:rFonts w:ascii="Aptos" w:hAnsi="Aptos"/>
          <w:color w:val="auto"/>
          <w:sz w:val="20"/>
          <w:szCs w:val="20"/>
        </w:rPr>
      </w:pPr>
      <w:r w:rsidRPr="00875049">
        <w:rPr>
          <w:rFonts w:ascii="Aptos" w:hAnsi="Aptos"/>
          <w:b/>
          <w:bCs/>
          <w:color w:val="auto"/>
          <w:sz w:val="20"/>
          <w:szCs w:val="20"/>
        </w:rPr>
        <w:t>Hallucination</w:t>
      </w:r>
      <w:r w:rsidR="00777439" w:rsidRPr="00875049">
        <w:rPr>
          <w:rFonts w:ascii="Aptos" w:hAnsi="Aptos"/>
          <w:b/>
          <w:bCs/>
          <w:color w:val="auto"/>
          <w:sz w:val="20"/>
          <w:szCs w:val="20"/>
        </w:rPr>
        <w:t>s:</w:t>
      </w:r>
      <w:r w:rsidRPr="00875049">
        <w:rPr>
          <w:rFonts w:ascii="Aptos" w:hAnsi="Aptos"/>
          <w:color w:val="auto"/>
          <w:sz w:val="20"/>
          <w:szCs w:val="20"/>
        </w:rPr>
        <w:t xml:space="preserve"> A phenomenon </w:t>
      </w:r>
      <w:r w:rsidR="00777439" w:rsidRPr="00875049">
        <w:rPr>
          <w:rFonts w:ascii="Aptos" w:hAnsi="Aptos"/>
          <w:color w:val="auto"/>
          <w:sz w:val="20"/>
          <w:szCs w:val="20"/>
        </w:rPr>
        <w:t>whereby</w:t>
      </w:r>
      <w:r w:rsidRPr="00875049">
        <w:rPr>
          <w:rFonts w:ascii="Aptos" w:hAnsi="Aptos"/>
          <w:color w:val="auto"/>
          <w:sz w:val="20"/>
          <w:szCs w:val="20"/>
        </w:rPr>
        <w:t xml:space="preserve"> AI produces output that is erroneous or flawed but is still in the form of a convincing narrative or presentation.</w:t>
      </w:r>
      <w:r w:rsidRPr="00875049">
        <w:rPr>
          <w:rFonts w:ascii="Aptos" w:hAnsi="Aptos"/>
          <w:color w:val="auto"/>
          <w:sz w:val="20"/>
          <w:szCs w:val="20"/>
          <w:vertAlign w:val="superscript"/>
        </w:rPr>
        <w:footnoteReference w:id="36"/>
      </w:r>
    </w:p>
    <w:p w14:paraId="12C87374" w14:textId="77777777" w:rsidR="00875049" w:rsidRPr="00875049" w:rsidRDefault="00875049" w:rsidP="00875049">
      <w:pPr>
        <w:jc w:val="both"/>
        <w:rPr>
          <w:rFonts w:ascii="Aptos" w:hAnsi="Aptos"/>
          <w:color w:val="auto"/>
          <w:sz w:val="20"/>
          <w:szCs w:val="20"/>
        </w:rPr>
      </w:pPr>
    </w:p>
    <w:p w14:paraId="4ED3F6AC" w14:textId="0501554F" w:rsidR="001D1277" w:rsidRDefault="001D1277" w:rsidP="00875049">
      <w:pPr>
        <w:jc w:val="both"/>
        <w:rPr>
          <w:rFonts w:ascii="Aptos" w:hAnsi="Aptos"/>
          <w:color w:val="auto"/>
          <w:sz w:val="20"/>
          <w:szCs w:val="20"/>
        </w:rPr>
      </w:pPr>
      <w:r w:rsidRPr="00875049">
        <w:rPr>
          <w:rFonts w:ascii="Aptos" w:hAnsi="Aptos"/>
          <w:b/>
          <w:bCs/>
          <w:color w:val="auto"/>
          <w:sz w:val="20"/>
          <w:szCs w:val="20"/>
        </w:rPr>
        <w:t>Human-in-the-Loop</w:t>
      </w:r>
      <w:r w:rsidR="002B70A2" w:rsidRPr="00875049">
        <w:rPr>
          <w:rFonts w:ascii="Aptos" w:hAnsi="Aptos"/>
          <w:b/>
          <w:bCs/>
          <w:color w:val="auto"/>
          <w:sz w:val="20"/>
          <w:szCs w:val="20"/>
        </w:rPr>
        <w:t xml:space="preserve">: </w:t>
      </w:r>
      <w:r w:rsidRPr="00875049">
        <w:rPr>
          <w:rFonts w:ascii="Aptos" w:hAnsi="Aptos"/>
          <w:color w:val="auto"/>
          <w:sz w:val="20"/>
          <w:szCs w:val="20"/>
        </w:rPr>
        <w:t xml:space="preserve">A risk-control approach for AI where a human is integrated within the AI's decision-making process. The real-time human oversight or intervention </w:t>
      </w:r>
      <w:r w:rsidR="002B70A2" w:rsidRPr="00875049">
        <w:rPr>
          <w:rFonts w:ascii="Aptos" w:hAnsi="Aptos"/>
          <w:color w:val="auto"/>
          <w:sz w:val="20"/>
          <w:szCs w:val="20"/>
        </w:rPr>
        <w:t>is intended to</w:t>
      </w:r>
      <w:r w:rsidRPr="00875049">
        <w:rPr>
          <w:rFonts w:ascii="Aptos" w:hAnsi="Aptos"/>
          <w:color w:val="auto"/>
          <w:sz w:val="20"/>
          <w:szCs w:val="20"/>
        </w:rPr>
        <w:t xml:space="preserve"> help reduce errors and </w:t>
      </w:r>
      <w:r w:rsidR="002B70A2" w:rsidRPr="00875049">
        <w:rPr>
          <w:rFonts w:ascii="Aptos" w:hAnsi="Aptos"/>
          <w:color w:val="auto"/>
          <w:sz w:val="20"/>
          <w:szCs w:val="20"/>
        </w:rPr>
        <w:t>strengthen</w:t>
      </w:r>
      <w:r w:rsidRPr="00875049">
        <w:rPr>
          <w:rFonts w:ascii="Aptos" w:hAnsi="Aptos"/>
          <w:color w:val="auto"/>
          <w:sz w:val="20"/>
          <w:szCs w:val="20"/>
        </w:rPr>
        <w:t xml:space="preserve"> accountability.</w:t>
      </w:r>
      <w:r w:rsidRPr="00875049">
        <w:rPr>
          <w:rFonts w:ascii="Aptos" w:hAnsi="Aptos"/>
          <w:color w:val="auto"/>
          <w:sz w:val="20"/>
          <w:szCs w:val="20"/>
          <w:vertAlign w:val="superscript"/>
        </w:rPr>
        <w:footnoteReference w:id="37"/>
      </w:r>
    </w:p>
    <w:p w14:paraId="77DDAF85" w14:textId="77777777" w:rsidR="00875049" w:rsidRPr="00875049" w:rsidRDefault="00875049" w:rsidP="00875049">
      <w:pPr>
        <w:jc w:val="both"/>
        <w:rPr>
          <w:rFonts w:ascii="Aptos" w:hAnsi="Aptos"/>
          <w:color w:val="auto"/>
          <w:sz w:val="20"/>
          <w:szCs w:val="20"/>
        </w:rPr>
      </w:pPr>
    </w:p>
    <w:p w14:paraId="21E8256D" w14:textId="63CD7628" w:rsidR="001D1277" w:rsidRDefault="001D1277" w:rsidP="00875049">
      <w:pPr>
        <w:jc w:val="both"/>
        <w:rPr>
          <w:rFonts w:ascii="Aptos" w:hAnsi="Aptos"/>
          <w:color w:val="auto"/>
          <w:sz w:val="20"/>
          <w:szCs w:val="20"/>
        </w:rPr>
      </w:pPr>
      <w:r w:rsidRPr="00875049">
        <w:rPr>
          <w:rFonts w:ascii="Aptos" w:hAnsi="Aptos"/>
          <w:b/>
          <w:bCs/>
          <w:color w:val="auto"/>
          <w:sz w:val="20"/>
          <w:szCs w:val="20"/>
        </w:rPr>
        <w:t>Interpretability</w:t>
      </w:r>
      <w:r w:rsidR="002B70A2" w:rsidRPr="00875049">
        <w:rPr>
          <w:rFonts w:ascii="Aptos" w:hAnsi="Aptos"/>
          <w:color w:val="auto"/>
          <w:sz w:val="20"/>
          <w:szCs w:val="20"/>
        </w:rPr>
        <w:t>:</w:t>
      </w:r>
      <w:r w:rsidRPr="00875049">
        <w:rPr>
          <w:rFonts w:ascii="Aptos" w:hAnsi="Aptos"/>
          <w:color w:val="auto"/>
          <w:sz w:val="20"/>
          <w:szCs w:val="20"/>
        </w:rPr>
        <w:t xml:space="preserve"> Transparency into the inner workings of AI output in the context of their designed functional purpose</w:t>
      </w:r>
      <w:r w:rsidR="00FB3612" w:rsidRPr="00875049">
        <w:rPr>
          <w:rFonts w:ascii="Aptos" w:hAnsi="Aptos"/>
          <w:color w:val="auto"/>
          <w:sz w:val="20"/>
          <w:szCs w:val="20"/>
        </w:rPr>
        <w:t xml:space="preserve">, helping </w:t>
      </w:r>
      <w:r w:rsidRPr="00875049">
        <w:rPr>
          <w:rFonts w:ascii="Aptos" w:hAnsi="Aptos"/>
          <w:color w:val="auto"/>
          <w:sz w:val="20"/>
          <w:szCs w:val="20"/>
        </w:rPr>
        <w:t>users gain deeper insights into the functionality and trustworthiness of the system and its outputs.</w:t>
      </w:r>
      <w:r w:rsidRPr="00875049">
        <w:rPr>
          <w:rFonts w:ascii="Aptos" w:hAnsi="Aptos"/>
          <w:color w:val="auto"/>
          <w:sz w:val="20"/>
          <w:szCs w:val="20"/>
          <w:vertAlign w:val="superscript"/>
        </w:rPr>
        <w:footnoteReference w:id="38"/>
      </w:r>
    </w:p>
    <w:p w14:paraId="324AB607" w14:textId="77777777" w:rsidR="00875049" w:rsidRPr="00875049" w:rsidRDefault="00875049" w:rsidP="00875049">
      <w:pPr>
        <w:jc w:val="both"/>
        <w:rPr>
          <w:rFonts w:ascii="Aptos" w:hAnsi="Aptos"/>
          <w:color w:val="auto"/>
          <w:sz w:val="20"/>
          <w:szCs w:val="20"/>
        </w:rPr>
      </w:pPr>
    </w:p>
    <w:p w14:paraId="61F089F5" w14:textId="4A308023" w:rsidR="001D1277" w:rsidRDefault="001D1277" w:rsidP="00875049">
      <w:pPr>
        <w:jc w:val="both"/>
        <w:rPr>
          <w:rFonts w:ascii="Aptos" w:hAnsi="Aptos"/>
          <w:color w:val="auto"/>
          <w:sz w:val="20"/>
          <w:szCs w:val="20"/>
        </w:rPr>
      </w:pPr>
      <w:r w:rsidRPr="00875049">
        <w:rPr>
          <w:rFonts w:ascii="Aptos" w:hAnsi="Aptos"/>
          <w:b/>
          <w:bCs/>
          <w:color w:val="auto"/>
          <w:sz w:val="20"/>
          <w:szCs w:val="20"/>
        </w:rPr>
        <w:t xml:space="preserve">Large </w:t>
      </w:r>
      <w:r w:rsidR="00533102" w:rsidRPr="00875049">
        <w:rPr>
          <w:rFonts w:ascii="Aptos" w:hAnsi="Aptos"/>
          <w:b/>
          <w:bCs/>
          <w:color w:val="auto"/>
          <w:sz w:val="20"/>
          <w:szCs w:val="20"/>
        </w:rPr>
        <w:t>L</w:t>
      </w:r>
      <w:r w:rsidRPr="00875049">
        <w:rPr>
          <w:rFonts w:ascii="Aptos" w:hAnsi="Aptos"/>
          <w:b/>
          <w:bCs/>
          <w:color w:val="auto"/>
          <w:sz w:val="20"/>
          <w:szCs w:val="20"/>
        </w:rPr>
        <w:t xml:space="preserve">anguage </w:t>
      </w:r>
      <w:r w:rsidR="00533102" w:rsidRPr="00875049">
        <w:rPr>
          <w:rFonts w:ascii="Aptos" w:hAnsi="Aptos"/>
          <w:b/>
          <w:bCs/>
          <w:color w:val="auto"/>
          <w:sz w:val="20"/>
          <w:szCs w:val="20"/>
        </w:rPr>
        <w:t>M</w:t>
      </w:r>
      <w:r w:rsidRPr="00875049">
        <w:rPr>
          <w:rFonts w:ascii="Aptos" w:hAnsi="Aptos"/>
          <w:b/>
          <w:bCs/>
          <w:color w:val="auto"/>
          <w:sz w:val="20"/>
          <w:szCs w:val="20"/>
        </w:rPr>
        <w:t>odel</w:t>
      </w:r>
      <w:r w:rsidR="00533102" w:rsidRPr="00875049">
        <w:rPr>
          <w:rFonts w:ascii="Aptos" w:hAnsi="Aptos"/>
          <w:color w:val="auto"/>
          <w:sz w:val="20"/>
          <w:szCs w:val="20"/>
        </w:rPr>
        <w:t xml:space="preserve">: </w:t>
      </w:r>
      <w:r w:rsidRPr="00875049">
        <w:rPr>
          <w:rFonts w:ascii="Aptos" w:hAnsi="Aptos"/>
          <w:color w:val="auto"/>
          <w:sz w:val="20"/>
          <w:szCs w:val="20"/>
        </w:rPr>
        <w:t>A subset of machine learning that uses algorithms trained on large amounts of data through self-supervised machine learning to recognize patterns and respond to user requests in natural language.</w:t>
      </w:r>
      <w:r w:rsidRPr="00875049">
        <w:rPr>
          <w:rFonts w:ascii="Aptos" w:hAnsi="Aptos"/>
          <w:color w:val="auto"/>
          <w:sz w:val="20"/>
          <w:szCs w:val="20"/>
          <w:vertAlign w:val="superscript"/>
        </w:rPr>
        <w:footnoteReference w:id="39"/>
      </w:r>
    </w:p>
    <w:p w14:paraId="6B1FBA21" w14:textId="77777777" w:rsidR="00875049" w:rsidRPr="00875049" w:rsidRDefault="00875049" w:rsidP="00875049">
      <w:pPr>
        <w:jc w:val="both"/>
        <w:rPr>
          <w:rFonts w:ascii="Aptos" w:hAnsi="Aptos"/>
          <w:color w:val="auto"/>
          <w:sz w:val="20"/>
          <w:szCs w:val="20"/>
        </w:rPr>
      </w:pPr>
    </w:p>
    <w:p w14:paraId="63E96128" w14:textId="66A01242" w:rsidR="001D1277" w:rsidRDefault="001D1277" w:rsidP="00875049">
      <w:pPr>
        <w:jc w:val="both"/>
        <w:rPr>
          <w:rFonts w:ascii="Aptos" w:hAnsi="Aptos"/>
          <w:color w:val="auto"/>
          <w:sz w:val="20"/>
          <w:szCs w:val="20"/>
        </w:rPr>
      </w:pPr>
      <w:r w:rsidRPr="00875049">
        <w:rPr>
          <w:rFonts w:ascii="Aptos" w:hAnsi="Aptos"/>
          <w:b/>
          <w:bCs/>
          <w:color w:val="auto"/>
          <w:sz w:val="20"/>
          <w:szCs w:val="20"/>
        </w:rPr>
        <w:t xml:space="preserve">Machine </w:t>
      </w:r>
      <w:r w:rsidR="00EB5539" w:rsidRPr="00875049">
        <w:rPr>
          <w:rFonts w:ascii="Aptos" w:hAnsi="Aptos"/>
          <w:b/>
          <w:bCs/>
          <w:color w:val="auto"/>
          <w:sz w:val="20"/>
          <w:szCs w:val="20"/>
        </w:rPr>
        <w:t>L</w:t>
      </w:r>
      <w:r w:rsidRPr="00875049">
        <w:rPr>
          <w:rFonts w:ascii="Aptos" w:hAnsi="Aptos"/>
          <w:b/>
          <w:bCs/>
          <w:color w:val="auto"/>
          <w:sz w:val="20"/>
          <w:szCs w:val="20"/>
        </w:rPr>
        <w:t>earning</w:t>
      </w:r>
      <w:r w:rsidR="00EB5539" w:rsidRPr="00875049">
        <w:rPr>
          <w:rFonts w:ascii="Aptos" w:hAnsi="Aptos"/>
          <w:color w:val="auto"/>
          <w:sz w:val="20"/>
          <w:szCs w:val="20"/>
        </w:rPr>
        <w:t xml:space="preserve">: </w:t>
      </w:r>
      <w:r w:rsidRPr="00875049">
        <w:rPr>
          <w:rFonts w:ascii="Aptos" w:hAnsi="Aptos"/>
          <w:color w:val="auto"/>
          <w:sz w:val="20"/>
          <w:szCs w:val="20"/>
        </w:rPr>
        <w:t>An AI learning method that enables computational systems to learn patterns, make predictions, and optimize decisions from large amounts of data without being explicitly programmed for each task. Machine learning encompasses supervised, unsupervised, and reinforcement learning paradigms, serving as the technical foundation for data-driven intelligence and automation.</w:t>
      </w:r>
      <w:r w:rsidRPr="00875049">
        <w:rPr>
          <w:rFonts w:ascii="Aptos" w:hAnsi="Aptos"/>
          <w:color w:val="auto"/>
          <w:sz w:val="20"/>
          <w:szCs w:val="20"/>
          <w:vertAlign w:val="superscript"/>
        </w:rPr>
        <w:footnoteReference w:id="40"/>
      </w:r>
    </w:p>
    <w:p w14:paraId="667B77AB" w14:textId="77777777" w:rsidR="00875049" w:rsidRPr="00875049" w:rsidRDefault="00875049" w:rsidP="00875049">
      <w:pPr>
        <w:jc w:val="both"/>
        <w:rPr>
          <w:rFonts w:ascii="Aptos" w:hAnsi="Aptos"/>
          <w:color w:val="auto"/>
          <w:sz w:val="20"/>
          <w:szCs w:val="20"/>
        </w:rPr>
      </w:pPr>
    </w:p>
    <w:p w14:paraId="0B411D9E" w14:textId="437CD4D2" w:rsidR="001D1277" w:rsidRDefault="001D1277" w:rsidP="00875049">
      <w:pPr>
        <w:jc w:val="both"/>
        <w:rPr>
          <w:rFonts w:ascii="Aptos" w:hAnsi="Aptos"/>
          <w:color w:val="auto"/>
          <w:sz w:val="20"/>
          <w:szCs w:val="20"/>
        </w:rPr>
      </w:pPr>
      <w:r w:rsidRPr="00875049">
        <w:rPr>
          <w:rFonts w:ascii="Aptos" w:hAnsi="Aptos"/>
          <w:b/>
          <w:bCs/>
          <w:color w:val="auto"/>
          <w:sz w:val="20"/>
          <w:szCs w:val="20"/>
        </w:rPr>
        <w:t>Model</w:t>
      </w:r>
      <w:r w:rsidR="00EB5539" w:rsidRPr="00875049">
        <w:rPr>
          <w:rFonts w:ascii="Aptos" w:hAnsi="Aptos"/>
          <w:color w:val="auto"/>
          <w:sz w:val="20"/>
          <w:szCs w:val="20"/>
        </w:rPr>
        <w:t xml:space="preserve">: </w:t>
      </w:r>
      <w:r w:rsidRPr="00875049">
        <w:rPr>
          <w:rFonts w:ascii="Aptos" w:hAnsi="Aptos"/>
          <w:color w:val="auto"/>
          <w:sz w:val="20"/>
          <w:szCs w:val="20"/>
        </w:rPr>
        <w:t xml:space="preserve">A quantitative method, system, or approach that applies statistical, economic, financial, or mathematical theories, techniques, and assumptions to process input data into quantitative estimates. A model consists of three components: </w:t>
      </w:r>
      <w:r w:rsidR="00EB5539" w:rsidRPr="00875049">
        <w:rPr>
          <w:rFonts w:ascii="Aptos" w:hAnsi="Aptos"/>
          <w:color w:val="auto"/>
          <w:sz w:val="20"/>
          <w:szCs w:val="20"/>
        </w:rPr>
        <w:t xml:space="preserve">(a) </w:t>
      </w:r>
      <w:r w:rsidRPr="00875049">
        <w:rPr>
          <w:rFonts w:ascii="Aptos" w:hAnsi="Aptos"/>
          <w:color w:val="auto"/>
          <w:sz w:val="20"/>
          <w:szCs w:val="20"/>
        </w:rPr>
        <w:t>information input, which delivers assumptions and data to the model;</w:t>
      </w:r>
      <w:r w:rsidR="00EB5539" w:rsidRPr="00875049">
        <w:rPr>
          <w:rFonts w:ascii="Aptos" w:hAnsi="Aptos"/>
          <w:color w:val="auto"/>
          <w:sz w:val="20"/>
          <w:szCs w:val="20"/>
        </w:rPr>
        <w:t xml:space="preserve"> (b)</w:t>
      </w:r>
      <w:r w:rsidRPr="00875049">
        <w:rPr>
          <w:rFonts w:ascii="Aptos" w:hAnsi="Aptos"/>
          <w:color w:val="auto"/>
          <w:sz w:val="20"/>
          <w:szCs w:val="20"/>
        </w:rPr>
        <w:t xml:space="preserve"> processing, which transforms inputs into estimates</w:t>
      </w:r>
      <w:r w:rsidR="00EB5539" w:rsidRPr="00875049">
        <w:rPr>
          <w:rFonts w:ascii="Aptos" w:hAnsi="Aptos"/>
          <w:color w:val="auto"/>
          <w:sz w:val="20"/>
          <w:szCs w:val="20"/>
        </w:rPr>
        <w:t>; and (c)</w:t>
      </w:r>
      <w:r w:rsidRPr="00875049">
        <w:rPr>
          <w:rFonts w:ascii="Aptos" w:hAnsi="Aptos"/>
          <w:color w:val="auto"/>
          <w:sz w:val="20"/>
          <w:szCs w:val="20"/>
        </w:rPr>
        <w:t xml:space="preserve"> reporting, which translates the estimates into useful business information.</w:t>
      </w:r>
      <w:r w:rsidRPr="00875049">
        <w:rPr>
          <w:rFonts w:ascii="Aptos" w:hAnsi="Aptos"/>
          <w:color w:val="auto"/>
          <w:sz w:val="20"/>
          <w:szCs w:val="20"/>
          <w:vertAlign w:val="superscript"/>
        </w:rPr>
        <w:footnoteReference w:id="41"/>
      </w:r>
    </w:p>
    <w:p w14:paraId="19EC397E" w14:textId="77777777" w:rsidR="00875049" w:rsidRPr="00875049" w:rsidRDefault="00875049" w:rsidP="00875049">
      <w:pPr>
        <w:jc w:val="both"/>
        <w:rPr>
          <w:rFonts w:ascii="Aptos" w:hAnsi="Aptos"/>
          <w:color w:val="auto"/>
          <w:sz w:val="20"/>
          <w:szCs w:val="20"/>
        </w:rPr>
      </w:pPr>
    </w:p>
    <w:p w14:paraId="5C19E0F5" w14:textId="188BD36D" w:rsidR="001D1277" w:rsidRDefault="001D1277" w:rsidP="00875049">
      <w:pPr>
        <w:jc w:val="both"/>
        <w:rPr>
          <w:rFonts w:ascii="Aptos" w:hAnsi="Aptos"/>
          <w:color w:val="auto"/>
          <w:sz w:val="20"/>
          <w:szCs w:val="20"/>
        </w:rPr>
      </w:pPr>
      <w:r w:rsidRPr="00875049">
        <w:rPr>
          <w:rFonts w:ascii="Aptos" w:hAnsi="Aptos"/>
          <w:b/>
          <w:bCs/>
          <w:color w:val="auto"/>
          <w:sz w:val="20"/>
          <w:szCs w:val="20"/>
        </w:rPr>
        <w:lastRenderedPageBreak/>
        <w:t xml:space="preserve">Model </w:t>
      </w:r>
      <w:r w:rsidR="00980F6F" w:rsidRPr="00875049">
        <w:rPr>
          <w:rFonts w:ascii="Aptos" w:hAnsi="Aptos"/>
          <w:b/>
          <w:bCs/>
          <w:color w:val="auto"/>
          <w:sz w:val="20"/>
          <w:szCs w:val="20"/>
        </w:rPr>
        <w:t>D</w:t>
      </w:r>
      <w:r w:rsidRPr="00875049">
        <w:rPr>
          <w:rFonts w:ascii="Aptos" w:hAnsi="Aptos"/>
          <w:b/>
          <w:bCs/>
          <w:color w:val="auto"/>
          <w:sz w:val="20"/>
          <w:szCs w:val="20"/>
        </w:rPr>
        <w:t>ocumentation</w:t>
      </w:r>
      <w:r w:rsidR="00980F6F" w:rsidRPr="00875049">
        <w:rPr>
          <w:rFonts w:ascii="Aptos" w:hAnsi="Aptos"/>
          <w:color w:val="auto"/>
          <w:sz w:val="20"/>
          <w:szCs w:val="20"/>
        </w:rPr>
        <w:t>: T</w:t>
      </w:r>
      <w:r w:rsidRPr="00875049">
        <w:rPr>
          <w:rFonts w:ascii="Aptos" w:hAnsi="Aptos"/>
          <w:color w:val="auto"/>
          <w:sz w:val="20"/>
          <w:szCs w:val="20"/>
        </w:rPr>
        <w:t>he formal (official, approved) collection of documents and data that provides detailed explanation of the rationale, assumptions, derivations, tests</w:t>
      </w:r>
      <w:r w:rsidR="00980F6F" w:rsidRPr="00875049">
        <w:rPr>
          <w:rFonts w:ascii="Aptos" w:hAnsi="Aptos"/>
          <w:color w:val="auto"/>
          <w:sz w:val="20"/>
          <w:szCs w:val="20"/>
        </w:rPr>
        <w:t>,</w:t>
      </w:r>
      <w:r w:rsidRPr="00875049">
        <w:rPr>
          <w:rFonts w:ascii="Aptos" w:hAnsi="Aptos"/>
          <w:color w:val="auto"/>
          <w:sz w:val="20"/>
          <w:szCs w:val="20"/>
        </w:rPr>
        <w:t xml:space="preserve"> and other analyses that support the use of a model for a given purpose.</w:t>
      </w:r>
      <w:r w:rsidRPr="00875049">
        <w:rPr>
          <w:rFonts w:ascii="Aptos" w:hAnsi="Aptos"/>
          <w:color w:val="auto"/>
          <w:sz w:val="20"/>
          <w:szCs w:val="20"/>
          <w:vertAlign w:val="superscript"/>
        </w:rPr>
        <w:footnoteReference w:id="42"/>
      </w:r>
    </w:p>
    <w:p w14:paraId="6E4C5EA2" w14:textId="77777777" w:rsidR="00875049" w:rsidRPr="00875049" w:rsidRDefault="00875049" w:rsidP="00875049">
      <w:pPr>
        <w:jc w:val="both"/>
        <w:rPr>
          <w:rFonts w:ascii="Aptos" w:hAnsi="Aptos"/>
          <w:color w:val="auto"/>
          <w:sz w:val="20"/>
          <w:szCs w:val="20"/>
        </w:rPr>
      </w:pPr>
    </w:p>
    <w:p w14:paraId="67D7F76F" w14:textId="10A778DC" w:rsidR="001D1277" w:rsidRDefault="001D1277" w:rsidP="00875049">
      <w:pPr>
        <w:jc w:val="both"/>
        <w:rPr>
          <w:rFonts w:ascii="Aptos" w:hAnsi="Aptos"/>
          <w:color w:val="auto"/>
          <w:sz w:val="20"/>
          <w:szCs w:val="20"/>
        </w:rPr>
      </w:pPr>
      <w:r w:rsidRPr="00875049">
        <w:rPr>
          <w:rFonts w:ascii="Aptos" w:hAnsi="Aptos"/>
          <w:b/>
          <w:bCs/>
          <w:color w:val="auto"/>
          <w:sz w:val="20"/>
          <w:szCs w:val="20"/>
        </w:rPr>
        <w:t xml:space="preserve">Model </w:t>
      </w:r>
      <w:r w:rsidR="008D142D" w:rsidRPr="00875049">
        <w:rPr>
          <w:rFonts w:ascii="Aptos" w:hAnsi="Aptos"/>
          <w:b/>
          <w:bCs/>
          <w:color w:val="auto"/>
          <w:sz w:val="20"/>
          <w:szCs w:val="20"/>
        </w:rPr>
        <w:t>G</w:t>
      </w:r>
      <w:r w:rsidRPr="00875049">
        <w:rPr>
          <w:rFonts w:ascii="Aptos" w:hAnsi="Aptos"/>
          <w:b/>
          <w:bCs/>
          <w:color w:val="auto"/>
          <w:sz w:val="20"/>
          <w:szCs w:val="20"/>
        </w:rPr>
        <w:t>overnance</w:t>
      </w:r>
      <w:r w:rsidR="00980F6F" w:rsidRPr="00875049">
        <w:rPr>
          <w:rFonts w:ascii="Aptos" w:hAnsi="Aptos"/>
          <w:color w:val="auto"/>
          <w:sz w:val="20"/>
          <w:szCs w:val="20"/>
        </w:rPr>
        <w:t xml:space="preserve">: </w:t>
      </w:r>
      <w:r w:rsidRPr="00875049">
        <w:rPr>
          <w:rFonts w:ascii="Aptos" w:hAnsi="Aptos"/>
          <w:color w:val="auto"/>
          <w:sz w:val="20"/>
          <w:szCs w:val="20"/>
        </w:rPr>
        <w:t>The end-to-end process by which organizations establish, implement</w:t>
      </w:r>
      <w:r w:rsidR="00980F6F" w:rsidRPr="00875049">
        <w:rPr>
          <w:rFonts w:ascii="Aptos" w:hAnsi="Aptos"/>
          <w:color w:val="auto"/>
          <w:sz w:val="20"/>
          <w:szCs w:val="20"/>
        </w:rPr>
        <w:t>,</w:t>
      </w:r>
      <w:r w:rsidRPr="00875049">
        <w:rPr>
          <w:rFonts w:ascii="Aptos" w:hAnsi="Aptos"/>
          <w:color w:val="auto"/>
          <w:sz w:val="20"/>
          <w:szCs w:val="20"/>
        </w:rPr>
        <w:t xml:space="preserve"> and maintain controls around the use of models</w:t>
      </w:r>
      <w:r w:rsidR="008D142D" w:rsidRPr="00875049">
        <w:rPr>
          <w:rFonts w:ascii="Aptos" w:hAnsi="Aptos"/>
          <w:color w:val="auto"/>
          <w:sz w:val="20"/>
          <w:szCs w:val="20"/>
        </w:rPr>
        <w:t xml:space="preserve">, including </w:t>
      </w:r>
      <w:r w:rsidRPr="00875049">
        <w:rPr>
          <w:rFonts w:ascii="Aptos" w:hAnsi="Aptos"/>
          <w:color w:val="auto"/>
          <w:sz w:val="20"/>
          <w:szCs w:val="20"/>
        </w:rPr>
        <w:t>everything from model documentation and version control to back-testing, model monitoring</w:t>
      </w:r>
      <w:r w:rsidR="008D142D" w:rsidRPr="00875049">
        <w:rPr>
          <w:rFonts w:ascii="Aptos" w:hAnsi="Aptos"/>
          <w:color w:val="auto"/>
          <w:sz w:val="20"/>
          <w:szCs w:val="20"/>
        </w:rPr>
        <w:t>,</w:t>
      </w:r>
      <w:r w:rsidRPr="00875049">
        <w:rPr>
          <w:rFonts w:ascii="Aptos" w:hAnsi="Aptos"/>
          <w:color w:val="auto"/>
          <w:sz w:val="20"/>
          <w:szCs w:val="20"/>
        </w:rPr>
        <w:t xml:space="preserve"> and observability</w:t>
      </w:r>
      <w:r w:rsidR="008D142D" w:rsidRPr="00875049">
        <w:rPr>
          <w:rFonts w:ascii="Aptos" w:hAnsi="Aptos"/>
          <w:color w:val="auto"/>
          <w:sz w:val="20"/>
          <w:szCs w:val="20"/>
        </w:rPr>
        <w:t>.</w:t>
      </w:r>
      <w:r w:rsidRPr="00875049">
        <w:rPr>
          <w:rFonts w:ascii="Aptos" w:hAnsi="Aptos"/>
          <w:color w:val="auto"/>
          <w:sz w:val="20"/>
          <w:szCs w:val="20"/>
          <w:vertAlign w:val="superscript"/>
        </w:rPr>
        <w:footnoteReference w:id="43"/>
      </w:r>
    </w:p>
    <w:p w14:paraId="1C40721E" w14:textId="77777777" w:rsidR="00875049" w:rsidRPr="00875049" w:rsidRDefault="00875049" w:rsidP="00875049">
      <w:pPr>
        <w:jc w:val="both"/>
        <w:rPr>
          <w:rFonts w:ascii="Aptos" w:hAnsi="Aptos"/>
          <w:color w:val="auto"/>
          <w:sz w:val="20"/>
          <w:szCs w:val="20"/>
        </w:rPr>
      </w:pPr>
    </w:p>
    <w:p w14:paraId="633C54C2" w14:textId="02734B20" w:rsidR="001D1277" w:rsidRDefault="001D1277" w:rsidP="00875049">
      <w:pPr>
        <w:jc w:val="both"/>
        <w:rPr>
          <w:rFonts w:ascii="Aptos" w:hAnsi="Aptos"/>
          <w:color w:val="auto"/>
          <w:sz w:val="20"/>
          <w:szCs w:val="20"/>
        </w:rPr>
      </w:pPr>
      <w:r w:rsidRPr="00875049">
        <w:rPr>
          <w:rFonts w:ascii="Aptos" w:hAnsi="Aptos"/>
          <w:b/>
          <w:bCs/>
          <w:color w:val="auto"/>
          <w:sz w:val="20"/>
          <w:szCs w:val="20"/>
        </w:rPr>
        <w:t xml:space="preserve">Model </w:t>
      </w:r>
      <w:r w:rsidR="008D142D" w:rsidRPr="00875049">
        <w:rPr>
          <w:rFonts w:ascii="Aptos" w:hAnsi="Aptos"/>
          <w:b/>
          <w:bCs/>
          <w:color w:val="auto"/>
          <w:sz w:val="20"/>
          <w:szCs w:val="20"/>
        </w:rPr>
        <w:t>I</w:t>
      </w:r>
      <w:r w:rsidRPr="00875049">
        <w:rPr>
          <w:rFonts w:ascii="Aptos" w:hAnsi="Aptos"/>
          <w:b/>
          <w:bCs/>
          <w:color w:val="auto"/>
          <w:sz w:val="20"/>
          <w:szCs w:val="20"/>
        </w:rPr>
        <w:t>ntegrity</w:t>
      </w:r>
      <w:r w:rsidR="008D142D" w:rsidRPr="00875049">
        <w:rPr>
          <w:rFonts w:ascii="Aptos" w:hAnsi="Aptos"/>
          <w:color w:val="auto"/>
          <w:sz w:val="20"/>
          <w:szCs w:val="20"/>
        </w:rPr>
        <w:t xml:space="preserve">: </w:t>
      </w:r>
      <w:r w:rsidRPr="00875049">
        <w:rPr>
          <w:rFonts w:ascii="Aptos" w:hAnsi="Aptos"/>
          <w:color w:val="auto"/>
          <w:sz w:val="20"/>
          <w:szCs w:val="20"/>
        </w:rPr>
        <w:t>The process of protecting a model against improper information modification or destruction and ensuring information non-repudiation and authenticity.</w:t>
      </w:r>
      <w:r w:rsidRPr="00875049">
        <w:rPr>
          <w:rFonts w:ascii="Aptos" w:hAnsi="Aptos"/>
          <w:color w:val="auto"/>
          <w:sz w:val="20"/>
          <w:szCs w:val="20"/>
          <w:vertAlign w:val="superscript"/>
        </w:rPr>
        <w:footnoteReference w:id="44"/>
      </w:r>
    </w:p>
    <w:p w14:paraId="4E089D5E" w14:textId="77777777" w:rsidR="00875049" w:rsidRPr="00875049" w:rsidRDefault="00875049" w:rsidP="00875049">
      <w:pPr>
        <w:jc w:val="both"/>
        <w:rPr>
          <w:rFonts w:ascii="Aptos" w:hAnsi="Aptos"/>
          <w:color w:val="auto"/>
          <w:sz w:val="20"/>
          <w:szCs w:val="20"/>
        </w:rPr>
      </w:pPr>
    </w:p>
    <w:p w14:paraId="1C8C84D9" w14:textId="600B6DFC" w:rsidR="001D1277" w:rsidRPr="00875049" w:rsidRDefault="001D1277" w:rsidP="00875049">
      <w:pPr>
        <w:jc w:val="both"/>
        <w:rPr>
          <w:rFonts w:ascii="Aptos" w:hAnsi="Aptos"/>
          <w:color w:val="auto"/>
          <w:sz w:val="20"/>
          <w:szCs w:val="20"/>
        </w:rPr>
      </w:pPr>
      <w:r w:rsidRPr="00875049">
        <w:rPr>
          <w:rFonts w:ascii="Aptos" w:hAnsi="Aptos"/>
          <w:b/>
          <w:bCs/>
          <w:color w:val="auto"/>
          <w:sz w:val="20"/>
          <w:szCs w:val="20"/>
        </w:rPr>
        <w:t xml:space="preserve">Model </w:t>
      </w:r>
      <w:r w:rsidR="008D142D" w:rsidRPr="00875049">
        <w:rPr>
          <w:rFonts w:ascii="Aptos" w:hAnsi="Aptos"/>
          <w:b/>
          <w:bCs/>
          <w:color w:val="auto"/>
          <w:sz w:val="20"/>
          <w:szCs w:val="20"/>
        </w:rPr>
        <w:t>I</w:t>
      </w:r>
      <w:r w:rsidRPr="00875049">
        <w:rPr>
          <w:rFonts w:ascii="Aptos" w:hAnsi="Aptos"/>
          <w:b/>
          <w:bCs/>
          <w:color w:val="auto"/>
          <w:sz w:val="20"/>
          <w:szCs w:val="20"/>
        </w:rPr>
        <w:t>nventory</w:t>
      </w:r>
      <w:r w:rsidR="008D142D" w:rsidRPr="00875049">
        <w:rPr>
          <w:rFonts w:ascii="Aptos" w:hAnsi="Aptos"/>
          <w:color w:val="auto"/>
          <w:sz w:val="20"/>
          <w:szCs w:val="20"/>
        </w:rPr>
        <w:t xml:space="preserve">: </w:t>
      </w:r>
      <w:r w:rsidRPr="00875049">
        <w:rPr>
          <w:rFonts w:ascii="Aptos" w:hAnsi="Aptos"/>
          <w:color w:val="auto"/>
          <w:sz w:val="20"/>
          <w:szCs w:val="20"/>
        </w:rPr>
        <w:t>A listing of each model</w:t>
      </w:r>
      <w:r w:rsidR="008D142D" w:rsidRPr="00875049">
        <w:rPr>
          <w:rFonts w:ascii="Aptos" w:hAnsi="Aptos"/>
          <w:color w:val="auto"/>
          <w:sz w:val="20"/>
          <w:szCs w:val="20"/>
        </w:rPr>
        <w:t>,</w:t>
      </w:r>
      <w:r w:rsidRPr="00875049">
        <w:rPr>
          <w:rFonts w:ascii="Aptos" w:hAnsi="Aptos"/>
          <w:color w:val="auto"/>
          <w:sz w:val="20"/>
          <w:szCs w:val="20"/>
        </w:rPr>
        <w:t xml:space="preserve"> including identification and location information.</w:t>
      </w:r>
      <w:r w:rsidRPr="00875049">
        <w:rPr>
          <w:rFonts w:ascii="Aptos" w:hAnsi="Aptos"/>
          <w:color w:val="auto"/>
          <w:sz w:val="20"/>
          <w:szCs w:val="20"/>
          <w:vertAlign w:val="superscript"/>
        </w:rPr>
        <w:footnoteReference w:id="45"/>
      </w:r>
    </w:p>
    <w:p w14:paraId="57D0DF83" w14:textId="5B209BB6" w:rsidR="001D1277" w:rsidRDefault="001D1277" w:rsidP="00875049">
      <w:pPr>
        <w:jc w:val="both"/>
        <w:rPr>
          <w:rFonts w:ascii="Aptos" w:hAnsi="Aptos"/>
          <w:color w:val="auto"/>
          <w:sz w:val="20"/>
          <w:szCs w:val="20"/>
        </w:rPr>
      </w:pPr>
      <w:r w:rsidRPr="00875049">
        <w:rPr>
          <w:rFonts w:ascii="Aptos" w:hAnsi="Aptos"/>
          <w:b/>
          <w:bCs/>
          <w:color w:val="auto"/>
          <w:sz w:val="20"/>
          <w:szCs w:val="20"/>
        </w:rPr>
        <w:t xml:space="preserve">Model </w:t>
      </w:r>
      <w:r w:rsidR="00B4763D" w:rsidRPr="00875049">
        <w:rPr>
          <w:rFonts w:ascii="Aptos" w:hAnsi="Aptos"/>
          <w:b/>
          <w:bCs/>
          <w:color w:val="auto"/>
          <w:sz w:val="20"/>
          <w:szCs w:val="20"/>
        </w:rPr>
        <w:t>V</w:t>
      </w:r>
      <w:r w:rsidRPr="00875049">
        <w:rPr>
          <w:rFonts w:ascii="Aptos" w:hAnsi="Aptos"/>
          <w:b/>
          <w:bCs/>
          <w:color w:val="auto"/>
          <w:sz w:val="20"/>
          <w:szCs w:val="20"/>
        </w:rPr>
        <w:t>alidation</w:t>
      </w:r>
      <w:r w:rsidR="00B4763D" w:rsidRPr="00875049">
        <w:rPr>
          <w:rFonts w:ascii="Aptos" w:hAnsi="Aptos"/>
          <w:color w:val="auto"/>
          <w:sz w:val="20"/>
          <w:szCs w:val="20"/>
        </w:rPr>
        <w:t>: T</w:t>
      </w:r>
      <w:r w:rsidRPr="00875049">
        <w:rPr>
          <w:rFonts w:ascii="Aptos" w:hAnsi="Aptos"/>
          <w:color w:val="auto"/>
          <w:sz w:val="20"/>
          <w:szCs w:val="20"/>
        </w:rPr>
        <w:t>he set of processes and activities intended to verify that models are performing as expected, in line with design objectives and business uses.</w:t>
      </w:r>
      <w:r w:rsidRPr="00875049">
        <w:rPr>
          <w:rFonts w:ascii="Aptos" w:hAnsi="Aptos"/>
          <w:color w:val="auto"/>
          <w:sz w:val="20"/>
          <w:szCs w:val="20"/>
          <w:vertAlign w:val="superscript"/>
        </w:rPr>
        <w:footnoteReference w:id="46"/>
      </w:r>
    </w:p>
    <w:p w14:paraId="3A802CC9" w14:textId="77777777" w:rsidR="00875049" w:rsidRPr="00875049" w:rsidRDefault="00875049" w:rsidP="00875049">
      <w:pPr>
        <w:jc w:val="both"/>
        <w:rPr>
          <w:rFonts w:ascii="Aptos" w:hAnsi="Aptos"/>
          <w:color w:val="auto"/>
          <w:sz w:val="20"/>
          <w:szCs w:val="20"/>
        </w:rPr>
      </w:pPr>
    </w:p>
    <w:p w14:paraId="52F31AEE" w14:textId="6D1E0955" w:rsidR="001D1277" w:rsidRDefault="001D1277" w:rsidP="00875049">
      <w:pPr>
        <w:jc w:val="both"/>
        <w:rPr>
          <w:rFonts w:ascii="Aptos" w:hAnsi="Aptos"/>
          <w:color w:val="auto"/>
          <w:sz w:val="20"/>
          <w:szCs w:val="20"/>
        </w:rPr>
      </w:pPr>
      <w:r w:rsidRPr="00875049">
        <w:rPr>
          <w:rFonts w:ascii="Aptos" w:hAnsi="Aptos"/>
          <w:b/>
          <w:bCs/>
          <w:color w:val="auto"/>
          <w:sz w:val="20"/>
          <w:szCs w:val="20"/>
        </w:rPr>
        <w:t xml:space="preserve">Natural </w:t>
      </w:r>
      <w:r w:rsidR="00F27D98" w:rsidRPr="00875049">
        <w:rPr>
          <w:rFonts w:ascii="Aptos" w:hAnsi="Aptos"/>
          <w:b/>
          <w:bCs/>
          <w:color w:val="auto"/>
          <w:sz w:val="20"/>
          <w:szCs w:val="20"/>
        </w:rPr>
        <w:t>L</w:t>
      </w:r>
      <w:r w:rsidRPr="00875049">
        <w:rPr>
          <w:rFonts w:ascii="Aptos" w:hAnsi="Aptos"/>
          <w:b/>
          <w:bCs/>
          <w:color w:val="auto"/>
          <w:sz w:val="20"/>
          <w:szCs w:val="20"/>
        </w:rPr>
        <w:t xml:space="preserve">anguage </w:t>
      </w:r>
      <w:r w:rsidR="00F27D98" w:rsidRPr="00875049">
        <w:rPr>
          <w:rFonts w:ascii="Aptos" w:hAnsi="Aptos"/>
          <w:b/>
          <w:bCs/>
          <w:color w:val="auto"/>
          <w:sz w:val="20"/>
          <w:szCs w:val="20"/>
        </w:rPr>
        <w:t>P</w:t>
      </w:r>
      <w:r w:rsidRPr="00875049">
        <w:rPr>
          <w:rFonts w:ascii="Aptos" w:hAnsi="Aptos"/>
          <w:b/>
          <w:bCs/>
          <w:color w:val="auto"/>
          <w:sz w:val="20"/>
          <w:szCs w:val="20"/>
        </w:rPr>
        <w:t>rocessing</w:t>
      </w:r>
      <w:r w:rsidR="007F6116" w:rsidRPr="00875049">
        <w:rPr>
          <w:rFonts w:ascii="Aptos" w:hAnsi="Aptos"/>
          <w:color w:val="auto"/>
          <w:sz w:val="20"/>
          <w:szCs w:val="20"/>
        </w:rPr>
        <w:t xml:space="preserve">: </w:t>
      </w:r>
      <w:r w:rsidRPr="00875049">
        <w:rPr>
          <w:rFonts w:ascii="Aptos" w:hAnsi="Aptos"/>
          <w:color w:val="auto"/>
          <w:sz w:val="20"/>
          <w:szCs w:val="20"/>
        </w:rPr>
        <w:t>The analysis, interpretation, and response to human language inputs</w:t>
      </w:r>
      <w:r w:rsidR="007F6116" w:rsidRPr="00875049">
        <w:rPr>
          <w:rFonts w:ascii="Aptos" w:hAnsi="Aptos"/>
          <w:color w:val="auto"/>
          <w:sz w:val="20"/>
          <w:szCs w:val="20"/>
        </w:rPr>
        <w:t>; u</w:t>
      </w:r>
      <w:r w:rsidRPr="00875049">
        <w:rPr>
          <w:rFonts w:ascii="Aptos" w:hAnsi="Aptos"/>
          <w:color w:val="auto"/>
          <w:sz w:val="20"/>
          <w:szCs w:val="20"/>
        </w:rPr>
        <w:t>s</w:t>
      </w:r>
      <w:r w:rsidR="007F6116" w:rsidRPr="00875049">
        <w:rPr>
          <w:rFonts w:ascii="Aptos" w:hAnsi="Aptos"/>
          <w:color w:val="auto"/>
          <w:sz w:val="20"/>
          <w:szCs w:val="20"/>
        </w:rPr>
        <w:t>ing</w:t>
      </w:r>
      <w:r w:rsidRPr="00875049">
        <w:rPr>
          <w:rFonts w:ascii="Aptos" w:hAnsi="Aptos"/>
          <w:color w:val="auto"/>
          <w:sz w:val="20"/>
          <w:szCs w:val="20"/>
        </w:rPr>
        <w:t xml:space="preserve"> normal speech and writing patterns to communicate with computer systems instead of relying on programmed or pre-set responses.</w:t>
      </w:r>
      <w:r w:rsidRPr="00875049">
        <w:rPr>
          <w:rFonts w:ascii="Aptos" w:hAnsi="Aptos"/>
          <w:color w:val="auto"/>
          <w:sz w:val="20"/>
          <w:szCs w:val="20"/>
          <w:vertAlign w:val="superscript"/>
        </w:rPr>
        <w:footnoteReference w:id="47"/>
      </w:r>
    </w:p>
    <w:p w14:paraId="3C59BD5F" w14:textId="77777777" w:rsidR="00875049" w:rsidRPr="00875049" w:rsidRDefault="00875049" w:rsidP="00875049">
      <w:pPr>
        <w:jc w:val="both"/>
        <w:rPr>
          <w:rFonts w:ascii="Aptos" w:hAnsi="Aptos"/>
          <w:color w:val="auto"/>
          <w:sz w:val="20"/>
          <w:szCs w:val="20"/>
        </w:rPr>
      </w:pPr>
    </w:p>
    <w:p w14:paraId="3316917B" w14:textId="175C1481" w:rsidR="001D1277" w:rsidRDefault="001D1277" w:rsidP="00875049">
      <w:pPr>
        <w:jc w:val="both"/>
        <w:rPr>
          <w:rFonts w:ascii="Aptos" w:hAnsi="Aptos"/>
          <w:color w:val="auto"/>
          <w:sz w:val="20"/>
          <w:szCs w:val="20"/>
        </w:rPr>
      </w:pPr>
      <w:r w:rsidRPr="00875049">
        <w:rPr>
          <w:rFonts w:ascii="Aptos" w:hAnsi="Aptos"/>
          <w:b/>
          <w:bCs/>
          <w:color w:val="auto"/>
          <w:sz w:val="20"/>
          <w:szCs w:val="20"/>
        </w:rPr>
        <w:t xml:space="preserve">Ongoing </w:t>
      </w:r>
      <w:r w:rsidR="00C934D2" w:rsidRPr="00875049">
        <w:rPr>
          <w:rFonts w:ascii="Aptos" w:hAnsi="Aptos"/>
          <w:b/>
          <w:bCs/>
          <w:color w:val="auto"/>
          <w:sz w:val="20"/>
          <w:szCs w:val="20"/>
        </w:rPr>
        <w:t>M</w:t>
      </w:r>
      <w:r w:rsidRPr="00875049">
        <w:rPr>
          <w:rFonts w:ascii="Aptos" w:hAnsi="Aptos"/>
          <w:b/>
          <w:bCs/>
          <w:color w:val="auto"/>
          <w:sz w:val="20"/>
          <w:szCs w:val="20"/>
        </w:rPr>
        <w:t>onitoring</w:t>
      </w:r>
      <w:r w:rsidR="00C934D2" w:rsidRPr="00875049">
        <w:rPr>
          <w:rFonts w:ascii="Aptos" w:hAnsi="Aptos"/>
          <w:b/>
          <w:bCs/>
          <w:color w:val="auto"/>
          <w:sz w:val="20"/>
          <w:szCs w:val="20"/>
        </w:rPr>
        <w:t xml:space="preserve">: </w:t>
      </w:r>
      <w:r w:rsidR="00C934D2" w:rsidRPr="00875049">
        <w:rPr>
          <w:rFonts w:ascii="Aptos" w:hAnsi="Aptos"/>
          <w:color w:val="auto"/>
          <w:sz w:val="20"/>
          <w:szCs w:val="20"/>
        </w:rPr>
        <w:t xml:space="preserve">A </w:t>
      </w:r>
      <w:r w:rsidRPr="00875049">
        <w:rPr>
          <w:rFonts w:ascii="Aptos" w:hAnsi="Aptos"/>
          <w:color w:val="auto"/>
          <w:sz w:val="20"/>
          <w:szCs w:val="20"/>
        </w:rPr>
        <w:t>core element of model validation</w:t>
      </w:r>
      <w:r w:rsidR="00294181" w:rsidRPr="00875049">
        <w:rPr>
          <w:rFonts w:ascii="Aptos" w:hAnsi="Aptos"/>
          <w:color w:val="auto"/>
          <w:sz w:val="20"/>
          <w:szCs w:val="20"/>
        </w:rPr>
        <w:t xml:space="preserve"> that confirms</w:t>
      </w:r>
      <w:r w:rsidRPr="00875049">
        <w:rPr>
          <w:rFonts w:ascii="Aptos" w:hAnsi="Aptos"/>
          <w:color w:val="auto"/>
          <w:sz w:val="20"/>
          <w:szCs w:val="20"/>
        </w:rPr>
        <w:t xml:space="preserve"> a model is appropriately implemented and is performing and being used as intended.</w:t>
      </w:r>
      <w:r w:rsidRPr="00875049">
        <w:rPr>
          <w:rFonts w:ascii="Aptos" w:hAnsi="Aptos"/>
          <w:color w:val="auto"/>
          <w:sz w:val="20"/>
          <w:szCs w:val="20"/>
          <w:vertAlign w:val="superscript"/>
        </w:rPr>
        <w:footnoteReference w:id="48"/>
      </w:r>
    </w:p>
    <w:p w14:paraId="1FBDAB29" w14:textId="77777777" w:rsidR="00875049" w:rsidRPr="00875049" w:rsidRDefault="00875049" w:rsidP="00875049">
      <w:pPr>
        <w:jc w:val="both"/>
        <w:rPr>
          <w:rFonts w:ascii="Aptos" w:hAnsi="Aptos"/>
          <w:color w:val="auto"/>
          <w:sz w:val="20"/>
          <w:szCs w:val="20"/>
        </w:rPr>
      </w:pPr>
    </w:p>
    <w:p w14:paraId="03D7F048" w14:textId="0E940295" w:rsidR="001D1277" w:rsidRDefault="001D1277" w:rsidP="00875049">
      <w:pPr>
        <w:jc w:val="both"/>
        <w:rPr>
          <w:rFonts w:ascii="Aptos" w:hAnsi="Aptos"/>
          <w:color w:val="auto"/>
          <w:sz w:val="20"/>
          <w:szCs w:val="20"/>
        </w:rPr>
      </w:pPr>
      <w:r w:rsidRPr="00875049">
        <w:rPr>
          <w:rFonts w:ascii="Aptos" w:hAnsi="Aptos"/>
          <w:b/>
          <w:bCs/>
          <w:color w:val="auto"/>
          <w:sz w:val="20"/>
          <w:szCs w:val="20"/>
        </w:rPr>
        <w:t xml:space="preserve">Output </w:t>
      </w:r>
      <w:r w:rsidR="00294181" w:rsidRPr="00875049">
        <w:rPr>
          <w:rFonts w:ascii="Aptos" w:hAnsi="Aptos"/>
          <w:b/>
          <w:bCs/>
          <w:color w:val="auto"/>
          <w:sz w:val="20"/>
          <w:szCs w:val="20"/>
        </w:rPr>
        <w:t>V</w:t>
      </w:r>
      <w:r w:rsidRPr="00875049">
        <w:rPr>
          <w:rFonts w:ascii="Aptos" w:hAnsi="Aptos"/>
          <w:b/>
          <w:bCs/>
          <w:color w:val="auto"/>
          <w:sz w:val="20"/>
          <w:szCs w:val="20"/>
        </w:rPr>
        <w:t>alidation</w:t>
      </w:r>
      <w:r w:rsidR="00294181" w:rsidRPr="00875049">
        <w:rPr>
          <w:rFonts w:ascii="Aptos" w:hAnsi="Aptos"/>
          <w:color w:val="auto"/>
          <w:sz w:val="20"/>
          <w:szCs w:val="20"/>
        </w:rPr>
        <w:t xml:space="preserve">: </w:t>
      </w:r>
      <w:r w:rsidR="00C16B24" w:rsidRPr="00875049">
        <w:rPr>
          <w:rFonts w:ascii="Aptos" w:hAnsi="Aptos"/>
          <w:color w:val="auto"/>
          <w:sz w:val="20"/>
          <w:szCs w:val="20"/>
        </w:rPr>
        <w:t>A s</w:t>
      </w:r>
      <w:r w:rsidRPr="00875049">
        <w:rPr>
          <w:rFonts w:ascii="Aptos" w:hAnsi="Aptos"/>
          <w:color w:val="auto"/>
          <w:sz w:val="20"/>
          <w:szCs w:val="20"/>
        </w:rPr>
        <w:t xml:space="preserve">ystematic process of verifying and confirming that </w:t>
      </w:r>
      <w:r w:rsidR="00294181" w:rsidRPr="00875049">
        <w:rPr>
          <w:rFonts w:ascii="Aptos" w:hAnsi="Aptos"/>
          <w:color w:val="auto"/>
          <w:sz w:val="20"/>
          <w:szCs w:val="20"/>
        </w:rPr>
        <w:t>AI</w:t>
      </w:r>
      <w:r w:rsidRPr="00875049">
        <w:rPr>
          <w:rFonts w:ascii="Aptos" w:hAnsi="Aptos"/>
          <w:color w:val="auto"/>
          <w:sz w:val="20"/>
          <w:szCs w:val="20"/>
        </w:rPr>
        <w:t xml:space="preserve"> system outputs meet specified requirements, accuracy standards, and quality criteria before being used for downstream processes.</w:t>
      </w:r>
      <w:r w:rsidRPr="00875049">
        <w:rPr>
          <w:rFonts w:ascii="Aptos" w:hAnsi="Aptos"/>
          <w:color w:val="auto"/>
          <w:sz w:val="20"/>
          <w:szCs w:val="20"/>
          <w:vertAlign w:val="superscript"/>
        </w:rPr>
        <w:footnoteReference w:id="49"/>
      </w:r>
    </w:p>
    <w:p w14:paraId="49F65217" w14:textId="77777777" w:rsidR="00875049" w:rsidRPr="00875049" w:rsidRDefault="00875049" w:rsidP="00875049">
      <w:pPr>
        <w:jc w:val="both"/>
        <w:rPr>
          <w:rFonts w:ascii="Aptos" w:hAnsi="Aptos"/>
          <w:color w:val="auto"/>
          <w:sz w:val="20"/>
          <w:szCs w:val="20"/>
        </w:rPr>
      </w:pPr>
    </w:p>
    <w:p w14:paraId="70614CBC" w14:textId="37EE7F48" w:rsidR="001D1277" w:rsidRDefault="001D1277" w:rsidP="00875049">
      <w:pPr>
        <w:jc w:val="both"/>
        <w:rPr>
          <w:rFonts w:ascii="Aptos" w:hAnsi="Aptos"/>
          <w:color w:val="auto"/>
          <w:sz w:val="20"/>
          <w:szCs w:val="20"/>
        </w:rPr>
      </w:pPr>
      <w:r w:rsidRPr="00875049">
        <w:rPr>
          <w:rFonts w:ascii="Aptos" w:hAnsi="Aptos"/>
          <w:b/>
          <w:bCs/>
          <w:color w:val="auto"/>
          <w:sz w:val="20"/>
          <w:szCs w:val="20"/>
        </w:rPr>
        <w:t xml:space="preserve">Performance </w:t>
      </w:r>
      <w:r w:rsidR="00C16B24" w:rsidRPr="00875049">
        <w:rPr>
          <w:rFonts w:ascii="Aptos" w:hAnsi="Aptos"/>
          <w:b/>
          <w:bCs/>
          <w:color w:val="auto"/>
          <w:sz w:val="20"/>
          <w:szCs w:val="20"/>
        </w:rPr>
        <w:t>M</w:t>
      </w:r>
      <w:r w:rsidRPr="00875049">
        <w:rPr>
          <w:rFonts w:ascii="Aptos" w:hAnsi="Aptos"/>
          <w:b/>
          <w:bCs/>
          <w:color w:val="auto"/>
          <w:sz w:val="20"/>
          <w:szCs w:val="20"/>
        </w:rPr>
        <w:t>onitoring</w:t>
      </w:r>
      <w:r w:rsidR="00C16B24" w:rsidRPr="00875049">
        <w:rPr>
          <w:rFonts w:ascii="Aptos" w:hAnsi="Aptos"/>
          <w:color w:val="auto"/>
          <w:sz w:val="20"/>
          <w:szCs w:val="20"/>
        </w:rPr>
        <w:t>: A s</w:t>
      </w:r>
      <w:r w:rsidRPr="00875049">
        <w:rPr>
          <w:rFonts w:ascii="Aptos" w:hAnsi="Aptos"/>
          <w:color w:val="auto"/>
          <w:sz w:val="20"/>
          <w:szCs w:val="20"/>
        </w:rPr>
        <w:t xml:space="preserve">ystematic and continuous process of measuring, analyzing, and tracking </w:t>
      </w:r>
      <w:r w:rsidR="00C16B24" w:rsidRPr="00875049">
        <w:rPr>
          <w:rFonts w:ascii="Aptos" w:hAnsi="Aptos"/>
          <w:color w:val="auto"/>
          <w:sz w:val="20"/>
          <w:szCs w:val="20"/>
        </w:rPr>
        <w:t>AI</w:t>
      </w:r>
      <w:r w:rsidRPr="00875049">
        <w:rPr>
          <w:rFonts w:ascii="Aptos" w:hAnsi="Aptos"/>
          <w:color w:val="auto"/>
          <w:sz w:val="20"/>
          <w:szCs w:val="20"/>
        </w:rPr>
        <w:t xml:space="preserve"> systems’ operational effectiveness and compliance throughout their deployment lifecycle.</w:t>
      </w:r>
      <w:r w:rsidRPr="00875049">
        <w:rPr>
          <w:rFonts w:ascii="Aptos" w:hAnsi="Aptos"/>
          <w:color w:val="auto"/>
          <w:sz w:val="20"/>
          <w:szCs w:val="20"/>
          <w:vertAlign w:val="superscript"/>
        </w:rPr>
        <w:footnoteReference w:id="50"/>
      </w:r>
      <w:r w:rsidRPr="00875049">
        <w:rPr>
          <w:rFonts w:ascii="Aptos" w:hAnsi="Aptos"/>
          <w:color w:val="auto"/>
          <w:sz w:val="20"/>
          <w:szCs w:val="20"/>
        </w:rPr>
        <w:t xml:space="preserve"> </w:t>
      </w:r>
    </w:p>
    <w:p w14:paraId="7785BED5" w14:textId="77777777" w:rsidR="00875049" w:rsidRPr="00875049" w:rsidRDefault="00875049" w:rsidP="00875049">
      <w:pPr>
        <w:jc w:val="both"/>
        <w:rPr>
          <w:rFonts w:ascii="Aptos" w:hAnsi="Aptos"/>
          <w:color w:val="auto"/>
          <w:sz w:val="20"/>
          <w:szCs w:val="20"/>
        </w:rPr>
      </w:pPr>
    </w:p>
    <w:p w14:paraId="5FC9C906" w14:textId="731FEEB9" w:rsidR="001D1277" w:rsidRDefault="001D1277" w:rsidP="00875049">
      <w:pPr>
        <w:jc w:val="both"/>
        <w:rPr>
          <w:rFonts w:ascii="Aptos" w:hAnsi="Aptos"/>
          <w:color w:val="auto"/>
          <w:sz w:val="20"/>
          <w:szCs w:val="20"/>
        </w:rPr>
      </w:pPr>
      <w:r w:rsidRPr="00875049">
        <w:rPr>
          <w:rFonts w:ascii="Aptos" w:hAnsi="Aptos"/>
          <w:b/>
          <w:bCs/>
          <w:color w:val="auto"/>
          <w:sz w:val="20"/>
          <w:szCs w:val="20"/>
        </w:rPr>
        <w:t xml:space="preserve">Performance </w:t>
      </w:r>
      <w:r w:rsidR="00435B4A" w:rsidRPr="00875049">
        <w:rPr>
          <w:rFonts w:ascii="Aptos" w:hAnsi="Aptos"/>
          <w:b/>
          <w:bCs/>
          <w:color w:val="auto"/>
          <w:sz w:val="20"/>
          <w:szCs w:val="20"/>
        </w:rPr>
        <w:t>T</w:t>
      </w:r>
      <w:r w:rsidRPr="00875049">
        <w:rPr>
          <w:rFonts w:ascii="Aptos" w:hAnsi="Aptos"/>
          <w:b/>
          <w:bCs/>
          <w:color w:val="auto"/>
          <w:sz w:val="20"/>
          <w:szCs w:val="20"/>
        </w:rPr>
        <w:t>hreshold</w:t>
      </w:r>
      <w:r w:rsidR="00435B4A" w:rsidRPr="00875049">
        <w:rPr>
          <w:rFonts w:ascii="Aptos" w:hAnsi="Aptos"/>
          <w:color w:val="auto"/>
          <w:sz w:val="20"/>
          <w:szCs w:val="20"/>
        </w:rPr>
        <w:t xml:space="preserve">: </w:t>
      </w:r>
      <w:r w:rsidRPr="00875049">
        <w:rPr>
          <w:rFonts w:ascii="Aptos" w:hAnsi="Aptos"/>
          <w:color w:val="auto"/>
          <w:sz w:val="20"/>
          <w:szCs w:val="20"/>
        </w:rPr>
        <w:t>A particular value or range of values of a performance measure or diagnostic that determines the acceptance or rejection of a</w:t>
      </w:r>
      <w:r w:rsidR="00435B4A" w:rsidRPr="00875049">
        <w:rPr>
          <w:rFonts w:ascii="Aptos" w:hAnsi="Aptos"/>
          <w:color w:val="auto"/>
          <w:sz w:val="20"/>
          <w:szCs w:val="20"/>
        </w:rPr>
        <w:t>n AI</w:t>
      </w:r>
      <w:r w:rsidRPr="00875049">
        <w:rPr>
          <w:rFonts w:ascii="Aptos" w:hAnsi="Aptos"/>
          <w:color w:val="auto"/>
          <w:sz w:val="20"/>
          <w:szCs w:val="20"/>
        </w:rPr>
        <w:t xml:space="preserve"> model’s performance.</w:t>
      </w:r>
      <w:r w:rsidRPr="00875049">
        <w:rPr>
          <w:rFonts w:ascii="Aptos" w:hAnsi="Aptos"/>
          <w:color w:val="auto"/>
          <w:sz w:val="20"/>
          <w:szCs w:val="20"/>
          <w:vertAlign w:val="superscript"/>
        </w:rPr>
        <w:footnoteReference w:id="51"/>
      </w:r>
    </w:p>
    <w:p w14:paraId="79E7122B" w14:textId="77777777" w:rsidR="00875049" w:rsidRPr="00875049" w:rsidRDefault="00875049" w:rsidP="00875049">
      <w:pPr>
        <w:jc w:val="both"/>
        <w:rPr>
          <w:rFonts w:ascii="Aptos" w:hAnsi="Aptos"/>
          <w:color w:val="auto"/>
          <w:sz w:val="20"/>
          <w:szCs w:val="20"/>
        </w:rPr>
      </w:pPr>
    </w:p>
    <w:p w14:paraId="0EE52B4E" w14:textId="38D6D31A" w:rsidR="001D1277" w:rsidRDefault="001D1277" w:rsidP="00875049">
      <w:pPr>
        <w:jc w:val="both"/>
        <w:rPr>
          <w:rFonts w:ascii="Aptos" w:hAnsi="Aptos"/>
          <w:color w:val="auto"/>
          <w:sz w:val="20"/>
          <w:szCs w:val="20"/>
        </w:rPr>
      </w:pPr>
      <w:r w:rsidRPr="00875049">
        <w:rPr>
          <w:rFonts w:ascii="Aptos" w:hAnsi="Aptos"/>
          <w:b/>
          <w:bCs/>
          <w:color w:val="auto"/>
          <w:sz w:val="20"/>
          <w:szCs w:val="20"/>
        </w:rPr>
        <w:t>Prompt</w:t>
      </w:r>
      <w:r w:rsidR="00C35ED6" w:rsidRPr="00875049">
        <w:rPr>
          <w:rFonts w:ascii="Aptos" w:hAnsi="Aptos"/>
          <w:b/>
          <w:bCs/>
          <w:color w:val="auto"/>
          <w:sz w:val="20"/>
          <w:szCs w:val="20"/>
        </w:rPr>
        <w:t xml:space="preserve">: </w:t>
      </w:r>
      <w:r w:rsidRPr="00875049">
        <w:rPr>
          <w:rFonts w:ascii="Aptos" w:hAnsi="Aptos"/>
          <w:color w:val="auto"/>
          <w:sz w:val="20"/>
          <w:szCs w:val="20"/>
        </w:rPr>
        <w:t>Natural language text describing the task that an AI should perform.</w:t>
      </w:r>
      <w:r w:rsidRPr="00875049">
        <w:rPr>
          <w:rFonts w:ascii="Aptos" w:hAnsi="Aptos"/>
          <w:color w:val="auto"/>
          <w:sz w:val="20"/>
          <w:szCs w:val="20"/>
          <w:vertAlign w:val="superscript"/>
        </w:rPr>
        <w:footnoteReference w:id="52"/>
      </w:r>
    </w:p>
    <w:p w14:paraId="11ADF456" w14:textId="77777777" w:rsidR="00875049" w:rsidRPr="00875049" w:rsidRDefault="00875049" w:rsidP="00875049">
      <w:pPr>
        <w:jc w:val="both"/>
        <w:rPr>
          <w:rFonts w:ascii="Aptos" w:hAnsi="Aptos"/>
          <w:color w:val="auto"/>
          <w:sz w:val="20"/>
          <w:szCs w:val="20"/>
        </w:rPr>
      </w:pPr>
    </w:p>
    <w:p w14:paraId="08BB0331" w14:textId="41F1B9B0" w:rsidR="001D1277" w:rsidRDefault="001D1277" w:rsidP="00875049">
      <w:pPr>
        <w:jc w:val="both"/>
        <w:rPr>
          <w:rFonts w:ascii="Aptos" w:hAnsi="Aptos"/>
          <w:color w:val="auto"/>
          <w:sz w:val="20"/>
          <w:szCs w:val="20"/>
        </w:rPr>
      </w:pPr>
      <w:r w:rsidRPr="00875049">
        <w:rPr>
          <w:rFonts w:ascii="Aptos" w:hAnsi="Aptos"/>
          <w:b/>
          <w:bCs/>
          <w:color w:val="auto"/>
          <w:sz w:val="20"/>
          <w:szCs w:val="20"/>
        </w:rPr>
        <w:t xml:space="preserve">Prompt </w:t>
      </w:r>
      <w:r w:rsidR="00C35ED6" w:rsidRPr="00875049">
        <w:rPr>
          <w:rFonts w:ascii="Aptos" w:hAnsi="Aptos"/>
          <w:b/>
          <w:bCs/>
          <w:color w:val="auto"/>
          <w:sz w:val="20"/>
          <w:szCs w:val="20"/>
        </w:rPr>
        <w:t>I</w:t>
      </w:r>
      <w:r w:rsidRPr="00875049">
        <w:rPr>
          <w:rFonts w:ascii="Aptos" w:hAnsi="Aptos"/>
          <w:b/>
          <w:bCs/>
          <w:color w:val="auto"/>
          <w:sz w:val="20"/>
          <w:szCs w:val="20"/>
        </w:rPr>
        <w:t>njection</w:t>
      </w:r>
      <w:r w:rsidR="00C35ED6" w:rsidRPr="00875049">
        <w:rPr>
          <w:rFonts w:ascii="Aptos" w:hAnsi="Aptos"/>
          <w:color w:val="auto"/>
          <w:sz w:val="20"/>
          <w:szCs w:val="20"/>
        </w:rPr>
        <w:t xml:space="preserve">: </w:t>
      </w:r>
      <w:r w:rsidRPr="00875049">
        <w:rPr>
          <w:rFonts w:ascii="Aptos" w:hAnsi="Aptos"/>
          <w:color w:val="auto"/>
          <w:sz w:val="20"/>
          <w:szCs w:val="20"/>
        </w:rPr>
        <w:t>An attack conducted by the primary user of the system through query access.</w:t>
      </w:r>
      <w:r w:rsidRPr="00875049">
        <w:rPr>
          <w:rFonts w:ascii="Aptos" w:hAnsi="Aptos"/>
          <w:color w:val="auto"/>
          <w:sz w:val="20"/>
          <w:szCs w:val="20"/>
          <w:vertAlign w:val="superscript"/>
        </w:rPr>
        <w:footnoteReference w:id="53"/>
      </w:r>
    </w:p>
    <w:p w14:paraId="199E9FF6" w14:textId="77777777" w:rsidR="00875049" w:rsidRPr="00875049" w:rsidRDefault="00875049" w:rsidP="00875049">
      <w:pPr>
        <w:jc w:val="both"/>
        <w:rPr>
          <w:rFonts w:ascii="Aptos" w:hAnsi="Aptos"/>
          <w:color w:val="auto"/>
          <w:sz w:val="20"/>
          <w:szCs w:val="20"/>
        </w:rPr>
      </w:pPr>
    </w:p>
    <w:p w14:paraId="5A2D45F7" w14:textId="282A7A12" w:rsidR="001D1277" w:rsidRDefault="001D1277" w:rsidP="00875049">
      <w:pPr>
        <w:jc w:val="both"/>
        <w:rPr>
          <w:rFonts w:ascii="Aptos" w:hAnsi="Aptos"/>
          <w:color w:val="auto"/>
          <w:sz w:val="20"/>
          <w:szCs w:val="20"/>
        </w:rPr>
      </w:pPr>
      <w:r w:rsidRPr="00875049">
        <w:rPr>
          <w:rFonts w:ascii="Aptos" w:hAnsi="Aptos"/>
          <w:b/>
          <w:bCs/>
          <w:color w:val="auto"/>
          <w:sz w:val="20"/>
          <w:szCs w:val="20"/>
        </w:rPr>
        <w:t>Responsible AI</w:t>
      </w:r>
      <w:r w:rsidR="003D7957" w:rsidRPr="00875049">
        <w:rPr>
          <w:rFonts w:ascii="Aptos" w:hAnsi="Aptos"/>
          <w:color w:val="auto"/>
          <w:sz w:val="20"/>
          <w:szCs w:val="20"/>
        </w:rPr>
        <w:t xml:space="preserve">: </w:t>
      </w:r>
      <w:r w:rsidRPr="00875049">
        <w:rPr>
          <w:rFonts w:ascii="Aptos" w:hAnsi="Aptos"/>
          <w:color w:val="auto"/>
          <w:sz w:val="20"/>
          <w:szCs w:val="20"/>
        </w:rPr>
        <w:t>Conscientious design, deployment, and governance of AI systems aligned with ethical principles, societal values, and legal norms.</w:t>
      </w:r>
      <w:r w:rsidRPr="00875049">
        <w:rPr>
          <w:rFonts w:ascii="Aptos" w:hAnsi="Aptos"/>
          <w:color w:val="auto"/>
          <w:sz w:val="20"/>
          <w:szCs w:val="20"/>
          <w:vertAlign w:val="superscript"/>
        </w:rPr>
        <w:footnoteReference w:id="54"/>
      </w:r>
    </w:p>
    <w:p w14:paraId="30824265" w14:textId="77777777" w:rsidR="00875049" w:rsidRPr="00875049" w:rsidRDefault="00875049" w:rsidP="00875049">
      <w:pPr>
        <w:jc w:val="both"/>
        <w:rPr>
          <w:rFonts w:ascii="Aptos" w:hAnsi="Aptos"/>
          <w:color w:val="auto"/>
          <w:sz w:val="20"/>
          <w:szCs w:val="20"/>
        </w:rPr>
      </w:pPr>
    </w:p>
    <w:p w14:paraId="15E2068D" w14:textId="66CC1ADC" w:rsidR="001D1277" w:rsidRDefault="001D1277" w:rsidP="00875049">
      <w:pPr>
        <w:jc w:val="both"/>
        <w:rPr>
          <w:rFonts w:ascii="Aptos" w:hAnsi="Aptos"/>
          <w:color w:val="auto"/>
          <w:sz w:val="20"/>
          <w:szCs w:val="20"/>
        </w:rPr>
      </w:pPr>
      <w:r w:rsidRPr="00875049">
        <w:rPr>
          <w:rFonts w:ascii="Aptos" w:hAnsi="Aptos"/>
          <w:b/>
          <w:bCs/>
          <w:color w:val="auto"/>
          <w:sz w:val="20"/>
          <w:szCs w:val="20"/>
        </w:rPr>
        <w:t xml:space="preserve">Retrieval </w:t>
      </w:r>
      <w:r w:rsidR="00AD13FC" w:rsidRPr="00875049">
        <w:rPr>
          <w:rFonts w:ascii="Aptos" w:hAnsi="Aptos"/>
          <w:b/>
          <w:bCs/>
          <w:color w:val="auto"/>
          <w:sz w:val="20"/>
          <w:szCs w:val="20"/>
        </w:rPr>
        <w:t>A</w:t>
      </w:r>
      <w:r w:rsidRPr="00875049">
        <w:rPr>
          <w:rFonts w:ascii="Aptos" w:hAnsi="Aptos"/>
          <w:b/>
          <w:bCs/>
          <w:color w:val="auto"/>
          <w:sz w:val="20"/>
          <w:szCs w:val="20"/>
        </w:rPr>
        <w:t xml:space="preserve">ugmented </w:t>
      </w:r>
      <w:r w:rsidR="00AD13FC" w:rsidRPr="00875049">
        <w:rPr>
          <w:rFonts w:ascii="Aptos" w:hAnsi="Aptos"/>
          <w:b/>
          <w:bCs/>
          <w:color w:val="auto"/>
          <w:sz w:val="20"/>
          <w:szCs w:val="20"/>
        </w:rPr>
        <w:t>G</w:t>
      </w:r>
      <w:r w:rsidRPr="00875049">
        <w:rPr>
          <w:rFonts w:ascii="Aptos" w:hAnsi="Aptos"/>
          <w:b/>
          <w:bCs/>
          <w:color w:val="auto"/>
          <w:sz w:val="20"/>
          <w:szCs w:val="20"/>
        </w:rPr>
        <w:t>eneration</w:t>
      </w:r>
      <w:r w:rsidR="00AD13FC" w:rsidRPr="00875049">
        <w:rPr>
          <w:rFonts w:ascii="Aptos" w:hAnsi="Aptos"/>
          <w:b/>
          <w:bCs/>
          <w:color w:val="auto"/>
          <w:sz w:val="20"/>
          <w:szCs w:val="20"/>
        </w:rPr>
        <w:t xml:space="preserve">: </w:t>
      </w:r>
      <w:r w:rsidRPr="00875049">
        <w:rPr>
          <w:rFonts w:ascii="Aptos" w:hAnsi="Aptos"/>
          <w:color w:val="auto"/>
          <w:sz w:val="20"/>
          <w:szCs w:val="20"/>
        </w:rPr>
        <w:t>The process of optimizing the output of a large language model, so it references an authoritative knowledge base outside its training data sources before generating a response.</w:t>
      </w:r>
      <w:r w:rsidRPr="00875049">
        <w:rPr>
          <w:rFonts w:ascii="Aptos" w:hAnsi="Aptos"/>
          <w:color w:val="auto"/>
          <w:sz w:val="20"/>
          <w:szCs w:val="20"/>
          <w:vertAlign w:val="superscript"/>
        </w:rPr>
        <w:footnoteReference w:id="55"/>
      </w:r>
    </w:p>
    <w:p w14:paraId="16E23D0D" w14:textId="77777777" w:rsidR="00875049" w:rsidRPr="00875049" w:rsidRDefault="00875049" w:rsidP="00875049">
      <w:pPr>
        <w:jc w:val="both"/>
        <w:rPr>
          <w:rFonts w:ascii="Aptos" w:hAnsi="Aptos"/>
          <w:color w:val="auto"/>
          <w:sz w:val="20"/>
          <w:szCs w:val="20"/>
        </w:rPr>
      </w:pPr>
    </w:p>
    <w:p w14:paraId="1B21FF54" w14:textId="54BFAE7F" w:rsidR="001D1277" w:rsidRDefault="001D1277" w:rsidP="00875049">
      <w:pPr>
        <w:jc w:val="both"/>
        <w:rPr>
          <w:rFonts w:ascii="Aptos" w:hAnsi="Aptos"/>
          <w:color w:val="auto"/>
          <w:sz w:val="20"/>
          <w:szCs w:val="20"/>
        </w:rPr>
      </w:pPr>
      <w:r w:rsidRPr="00875049">
        <w:rPr>
          <w:rFonts w:ascii="Aptos" w:hAnsi="Aptos"/>
          <w:b/>
          <w:bCs/>
          <w:color w:val="auto"/>
          <w:sz w:val="20"/>
          <w:szCs w:val="20"/>
        </w:rPr>
        <w:t xml:space="preserve">Service </w:t>
      </w:r>
      <w:r w:rsidR="00AD13FC" w:rsidRPr="00875049">
        <w:rPr>
          <w:rFonts w:ascii="Aptos" w:hAnsi="Aptos"/>
          <w:b/>
          <w:bCs/>
          <w:color w:val="auto"/>
          <w:sz w:val="20"/>
          <w:szCs w:val="20"/>
        </w:rPr>
        <w:t xml:space="preserve">Level Agreement: </w:t>
      </w:r>
      <w:r w:rsidR="009B43F3" w:rsidRPr="00875049">
        <w:rPr>
          <w:rFonts w:ascii="Aptos" w:hAnsi="Aptos"/>
          <w:color w:val="auto"/>
          <w:sz w:val="20"/>
          <w:szCs w:val="20"/>
        </w:rPr>
        <w:t>T</w:t>
      </w:r>
      <w:r w:rsidRPr="00875049">
        <w:rPr>
          <w:rFonts w:ascii="Aptos" w:hAnsi="Aptos"/>
          <w:color w:val="auto"/>
          <w:sz w:val="20"/>
          <w:szCs w:val="20"/>
        </w:rPr>
        <w:t xml:space="preserve">he specific responsibilities of </w:t>
      </w:r>
      <w:r w:rsidR="009B43F3" w:rsidRPr="00875049">
        <w:rPr>
          <w:rFonts w:ascii="Aptos" w:hAnsi="Aptos"/>
          <w:color w:val="auto"/>
          <w:sz w:val="20"/>
          <w:szCs w:val="20"/>
        </w:rPr>
        <w:t>a</w:t>
      </w:r>
      <w:r w:rsidRPr="00875049">
        <w:rPr>
          <w:rFonts w:ascii="Aptos" w:hAnsi="Aptos"/>
          <w:color w:val="auto"/>
          <w:sz w:val="20"/>
          <w:szCs w:val="20"/>
        </w:rPr>
        <w:t xml:space="preserve"> service provider </w:t>
      </w:r>
      <w:r w:rsidR="009B43F3" w:rsidRPr="00875049">
        <w:rPr>
          <w:rFonts w:ascii="Aptos" w:hAnsi="Aptos"/>
          <w:color w:val="auto"/>
          <w:sz w:val="20"/>
          <w:szCs w:val="20"/>
        </w:rPr>
        <w:t xml:space="preserve">[that sets and defines] </w:t>
      </w:r>
      <w:r w:rsidRPr="00875049">
        <w:rPr>
          <w:rFonts w:ascii="Aptos" w:hAnsi="Aptos"/>
          <w:color w:val="auto"/>
          <w:sz w:val="20"/>
          <w:szCs w:val="20"/>
        </w:rPr>
        <w:t>the customer</w:t>
      </w:r>
      <w:r w:rsidR="009B43F3" w:rsidRPr="00875049">
        <w:rPr>
          <w:rFonts w:ascii="Aptos" w:hAnsi="Aptos"/>
          <w:color w:val="auto"/>
          <w:sz w:val="20"/>
          <w:szCs w:val="20"/>
        </w:rPr>
        <w:t>’s</w:t>
      </w:r>
      <w:r w:rsidRPr="00875049">
        <w:rPr>
          <w:rFonts w:ascii="Aptos" w:hAnsi="Aptos"/>
          <w:color w:val="auto"/>
          <w:sz w:val="20"/>
          <w:szCs w:val="20"/>
        </w:rPr>
        <w:t xml:space="preserve"> expectations.</w:t>
      </w:r>
      <w:r w:rsidRPr="00875049">
        <w:rPr>
          <w:rFonts w:ascii="Aptos" w:hAnsi="Aptos"/>
          <w:color w:val="auto"/>
          <w:sz w:val="20"/>
          <w:szCs w:val="20"/>
          <w:vertAlign w:val="superscript"/>
        </w:rPr>
        <w:footnoteReference w:id="56"/>
      </w:r>
    </w:p>
    <w:p w14:paraId="20A6C751" w14:textId="77777777" w:rsidR="00875049" w:rsidRPr="00875049" w:rsidRDefault="00875049" w:rsidP="00875049">
      <w:pPr>
        <w:jc w:val="both"/>
        <w:rPr>
          <w:rFonts w:ascii="Aptos" w:hAnsi="Aptos"/>
          <w:color w:val="auto"/>
          <w:sz w:val="20"/>
          <w:szCs w:val="20"/>
        </w:rPr>
      </w:pPr>
    </w:p>
    <w:p w14:paraId="791207F9" w14:textId="60B00CB3" w:rsidR="001D1277" w:rsidRDefault="001D1277" w:rsidP="00875049">
      <w:pPr>
        <w:jc w:val="both"/>
        <w:rPr>
          <w:rFonts w:ascii="Aptos" w:hAnsi="Aptos"/>
          <w:color w:val="auto"/>
          <w:sz w:val="20"/>
          <w:szCs w:val="20"/>
        </w:rPr>
      </w:pPr>
      <w:r w:rsidRPr="00875049">
        <w:rPr>
          <w:rFonts w:ascii="Aptos" w:hAnsi="Aptos"/>
          <w:b/>
          <w:bCs/>
          <w:color w:val="auto"/>
          <w:sz w:val="20"/>
          <w:szCs w:val="20"/>
        </w:rPr>
        <w:t>Structured</w:t>
      </w:r>
      <w:r w:rsidR="00C35369" w:rsidRPr="00875049">
        <w:rPr>
          <w:rFonts w:ascii="Aptos" w:hAnsi="Aptos"/>
          <w:b/>
          <w:bCs/>
          <w:color w:val="auto"/>
          <w:sz w:val="20"/>
          <w:szCs w:val="20"/>
        </w:rPr>
        <w:t xml:space="preserve"> Data: </w:t>
      </w:r>
      <w:r w:rsidRPr="00875049">
        <w:rPr>
          <w:rFonts w:ascii="Aptos" w:hAnsi="Aptos"/>
          <w:color w:val="auto"/>
          <w:sz w:val="20"/>
          <w:szCs w:val="20"/>
        </w:rPr>
        <w:t>Data that is defined and searchable</w:t>
      </w:r>
      <w:r w:rsidR="00C35369" w:rsidRPr="00875049">
        <w:rPr>
          <w:rFonts w:ascii="Aptos" w:hAnsi="Aptos"/>
          <w:color w:val="auto"/>
          <w:sz w:val="20"/>
          <w:szCs w:val="20"/>
        </w:rPr>
        <w:t xml:space="preserve">, such as </w:t>
      </w:r>
      <w:r w:rsidRPr="00875049">
        <w:rPr>
          <w:rFonts w:ascii="Aptos" w:hAnsi="Aptos"/>
          <w:color w:val="auto"/>
          <w:sz w:val="20"/>
          <w:szCs w:val="20"/>
        </w:rPr>
        <w:t>dates, postal codes, and merchant IDs.</w:t>
      </w:r>
      <w:r w:rsidRPr="00875049">
        <w:rPr>
          <w:rFonts w:ascii="Aptos" w:hAnsi="Aptos"/>
          <w:color w:val="auto"/>
          <w:sz w:val="20"/>
          <w:szCs w:val="20"/>
          <w:vertAlign w:val="superscript"/>
        </w:rPr>
        <w:footnoteReference w:id="57"/>
      </w:r>
    </w:p>
    <w:p w14:paraId="64B0431B" w14:textId="77777777" w:rsidR="00875049" w:rsidRPr="00875049" w:rsidRDefault="00875049" w:rsidP="00875049">
      <w:pPr>
        <w:jc w:val="both"/>
        <w:rPr>
          <w:rFonts w:ascii="Aptos" w:hAnsi="Aptos"/>
          <w:color w:val="auto"/>
          <w:sz w:val="20"/>
          <w:szCs w:val="20"/>
        </w:rPr>
      </w:pPr>
    </w:p>
    <w:p w14:paraId="29E51055" w14:textId="0FAB49C6" w:rsidR="001D1277" w:rsidRDefault="001D1277" w:rsidP="00875049">
      <w:pPr>
        <w:jc w:val="both"/>
        <w:rPr>
          <w:rFonts w:ascii="Aptos" w:hAnsi="Aptos"/>
          <w:color w:val="auto"/>
          <w:sz w:val="20"/>
          <w:szCs w:val="20"/>
        </w:rPr>
      </w:pPr>
      <w:r w:rsidRPr="00875049">
        <w:rPr>
          <w:rFonts w:ascii="Aptos" w:hAnsi="Aptos"/>
          <w:b/>
          <w:bCs/>
          <w:color w:val="auto"/>
          <w:sz w:val="20"/>
          <w:szCs w:val="20"/>
        </w:rPr>
        <w:t>Traditional AI</w:t>
      </w:r>
      <w:r w:rsidR="00492012" w:rsidRPr="00875049">
        <w:rPr>
          <w:rFonts w:ascii="Aptos" w:hAnsi="Aptos"/>
          <w:color w:val="auto"/>
          <w:sz w:val="20"/>
          <w:szCs w:val="20"/>
        </w:rPr>
        <w:t>: A</w:t>
      </w:r>
      <w:r w:rsidRPr="00875049">
        <w:rPr>
          <w:rFonts w:ascii="Aptos" w:hAnsi="Aptos"/>
          <w:color w:val="auto"/>
          <w:sz w:val="20"/>
          <w:szCs w:val="20"/>
        </w:rPr>
        <w:t xml:space="preserve"> subset of </w:t>
      </w:r>
      <w:r w:rsidR="00492012" w:rsidRPr="00875049">
        <w:rPr>
          <w:rFonts w:ascii="Aptos" w:hAnsi="Aptos"/>
          <w:color w:val="auto"/>
          <w:sz w:val="20"/>
          <w:szCs w:val="20"/>
        </w:rPr>
        <w:t>AI</w:t>
      </w:r>
      <w:r w:rsidRPr="00875049">
        <w:rPr>
          <w:rFonts w:ascii="Aptos" w:hAnsi="Aptos"/>
          <w:color w:val="auto"/>
          <w:sz w:val="20"/>
          <w:szCs w:val="20"/>
        </w:rPr>
        <w:t xml:space="preserve"> that focuses on performing discreet, preset tasks using predetermined algorithms and rules. These AI applications are designed to excel in a single activity or a restricted set of tasks.</w:t>
      </w:r>
      <w:r w:rsidRPr="00875049">
        <w:rPr>
          <w:rFonts w:ascii="Aptos" w:hAnsi="Aptos"/>
          <w:color w:val="auto"/>
          <w:sz w:val="20"/>
          <w:szCs w:val="20"/>
          <w:vertAlign w:val="superscript"/>
        </w:rPr>
        <w:footnoteReference w:id="58"/>
      </w:r>
    </w:p>
    <w:p w14:paraId="21C31FB7" w14:textId="77777777" w:rsidR="00875049" w:rsidRPr="00875049" w:rsidRDefault="00875049" w:rsidP="00875049">
      <w:pPr>
        <w:jc w:val="both"/>
        <w:rPr>
          <w:rFonts w:ascii="Aptos" w:hAnsi="Aptos"/>
          <w:color w:val="auto"/>
          <w:sz w:val="20"/>
          <w:szCs w:val="20"/>
        </w:rPr>
      </w:pPr>
    </w:p>
    <w:p w14:paraId="53B05C60" w14:textId="2330934F" w:rsidR="001D1277" w:rsidRDefault="001D1277" w:rsidP="00875049">
      <w:pPr>
        <w:jc w:val="both"/>
        <w:rPr>
          <w:rFonts w:ascii="Aptos" w:hAnsi="Aptos"/>
          <w:color w:val="auto"/>
          <w:sz w:val="20"/>
          <w:szCs w:val="20"/>
        </w:rPr>
      </w:pPr>
      <w:r w:rsidRPr="00875049">
        <w:rPr>
          <w:rFonts w:ascii="Aptos" w:hAnsi="Aptos"/>
          <w:b/>
          <w:color w:val="auto"/>
          <w:sz w:val="20"/>
          <w:szCs w:val="20"/>
        </w:rPr>
        <w:t xml:space="preserve">Training </w:t>
      </w:r>
      <w:r w:rsidR="00470015" w:rsidRPr="00875049">
        <w:rPr>
          <w:rFonts w:ascii="Aptos" w:hAnsi="Aptos"/>
          <w:b/>
          <w:color w:val="auto"/>
          <w:sz w:val="20"/>
          <w:szCs w:val="20"/>
        </w:rPr>
        <w:t>D</w:t>
      </w:r>
      <w:r w:rsidRPr="00875049">
        <w:rPr>
          <w:rFonts w:ascii="Aptos" w:hAnsi="Aptos"/>
          <w:b/>
          <w:color w:val="auto"/>
          <w:sz w:val="20"/>
          <w:szCs w:val="20"/>
        </w:rPr>
        <w:t>ata</w:t>
      </w:r>
      <w:r w:rsidR="00470015" w:rsidRPr="00875049">
        <w:rPr>
          <w:rFonts w:ascii="Aptos" w:hAnsi="Aptos"/>
          <w:color w:val="auto"/>
          <w:sz w:val="20"/>
          <w:szCs w:val="20"/>
        </w:rPr>
        <w:t xml:space="preserve">: </w:t>
      </w:r>
      <w:r w:rsidRPr="00875049">
        <w:rPr>
          <w:rFonts w:ascii="Aptos" w:hAnsi="Aptos"/>
          <w:color w:val="auto"/>
          <w:sz w:val="20"/>
          <w:szCs w:val="20"/>
        </w:rPr>
        <w:t>A subset of input data samples used to train a machine learning model.</w:t>
      </w:r>
      <w:r w:rsidRPr="00875049">
        <w:rPr>
          <w:rFonts w:ascii="Aptos" w:hAnsi="Aptos"/>
          <w:color w:val="auto"/>
          <w:sz w:val="20"/>
          <w:szCs w:val="20"/>
          <w:vertAlign w:val="superscript"/>
        </w:rPr>
        <w:footnoteReference w:id="59"/>
      </w:r>
    </w:p>
    <w:p w14:paraId="235A6A4B" w14:textId="77777777" w:rsidR="00875049" w:rsidRPr="00875049" w:rsidRDefault="00875049" w:rsidP="00875049">
      <w:pPr>
        <w:jc w:val="both"/>
        <w:rPr>
          <w:rFonts w:ascii="Aptos" w:hAnsi="Aptos"/>
          <w:color w:val="auto"/>
          <w:sz w:val="20"/>
          <w:szCs w:val="20"/>
        </w:rPr>
      </w:pPr>
    </w:p>
    <w:p w14:paraId="107DF66F" w14:textId="5E1C6DB8" w:rsidR="001D1277" w:rsidRDefault="001D1277" w:rsidP="00875049">
      <w:pPr>
        <w:jc w:val="both"/>
        <w:rPr>
          <w:rFonts w:ascii="Aptos" w:hAnsi="Aptos"/>
          <w:bCs/>
          <w:color w:val="auto"/>
          <w:sz w:val="20"/>
          <w:szCs w:val="20"/>
        </w:rPr>
      </w:pPr>
      <w:r w:rsidRPr="00875049">
        <w:rPr>
          <w:rFonts w:ascii="Aptos" w:hAnsi="Aptos"/>
          <w:b/>
          <w:color w:val="auto"/>
          <w:sz w:val="20"/>
          <w:szCs w:val="20"/>
        </w:rPr>
        <w:t xml:space="preserve">Unstructured </w:t>
      </w:r>
      <w:r w:rsidR="006236FA" w:rsidRPr="00875049">
        <w:rPr>
          <w:rFonts w:ascii="Aptos" w:hAnsi="Aptos"/>
          <w:b/>
          <w:color w:val="auto"/>
          <w:sz w:val="20"/>
          <w:szCs w:val="20"/>
        </w:rPr>
        <w:t>D</w:t>
      </w:r>
      <w:r w:rsidRPr="00875049">
        <w:rPr>
          <w:rFonts w:ascii="Aptos" w:hAnsi="Aptos"/>
          <w:b/>
          <w:color w:val="auto"/>
          <w:sz w:val="20"/>
          <w:szCs w:val="20"/>
        </w:rPr>
        <w:t>ata</w:t>
      </w:r>
      <w:r w:rsidR="006236FA" w:rsidRPr="00875049">
        <w:rPr>
          <w:rFonts w:ascii="Aptos" w:hAnsi="Aptos"/>
          <w:b/>
          <w:color w:val="auto"/>
          <w:sz w:val="20"/>
          <w:szCs w:val="20"/>
        </w:rPr>
        <w:t xml:space="preserve">: </w:t>
      </w:r>
      <w:r w:rsidR="006236FA" w:rsidRPr="00875049">
        <w:rPr>
          <w:rFonts w:ascii="Aptos" w:hAnsi="Aptos"/>
          <w:bCs/>
          <w:color w:val="auto"/>
          <w:sz w:val="20"/>
          <w:szCs w:val="20"/>
        </w:rPr>
        <w:t>D</w:t>
      </w:r>
      <w:r w:rsidRPr="00875049">
        <w:rPr>
          <w:rFonts w:ascii="Aptos" w:hAnsi="Aptos"/>
          <w:bCs/>
          <w:color w:val="auto"/>
          <w:sz w:val="20"/>
          <w:szCs w:val="20"/>
        </w:rPr>
        <w:t>ata that is more free-form, such as multimedia files, images, sound files, or unstructured text</w:t>
      </w:r>
      <w:r w:rsidR="006236FA" w:rsidRPr="00875049">
        <w:rPr>
          <w:rFonts w:ascii="Aptos" w:hAnsi="Aptos"/>
          <w:bCs/>
          <w:color w:val="auto"/>
          <w:sz w:val="20"/>
          <w:szCs w:val="20"/>
        </w:rPr>
        <w:t xml:space="preserve">, </w:t>
      </w:r>
      <w:r w:rsidRPr="00875049">
        <w:rPr>
          <w:rFonts w:ascii="Aptos" w:hAnsi="Aptos"/>
          <w:bCs/>
          <w:color w:val="auto"/>
          <w:sz w:val="20"/>
          <w:szCs w:val="20"/>
        </w:rPr>
        <w:t xml:space="preserve">does not necessarily follow any format or hierarchical sequence, </w:t>
      </w:r>
      <w:r w:rsidR="006236FA" w:rsidRPr="00875049">
        <w:rPr>
          <w:rFonts w:ascii="Aptos" w:hAnsi="Aptos"/>
          <w:bCs/>
          <w:color w:val="auto"/>
          <w:sz w:val="20"/>
          <w:szCs w:val="20"/>
        </w:rPr>
        <w:t>and</w:t>
      </w:r>
      <w:r w:rsidRPr="00875049">
        <w:rPr>
          <w:rFonts w:ascii="Aptos" w:hAnsi="Aptos"/>
          <w:bCs/>
          <w:color w:val="auto"/>
          <w:sz w:val="20"/>
          <w:szCs w:val="20"/>
        </w:rPr>
        <w:t xml:space="preserve"> does </w:t>
      </w:r>
      <w:r w:rsidR="006236FA" w:rsidRPr="00875049">
        <w:rPr>
          <w:rFonts w:ascii="Aptos" w:hAnsi="Aptos"/>
          <w:bCs/>
          <w:color w:val="auto"/>
          <w:sz w:val="20"/>
          <w:szCs w:val="20"/>
        </w:rPr>
        <w:t>not</w:t>
      </w:r>
      <w:r w:rsidRPr="00875049">
        <w:rPr>
          <w:rFonts w:ascii="Aptos" w:hAnsi="Aptos"/>
          <w:bCs/>
          <w:color w:val="auto"/>
          <w:sz w:val="20"/>
          <w:szCs w:val="20"/>
        </w:rPr>
        <w:t xml:space="preserve"> follow any relational rules.</w:t>
      </w:r>
      <w:r w:rsidRPr="00875049">
        <w:rPr>
          <w:rFonts w:ascii="Aptos" w:hAnsi="Aptos"/>
          <w:bCs/>
          <w:color w:val="auto"/>
          <w:sz w:val="20"/>
          <w:szCs w:val="20"/>
          <w:vertAlign w:val="superscript"/>
        </w:rPr>
        <w:footnoteReference w:id="60"/>
      </w:r>
    </w:p>
    <w:p w14:paraId="631B7E17" w14:textId="77777777" w:rsidR="00875049" w:rsidRPr="00875049" w:rsidRDefault="00875049" w:rsidP="00875049">
      <w:pPr>
        <w:jc w:val="both"/>
        <w:rPr>
          <w:rFonts w:ascii="Aptos" w:hAnsi="Aptos"/>
          <w:bCs/>
          <w:color w:val="auto"/>
          <w:sz w:val="20"/>
          <w:szCs w:val="20"/>
        </w:rPr>
      </w:pPr>
    </w:p>
    <w:p w14:paraId="4CF819FF" w14:textId="2D211CE9" w:rsidR="001D1277" w:rsidRDefault="001D1277" w:rsidP="00875049">
      <w:pPr>
        <w:jc w:val="both"/>
        <w:rPr>
          <w:rFonts w:ascii="Aptos" w:hAnsi="Aptos"/>
          <w:color w:val="auto"/>
          <w:sz w:val="20"/>
          <w:szCs w:val="20"/>
        </w:rPr>
      </w:pPr>
      <w:r w:rsidRPr="00875049">
        <w:rPr>
          <w:rFonts w:ascii="Aptos" w:hAnsi="Aptos"/>
          <w:b/>
          <w:color w:val="auto"/>
          <w:sz w:val="20"/>
          <w:szCs w:val="20"/>
        </w:rPr>
        <w:t>Validation</w:t>
      </w:r>
      <w:r w:rsidR="00343A4F" w:rsidRPr="00875049">
        <w:rPr>
          <w:rFonts w:ascii="Aptos" w:hAnsi="Aptos"/>
          <w:color w:val="auto"/>
          <w:sz w:val="20"/>
          <w:szCs w:val="20"/>
        </w:rPr>
        <w:t>:</w:t>
      </w:r>
      <w:r w:rsidRPr="00875049">
        <w:rPr>
          <w:rFonts w:ascii="Aptos" w:hAnsi="Aptos"/>
          <w:color w:val="auto"/>
          <w:sz w:val="20"/>
          <w:szCs w:val="20"/>
        </w:rPr>
        <w:t xml:space="preserve"> Confirmation, through the provision of objective evidence, that the requirements for a specific intended use or application have been fulfilled.</w:t>
      </w:r>
      <w:r w:rsidRPr="00875049">
        <w:rPr>
          <w:rFonts w:ascii="Aptos" w:hAnsi="Aptos"/>
          <w:color w:val="auto"/>
          <w:sz w:val="20"/>
          <w:szCs w:val="20"/>
          <w:vertAlign w:val="superscript"/>
        </w:rPr>
        <w:footnoteReference w:id="61"/>
      </w:r>
    </w:p>
    <w:p w14:paraId="79E3D9D5" w14:textId="77777777" w:rsidR="00875049" w:rsidRPr="00875049" w:rsidRDefault="00875049" w:rsidP="00875049">
      <w:pPr>
        <w:jc w:val="both"/>
        <w:rPr>
          <w:rFonts w:ascii="Aptos" w:hAnsi="Aptos"/>
          <w:color w:val="auto"/>
          <w:sz w:val="20"/>
          <w:szCs w:val="20"/>
        </w:rPr>
      </w:pPr>
    </w:p>
    <w:p w14:paraId="650A1C42" w14:textId="51C23F2B" w:rsidR="001D1277" w:rsidRPr="00875049" w:rsidRDefault="001D1277" w:rsidP="00875049">
      <w:pPr>
        <w:jc w:val="both"/>
        <w:rPr>
          <w:rFonts w:ascii="Aptos" w:hAnsi="Aptos"/>
          <w:color w:val="auto"/>
          <w:sz w:val="20"/>
          <w:szCs w:val="20"/>
        </w:rPr>
      </w:pPr>
      <w:r w:rsidRPr="00875049">
        <w:rPr>
          <w:rFonts w:ascii="Aptos" w:hAnsi="Aptos"/>
          <w:b/>
          <w:bCs/>
          <w:color w:val="auto"/>
          <w:sz w:val="20"/>
          <w:szCs w:val="20"/>
        </w:rPr>
        <w:t xml:space="preserve">Version </w:t>
      </w:r>
      <w:r w:rsidR="00343A4F" w:rsidRPr="00875049">
        <w:rPr>
          <w:rFonts w:ascii="Aptos" w:hAnsi="Aptos"/>
          <w:b/>
          <w:bCs/>
          <w:color w:val="auto"/>
          <w:sz w:val="20"/>
          <w:szCs w:val="20"/>
        </w:rPr>
        <w:t>C</w:t>
      </w:r>
      <w:r w:rsidRPr="00875049">
        <w:rPr>
          <w:rFonts w:ascii="Aptos" w:hAnsi="Aptos"/>
          <w:b/>
          <w:bCs/>
          <w:color w:val="auto"/>
          <w:sz w:val="20"/>
          <w:szCs w:val="20"/>
        </w:rPr>
        <w:t>ontrol</w:t>
      </w:r>
      <w:r w:rsidRPr="00875049">
        <w:rPr>
          <w:rFonts w:ascii="Aptos" w:hAnsi="Aptos"/>
          <w:color w:val="auto"/>
          <w:sz w:val="20"/>
          <w:szCs w:val="20"/>
        </w:rPr>
        <w:t xml:space="preserve"> </w:t>
      </w:r>
      <w:r w:rsidRPr="00875049">
        <w:rPr>
          <w:rFonts w:ascii="Aptos" w:hAnsi="Aptos"/>
          <w:b/>
          <w:bCs/>
          <w:color w:val="auto"/>
          <w:sz w:val="20"/>
          <w:szCs w:val="20"/>
        </w:rPr>
        <w:t>(AI context):</w:t>
      </w:r>
      <w:r w:rsidRPr="00875049">
        <w:rPr>
          <w:rFonts w:ascii="Aptos" w:hAnsi="Aptos"/>
          <w:color w:val="auto"/>
          <w:sz w:val="20"/>
          <w:szCs w:val="20"/>
        </w:rPr>
        <w:t xml:space="preserve"> </w:t>
      </w:r>
      <w:r w:rsidR="00343A4F" w:rsidRPr="00875049">
        <w:rPr>
          <w:rFonts w:ascii="Aptos" w:hAnsi="Aptos"/>
          <w:color w:val="auto"/>
          <w:sz w:val="20"/>
          <w:szCs w:val="20"/>
        </w:rPr>
        <w:t>A s</w:t>
      </w:r>
      <w:r w:rsidRPr="00875049">
        <w:rPr>
          <w:rFonts w:ascii="Aptos" w:hAnsi="Aptos"/>
          <w:color w:val="auto"/>
          <w:sz w:val="20"/>
          <w:szCs w:val="20"/>
        </w:rPr>
        <w:t>ystematic practice of tracking, managing, and documenting changes to AI assets through their development and deployment lifecycle.</w:t>
      </w:r>
      <w:r w:rsidRPr="00875049">
        <w:rPr>
          <w:rFonts w:ascii="Aptos" w:hAnsi="Aptos"/>
          <w:color w:val="auto"/>
          <w:sz w:val="20"/>
          <w:szCs w:val="20"/>
          <w:vertAlign w:val="superscript"/>
        </w:rPr>
        <w:footnoteReference w:id="62"/>
      </w:r>
    </w:p>
    <w:p w14:paraId="399B0209" w14:textId="77777777" w:rsidR="00497DB1" w:rsidRDefault="00497DB1" w:rsidP="00FF487A">
      <w:pPr>
        <w:spacing w:line="269" w:lineRule="auto"/>
        <w:jc w:val="both"/>
        <w:rPr>
          <w:rFonts w:ascii="Aptos" w:hAnsi="Aptos"/>
          <w:color w:val="auto"/>
          <w:szCs w:val="22"/>
        </w:rPr>
      </w:pPr>
    </w:p>
    <w:p w14:paraId="34F9F156" w14:textId="77777777" w:rsidR="00497DB1" w:rsidRDefault="00497DB1" w:rsidP="00FF487A">
      <w:pPr>
        <w:spacing w:line="269" w:lineRule="auto"/>
        <w:jc w:val="both"/>
        <w:rPr>
          <w:rFonts w:ascii="Aptos" w:hAnsi="Aptos"/>
          <w:color w:val="auto"/>
          <w:szCs w:val="22"/>
        </w:rPr>
      </w:pPr>
    </w:p>
    <w:p w14:paraId="2F7C0859" w14:textId="77777777" w:rsidR="002C279C" w:rsidRDefault="002C279C" w:rsidP="00FF487A">
      <w:pPr>
        <w:spacing w:line="269" w:lineRule="auto"/>
        <w:jc w:val="both"/>
        <w:rPr>
          <w:rFonts w:ascii="Aptos" w:hAnsi="Aptos"/>
          <w:color w:val="auto"/>
          <w:szCs w:val="22"/>
        </w:rPr>
      </w:pPr>
    </w:p>
    <w:p w14:paraId="3DA9978C" w14:textId="77777777" w:rsidR="002C279C" w:rsidRDefault="002C279C" w:rsidP="00FF487A">
      <w:pPr>
        <w:pStyle w:val="Heading1"/>
        <w:spacing w:after="0" w:line="269" w:lineRule="auto"/>
        <w:jc w:val="both"/>
        <w:rPr>
          <w:rFonts w:ascii="Aptos" w:hAnsi="Aptos"/>
          <w:b/>
          <w:bCs/>
          <w:color w:val="34246B" w:themeColor="accent2"/>
        </w:rPr>
      </w:pPr>
      <w:bookmarkStart w:id="62" w:name="_Toc194454603"/>
      <w:bookmarkStart w:id="63" w:name="_Toc203286812"/>
    </w:p>
    <w:p w14:paraId="402DDE7F" w14:textId="77777777" w:rsidR="002C279C" w:rsidRDefault="002C279C" w:rsidP="00FF487A">
      <w:pPr>
        <w:jc w:val="both"/>
        <w:rPr>
          <w:rFonts w:ascii="Aptos" w:eastAsia="Times New Roman" w:hAnsi="Aptos" w:cs="Times New Roman"/>
          <w:b/>
          <w:bCs/>
          <w:color w:val="34246B" w:themeColor="accent2"/>
          <w:sz w:val="32"/>
        </w:rPr>
      </w:pPr>
      <w:r>
        <w:rPr>
          <w:rFonts w:ascii="Aptos" w:hAnsi="Aptos"/>
          <w:b/>
          <w:bCs/>
          <w:color w:val="34246B" w:themeColor="accent2"/>
        </w:rPr>
        <w:br w:type="page"/>
      </w:r>
    </w:p>
    <w:p w14:paraId="39FDA39B" w14:textId="49F121ED" w:rsidR="002D14C2" w:rsidRPr="00875049" w:rsidRDefault="002D14C2" w:rsidP="00FF487A">
      <w:pPr>
        <w:pStyle w:val="Heading1"/>
        <w:spacing w:after="0" w:line="269" w:lineRule="auto"/>
        <w:jc w:val="both"/>
        <w:rPr>
          <w:rFonts w:ascii="Aptos" w:hAnsi="Aptos"/>
          <w:b/>
          <w:bCs/>
          <w:color w:val="34246B" w:themeColor="accent2"/>
          <w:sz w:val="28"/>
          <w:szCs w:val="22"/>
        </w:rPr>
      </w:pPr>
      <w:bookmarkStart w:id="64" w:name="_Toc221009666"/>
      <w:bookmarkEnd w:id="62"/>
      <w:bookmarkEnd w:id="63"/>
      <w:r w:rsidRPr="00875049">
        <w:rPr>
          <w:rFonts w:ascii="Aptos" w:hAnsi="Aptos"/>
          <w:b/>
          <w:bCs/>
          <w:color w:val="34246B" w:themeColor="accent2"/>
          <w:sz w:val="28"/>
          <w:szCs w:val="22"/>
        </w:rPr>
        <w:lastRenderedPageBreak/>
        <w:t xml:space="preserve">APPENDIX </w:t>
      </w:r>
      <w:r w:rsidR="00CC35A5" w:rsidRPr="00875049">
        <w:rPr>
          <w:rFonts w:ascii="Aptos" w:hAnsi="Aptos"/>
          <w:b/>
          <w:bCs/>
          <w:color w:val="34246B" w:themeColor="accent2"/>
          <w:sz w:val="28"/>
          <w:szCs w:val="22"/>
        </w:rPr>
        <w:t>D</w:t>
      </w:r>
      <w:r w:rsidRPr="00875049">
        <w:rPr>
          <w:rFonts w:ascii="Aptos" w:hAnsi="Aptos"/>
          <w:b/>
          <w:bCs/>
          <w:color w:val="34246B" w:themeColor="accent2"/>
          <w:sz w:val="28"/>
          <w:szCs w:val="22"/>
        </w:rPr>
        <w:t xml:space="preserve"> – </w:t>
      </w:r>
      <w:r w:rsidR="00CC35A5" w:rsidRPr="00875049">
        <w:rPr>
          <w:rFonts w:ascii="Aptos" w:hAnsi="Aptos"/>
          <w:b/>
          <w:bCs/>
          <w:color w:val="34246B" w:themeColor="accent2"/>
          <w:sz w:val="28"/>
          <w:szCs w:val="22"/>
        </w:rPr>
        <w:t>INFORMATIVE REFERENCES</w:t>
      </w:r>
      <w:bookmarkEnd w:id="64"/>
    </w:p>
    <w:p w14:paraId="5A120779" w14:textId="77777777" w:rsidR="00A97193" w:rsidRDefault="00A97193" w:rsidP="00FF487A">
      <w:pPr>
        <w:pStyle w:val="PlainLink1"/>
        <w:ind w:left="0"/>
        <w:jc w:val="both"/>
        <w:rPr>
          <w:rFonts w:ascii="Aptos" w:hAnsi="Aptos" w:cs="Arial"/>
          <w:sz w:val="18"/>
          <w:szCs w:val="18"/>
        </w:rPr>
      </w:pPr>
    </w:p>
    <w:tbl>
      <w:tblPr>
        <w:tblStyle w:val="TableGrid"/>
        <w:tblW w:w="0" w:type="auto"/>
        <w:tblLook w:val="04A0" w:firstRow="1" w:lastRow="0" w:firstColumn="1" w:lastColumn="0" w:noHBand="0" w:noVBand="1"/>
      </w:tblPr>
      <w:tblGrid>
        <w:gridCol w:w="3145"/>
        <w:gridCol w:w="6925"/>
      </w:tblGrid>
      <w:tr w:rsidR="00E20472" w:rsidRPr="00875049" w14:paraId="1F86C470" w14:textId="77777777" w:rsidTr="009C55E2">
        <w:trPr>
          <w:trHeight w:val="300"/>
        </w:trPr>
        <w:tc>
          <w:tcPr>
            <w:tcW w:w="10070" w:type="dxa"/>
            <w:gridSpan w:val="2"/>
            <w:shd w:val="clear" w:color="auto" w:fill="CCDCDC"/>
            <w:noWrap/>
            <w:hideMark/>
          </w:tcPr>
          <w:p w14:paraId="5EF95D8D" w14:textId="348A00CD" w:rsidR="00E20472" w:rsidRPr="00875049" w:rsidRDefault="00E20472" w:rsidP="00875049">
            <w:pPr>
              <w:pStyle w:val="PlainLink1"/>
              <w:spacing w:after="0"/>
              <w:ind w:left="0" w:right="0"/>
              <w:jc w:val="both"/>
              <w:rPr>
                <w:rFonts w:ascii="Aptos" w:hAnsi="Aptos" w:cs="Arial"/>
                <w:b/>
                <w:bCs/>
                <w:color w:val="000000" w:themeColor="text1"/>
                <w:sz w:val="20"/>
                <w:szCs w:val="20"/>
              </w:rPr>
            </w:pPr>
            <w:r w:rsidRPr="00875049">
              <w:rPr>
                <w:rFonts w:ascii="Aptos" w:hAnsi="Aptos" w:cs="Arial"/>
                <w:b/>
                <w:bCs/>
                <w:color w:val="000000" w:themeColor="text1"/>
                <w:sz w:val="20"/>
                <w:szCs w:val="20"/>
              </w:rPr>
              <w:t xml:space="preserve">Primary </w:t>
            </w:r>
            <w:r w:rsidR="00686CF5" w:rsidRPr="00875049">
              <w:rPr>
                <w:rFonts w:ascii="Aptos" w:hAnsi="Aptos" w:cs="Arial"/>
                <w:b/>
                <w:bCs/>
                <w:color w:val="000000" w:themeColor="text1"/>
                <w:sz w:val="20"/>
                <w:szCs w:val="20"/>
              </w:rPr>
              <w:t>References</w:t>
            </w:r>
          </w:p>
        </w:tc>
      </w:tr>
      <w:tr w:rsidR="00E20472" w:rsidRPr="00875049" w14:paraId="26A920EE" w14:textId="77777777" w:rsidTr="00EA05E1">
        <w:trPr>
          <w:trHeight w:val="1170"/>
        </w:trPr>
        <w:tc>
          <w:tcPr>
            <w:tcW w:w="3145" w:type="dxa"/>
            <w:hideMark/>
          </w:tcPr>
          <w:p w14:paraId="102ACAD7" w14:textId="77777777" w:rsidR="00E20472" w:rsidRPr="00875049" w:rsidRDefault="00E20472" w:rsidP="00875049">
            <w:pPr>
              <w:pStyle w:val="PlainLink1"/>
              <w:tabs>
                <w:tab w:val="left" w:pos="880"/>
              </w:tabs>
              <w:spacing w:after="0"/>
              <w:ind w:left="0" w:right="0"/>
              <w:rPr>
                <w:rFonts w:ascii="Aptos" w:hAnsi="Aptos" w:cs="Arial"/>
                <w:sz w:val="20"/>
                <w:szCs w:val="20"/>
                <w:u w:val="single"/>
              </w:rPr>
            </w:pPr>
            <w:hyperlink r:id="rId17" w:history="1">
              <w:r w:rsidRPr="00875049">
                <w:rPr>
                  <w:rStyle w:val="Hyperlink"/>
                  <w:rFonts w:ascii="Aptos" w:hAnsi="Aptos" w:cs="Arial"/>
                  <w:sz w:val="20"/>
                  <w:szCs w:val="20"/>
                </w:rPr>
                <w:t>NIST Artificial Intelligence Risk Management Framework (AI RMF 1.0)</w:t>
              </w:r>
            </w:hyperlink>
          </w:p>
        </w:tc>
        <w:tc>
          <w:tcPr>
            <w:tcW w:w="6925" w:type="dxa"/>
            <w:hideMark/>
          </w:tcPr>
          <w:p w14:paraId="54B45EE4" w14:textId="77777777" w:rsidR="00E20472" w:rsidRPr="00875049" w:rsidRDefault="00E20472" w:rsidP="00875049">
            <w:pPr>
              <w:rPr>
                <w:rFonts w:ascii="Aptos" w:hAnsi="Aptos" w:cs="Arial"/>
                <w:color w:val="auto"/>
                <w:sz w:val="20"/>
                <w:szCs w:val="20"/>
              </w:rPr>
            </w:pPr>
            <w:r w:rsidRPr="00875049">
              <w:rPr>
                <w:rFonts w:ascii="Aptos" w:hAnsi="Aptos" w:cs="Arial"/>
                <w:color w:val="auto"/>
                <w:sz w:val="20"/>
                <w:szCs w:val="20"/>
              </w:rPr>
              <w:t xml:space="preserve">The NIST AI Risk Management Framework (AI RMF) is a voluntary framework developed by the National Institute of Standards and Technology to help organizations manage risks associated with artificial intelligence systems, promoting trustworthy and responsible AI development and deployment.  </w:t>
            </w:r>
          </w:p>
        </w:tc>
      </w:tr>
      <w:tr w:rsidR="00E20472" w:rsidRPr="00875049" w14:paraId="4300EE95" w14:textId="77777777" w:rsidTr="00EA05E1">
        <w:trPr>
          <w:trHeight w:val="1170"/>
        </w:trPr>
        <w:tc>
          <w:tcPr>
            <w:tcW w:w="3145" w:type="dxa"/>
            <w:hideMark/>
          </w:tcPr>
          <w:p w14:paraId="4161049B" w14:textId="77777777" w:rsidR="00E20472" w:rsidRPr="00875049" w:rsidRDefault="00E20472" w:rsidP="00875049">
            <w:pPr>
              <w:pStyle w:val="PlainLink1"/>
              <w:tabs>
                <w:tab w:val="left" w:pos="880"/>
              </w:tabs>
              <w:spacing w:after="0"/>
              <w:ind w:left="0" w:right="0"/>
              <w:rPr>
                <w:rFonts w:ascii="Aptos" w:hAnsi="Aptos" w:cs="Arial"/>
                <w:sz w:val="20"/>
                <w:szCs w:val="20"/>
                <w:u w:val="single"/>
              </w:rPr>
            </w:pPr>
            <w:hyperlink r:id="rId18" w:history="1">
              <w:r w:rsidRPr="00875049">
                <w:rPr>
                  <w:rStyle w:val="Hyperlink"/>
                  <w:rFonts w:ascii="Aptos" w:hAnsi="Aptos" w:cs="Arial"/>
                  <w:sz w:val="20"/>
                  <w:szCs w:val="20"/>
                </w:rPr>
                <w:t>NIST AI RMF Playbook</w:t>
              </w:r>
            </w:hyperlink>
          </w:p>
        </w:tc>
        <w:tc>
          <w:tcPr>
            <w:tcW w:w="6925" w:type="dxa"/>
            <w:hideMark/>
          </w:tcPr>
          <w:p w14:paraId="41FA8659" w14:textId="77777777" w:rsidR="00E20472" w:rsidRPr="00875049" w:rsidRDefault="00E20472" w:rsidP="00875049">
            <w:pPr>
              <w:rPr>
                <w:rFonts w:ascii="Aptos" w:hAnsi="Aptos" w:cs="Arial"/>
                <w:color w:val="auto"/>
                <w:sz w:val="20"/>
                <w:szCs w:val="20"/>
              </w:rPr>
            </w:pPr>
            <w:r w:rsidRPr="00875049">
              <w:rPr>
                <w:rFonts w:ascii="Aptos" w:hAnsi="Aptos" w:cs="Arial"/>
                <w:color w:val="auto"/>
                <w:sz w:val="20"/>
                <w:szCs w:val="20"/>
              </w:rPr>
              <w:t>The Playbook provides suggested actions for achieving the outcomes laid out in the AI Risk Management Framework (AI RMF) Core (Tables 1 – 4 in AI RMF 1.0). Suggestions are aligned to each sub-category within the four AI RMF functions (Govern, Map, Measure, Manage).</w:t>
            </w:r>
          </w:p>
        </w:tc>
      </w:tr>
      <w:tr w:rsidR="00E20472" w:rsidRPr="00875049" w14:paraId="53508EDD" w14:textId="77777777" w:rsidTr="00EA05E1">
        <w:trPr>
          <w:trHeight w:val="290"/>
        </w:trPr>
        <w:tc>
          <w:tcPr>
            <w:tcW w:w="3145" w:type="dxa"/>
            <w:hideMark/>
          </w:tcPr>
          <w:p w14:paraId="15CD9356" w14:textId="77777777" w:rsidR="00E20472" w:rsidRPr="00875049" w:rsidRDefault="00E20472" w:rsidP="00875049">
            <w:pPr>
              <w:pStyle w:val="PlainLink1"/>
              <w:tabs>
                <w:tab w:val="left" w:pos="880"/>
              </w:tabs>
              <w:spacing w:after="0"/>
              <w:ind w:left="0" w:right="0"/>
              <w:rPr>
                <w:rFonts w:ascii="Aptos" w:hAnsi="Aptos" w:cs="Arial"/>
                <w:sz w:val="20"/>
                <w:szCs w:val="20"/>
                <w:u w:val="single"/>
              </w:rPr>
            </w:pPr>
            <w:hyperlink r:id="rId19" w:history="1">
              <w:r w:rsidRPr="00875049">
                <w:rPr>
                  <w:rStyle w:val="Hyperlink"/>
                  <w:rFonts w:ascii="Aptos" w:hAnsi="Aptos" w:cs="Arial"/>
                  <w:sz w:val="20"/>
                  <w:szCs w:val="20"/>
                </w:rPr>
                <w:t>NIST Trustworthy and Responsible AI</w:t>
              </w:r>
            </w:hyperlink>
          </w:p>
        </w:tc>
        <w:tc>
          <w:tcPr>
            <w:tcW w:w="6925" w:type="dxa"/>
            <w:vMerge w:val="restart"/>
            <w:hideMark/>
          </w:tcPr>
          <w:p w14:paraId="0A9A0F7B" w14:textId="77777777" w:rsidR="00E20472" w:rsidRPr="00875049" w:rsidRDefault="00E20472" w:rsidP="00875049">
            <w:pPr>
              <w:rPr>
                <w:rFonts w:ascii="Aptos" w:hAnsi="Aptos" w:cs="Arial"/>
                <w:color w:val="auto"/>
                <w:sz w:val="20"/>
                <w:szCs w:val="20"/>
              </w:rPr>
            </w:pPr>
            <w:r w:rsidRPr="00875049">
              <w:rPr>
                <w:rFonts w:ascii="Aptos" w:hAnsi="Aptos" w:cs="Arial"/>
                <w:color w:val="auto"/>
                <w:sz w:val="20"/>
                <w:szCs w:val="20"/>
              </w:rPr>
              <w:t>A cross-sectoral profile and companion resource for the AI Risk Management Framework (AI RMF 1.0) for Generative AI, in line with Executive Order 14110 on Safe, Secure, and Trustworthy Artificial Intelligence. It aims to aid organizations in managing AI risks by integrating trustworthiness considerations into AI product and service development and offers insights and suggested actions to address novel risks associated with Generative AI.</w:t>
            </w:r>
          </w:p>
        </w:tc>
      </w:tr>
      <w:tr w:rsidR="00E20472" w:rsidRPr="00875049" w14:paraId="3308DC5F" w14:textId="77777777" w:rsidTr="00875049">
        <w:trPr>
          <w:trHeight w:val="1126"/>
        </w:trPr>
        <w:tc>
          <w:tcPr>
            <w:tcW w:w="3145" w:type="dxa"/>
            <w:hideMark/>
          </w:tcPr>
          <w:p w14:paraId="5485A26E" w14:textId="77777777" w:rsidR="00E20472" w:rsidRPr="00875049" w:rsidRDefault="00E20472" w:rsidP="00875049">
            <w:pPr>
              <w:pStyle w:val="PlainLink1"/>
              <w:tabs>
                <w:tab w:val="left" w:pos="880"/>
              </w:tabs>
              <w:spacing w:after="0"/>
              <w:ind w:left="0" w:right="0"/>
              <w:rPr>
                <w:rFonts w:ascii="Aptos" w:hAnsi="Aptos" w:cs="Arial"/>
                <w:sz w:val="20"/>
                <w:szCs w:val="20"/>
                <w:u w:val="single"/>
              </w:rPr>
            </w:pPr>
            <w:hyperlink r:id="rId20" w:history="1">
              <w:r w:rsidRPr="00875049">
                <w:rPr>
                  <w:rStyle w:val="Hyperlink"/>
                  <w:rFonts w:ascii="Aptos" w:hAnsi="Aptos" w:cs="Arial"/>
                  <w:sz w:val="20"/>
                  <w:szCs w:val="20"/>
                </w:rPr>
                <w:t>NIST AI 600-1</w:t>
              </w:r>
            </w:hyperlink>
          </w:p>
        </w:tc>
        <w:tc>
          <w:tcPr>
            <w:tcW w:w="6925" w:type="dxa"/>
            <w:vMerge/>
            <w:hideMark/>
          </w:tcPr>
          <w:p w14:paraId="25B53040" w14:textId="77777777" w:rsidR="00E20472" w:rsidRPr="00875049" w:rsidRDefault="00E20472" w:rsidP="00875049">
            <w:pPr>
              <w:rPr>
                <w:rFonts w:ascii="Aptos" w:hAnsi="Aptos" w:cs="Arial"/>
                <w:color w:val="auto"/>
                <w:sz w:val="20"/>
                <w:szCs w:val="20"/>
              </w:rPr>
            </w:pPr>
          </w:p>
        </w:tc>
      </w:tr>
      <w:tr w:rsidR="00E20472" w:rsidRPr="00875049" w14:paraId="0F60DC6E" w14:textId="77777777" w:rsidTr="00EA05E1">
        <w:trPr>
          <w:trHeight w:val="1170"/>
        </w:trPr>
        <w:tc>
          <w:tcPr>
            <w:tcW w:w="3145" w:type="dxa"/>
            <w:hideMark/>
          </w:tcPr>
          <w:p w14:paraId="75FAE92C" w14:textId="77777777" w:rsidR="00E20472" w:rsidRPr="00875049" w:rsidRDefault="00E20472" w:rsidP="00875049">
            <w:pPr>
              <w:pStyle w:val="PlainLink1"/>
              <w:tabs>
                <w:tab w:val="left" w:pos="880"/>
              </w:tabs>
              <w:spacing w:after="0"/>
              <w:ind w:left="0" w:right="0"/>
              <w:rPr>
                <w:rFonts w:ascii="Aptos" w:hAnsi="Aptos" w:cs="Arial"/>
                <w:sz w:val="20"/>
                <w:szCs w:val="20"/>
                <w:u w:val="single"/>
              </w:rPr>
            </w:pPr>
            <w:hyperlink r:id="rId21" w:history="1">
              <w:r w:rsidRPr="00875049">
                <w:rPr>
                  <w:rStyle w:val="Hyperlink"/>
                  <w:rFonts w:ascii="Aptos" w:hAnsi="Aptos" w:cs="Arial"/>
                  <w:sz w:val="20"/>
                  <w:szCs w:val="20"/>
                </w:rPr>
                <w:t>Supervisory Guidance on Model Risk Management (SR 11-7)</w:t>
              </w:r>
            </w:hyperlink>
          </w:p>
        </w:tc>
        <w:tc>
          <w:tcPr>
            <w:tcW w:w="6925" w:type="dxa"/>
            <w:hideMark/>
          </w:tcPr>
          <w:p w14:paraId="35D033D2" w14:textId="77777777" w:rsidR="00E20472" w:rsidRPr="00875049" w:rsidRDefault="00E20472" w:rsidP="00875049">
            <w:pPr>
              <w:rPr>
                <w:rFonts w:ascii="Aptos" w:hAnsi="Aptos" w:cs="Arial"/>
                <w:color w:val="auto"/>
                <w:sz w:val="20"/>
                <w:szCs w:val="20"/>
              </w:rPr>
            </w:pPr>
            <w:r w:rsidRPr="00875049">
              <w:rPr>
                <w:rFonts w:ascii="Aptos" w:hAnsi="Aptos" w:cs="Arial"/>
                <w:color w:val="auto"/>
                <w:sz w:val="20"/>
                <w:szCs w:val="20"/>
              </w:rPr>
              <w:t>SR 11-7 is supervisory guidance issued by the Federal Reserve and the Office of the Comptroller of the Currency (OCC) that outlines comprehensive requirements for Model Risk Management (MRM) for banks and financial institutions operating within the United States.</w:t>
            </w:r>
          </w:p>
        </w:tc>
      </w:tr>
      <w:tr w:rsidR="00E20472" w:rsidRPr="00875049" w14:paraId="60040A2A" w14:textId="77777777" w:rsidTr="00EA05E1">
        <w:trPr>
          <w:trHeight w:val="1460"/>
        </w:trPr>
        <w:tc>
          <w:tcPr>
            <w:tcW w:w="3145" w:type="dxa"/>
            <w:hideMark/>
          </w:tcPr>
          <w:p w14:paraId="11F512F9" w14:textId="77777777" w:rsidR="00E20472" w:rsidRPr="00875049" w:rsidRDefault="00E20472" w:rsidP="00875049">
            <w:pPr>
              <w:pStyle w:val="PlainLink1"/>
              <w:tabs>
                <w:tab w:val="left" w:pos="880"/>
              </w:tabs>
              <w:spacing w:after="0"/>
              <w:ind w:left="0" w:right="0"/>
              <w:rPr>
                <w:rFonts w:ascii="Aptos" w:hAnsi="Aptos" w:cs="Arial"/>
                <w:sz w:val="20"/>
                <w:szCs w:val="20"/>
                <w:u w:val="single"/>
              </w:rPr>
            </w:pPr>
            <w:hyperlink r:id="rId22" w:history="1">
              <w:r w:rsidRPr="00875049">
                <w:rPr>
                  <w:rStyle w:val="Hyperlink"/>
                  <w:rFonts w:ascii="Aptos" w:hAnsi="Aptos" w:cs="Arial"/>
                  <w:sz w:val="20"/>
                  <w:szCs w:val="20"/>
                </w:rPr>
                <w:t>OECD AI Principles</w:t>
              </w:r>
            </w:hyperlink>
          </w:p>
        </w:tc>
        <w:tc>
          <w:tcPr>
            <w:tcW w:w="6925" w:type="dxa"/>
            <w:hideMark/>
          </w:tcPr>
          <w:p w14:paraId="01E597FA" w14:textId="77777777" w:rsidR="00E20472" w:rsidRPr="00875049" w:rsidRDefault="00E20472" w:rsidP="00875049">
            <w:pPr>
              <w:rPr>
                <w:rFonts w:ascii="Aptos" w:hAnsi="Aptos" w:cs="Arial"/>
                <w:color w:val="auto"/>
                <w:sz w:val="20"/>
                <w:szCs w:val="20"/>
              </w:rPr>
            </w:pPr>
            <w:r w:rsidRPr="00875049">
              <w:rPr>
                <w:rFonts w:ascii="Aptos" w:hAnsi="Aptos" w:cs="Arial"/>
                <w:color w:val="auto"/>
                <w:sz w:val="20"/>
                <w:szCs w:val="20"/>
              </w:rPr>
              <w:t>The OECD AI Principles are the first intergovernmental standard on AI. They promote innovative, trustworthy AI that respects human rights and democratic values. Adopted in 2019 and updated in 2024, they are composed of five values-based principles and five recommendations that provide practical and flexible guidance for policymakers and AI actors.</w:t>
            </w:r>
          </w:p>
        </w:tc>
      </w:tr>
      <w:tr w:rsidR="00E20472" w:rsidRPr="00875049" w14:paraId="21DB8B90" w14:textId="77777777" w:rsidTr="00EA05E1">
        <w:trPr>
          <w:trHeight w:val="880"/>
        </w:trPr>
        <w:tc>
          <w:tcPr>
            <w:tcW w:w="3145" w:type="dxa"/>
            <w:hideMark/>
          </w:tcPr>
          <w:p w14:paraId="1606DDE1" w14:textId="77777777" w:rsidR="00E20472" w:rsidRPr="00875049" w:rsidRDefault="00E20472" w:rsidP="00875049">
            <w:pPr>
              <w:pStyle w:val="PlainLink1"/>
              <w:tabs>
                <w:tab w:val="left" w:pos="880"/>
              </w:tabs>
              <w:spacing w:after="0"/>
              <w:ind w:left="0" w:right="0"/>
              <w:rPr>
                <w:rFonts w:ascii="Aptos" w:hAnsi="Aptos" w:cs="Arial"/>
                <w:sz w:val="20"/>
                <w:szCs w:val="20"/>
                <w:u w:val="single"/>
              </w:rPr>
            </w:pPr>
            <w:hyperlink r:id="rId23" w:history="1">
              <w:r w:rsidRPr="00875049">
                <w:rPr>
                  <w:rStyle w:val="Hyperlink"/>
                  <w:rFonts w:ascii="Aptos" w:hAnsi="Aptos" w:cs="Arial"/>
                  <w:sz w:val="20"/>
                  <w:szCs w:val="20"/>
                </w:rPr>
                <w:t>European Union (EU) AI Act</w:t>
              </w:r>
            </w:hyperlink>
          </w:p>
        </w:tc>
        <w:tc>
          <w:tcPr>
            <w:tcW w:w="6925" w:type="dxa"/>
            <w:hideMark/>
          </w:tcPr>
          <w:p w14:paraId="207ACB72" w14:textId="77777777" w:rsidR="00E20472" w:rsidRPr="00875049" w:rsidRDefault="00E20472" w:rsidP="00875049">
            <w:pPr>
              <w:rPr>
                <w:rFonts w:ascii="Aptos" w:hAnsi="Aptos" w:cs="Arial"/>
                <w:color w:val="auto"/>
                <w:sz w:val="20"/>
                <w:szCs w:val="20"/>
              </w:rPr>
            </w:pPr>
            <w:r w:rsidRPr="00875049">
              <w:rPr>
                <w:rFonts w:ascii="Aptos" w:hAnsi="Aptos" w:cs="Arial"/>
                <w:color w:val="auto"/>
                <w:sz w:val="20"/>
                <w:szCs w:val="20"/>
              </w:rPr>
              <w:t xml:space="preserve">The EU Artificial Intelligence Act (AI Act) is a comprehensive legal framework established by the European Union to regulate the development and use of AI systems, aiming to address associated risks and promote trustworthy AI.  </w:t>
            </w:r>
          </w:p>
        </w:tc>
      </w:tr>
      <w:tr w:rsidR="00E20472" w:rsidRPr="00875049" w14:paraId="54285D23" w14:textId="77777777" w:rsidTr="00EA05E1">
        <w:trPr>
          <w:trHeight w:val="1160"/>
        </w:trPr>
        <w:tc>
          <w:tcPr>
            <w:tcW w:w="3145" w:type="dxa"/>
            <w:vMerge w:val="restart"/>
            <w:hideMark/>
          </w:tcPr>
          <w:p w14:paraId="7E85E129" w14:textId="77777777" w:rsidR="00E20472" w:rsidRPr="00875049" w:rsidRDefault="00E20472" w:rsidP="00875049">
            <w:pPr>
              <w:pStyle w:val="PlainLink1"/>
              <w:tabs>
                <w:tab w:val="left" w:pos="880"/>
              </w:tabs>
              <w:spacing w:after="0"/>
              <w:ind w:left="0" w:right="0"/>
              <w:rPr>
                <w:rFonts w:ascii="Aptos" w:hAnsi="Aptos" w:cs="Arial"/>
                <w:sz w:val="20"/>
                <w:szCs w:val="20"/>
                <w:u w:val="single"/>
              </w:rPr>
            </w:pPr>
            <w:hyperlink r:id="rId24" w:history="1">
              <w:r w:rsidRPr="00875049">
                <w:rPr>
                  <w:rStyle w:val="Hyperlink"/>
                  <w:rFonts w:ascii="Aptos" w:hAnsi="Aptos" w:cs="Arial"/>
                  <w:sz w:val="20"/>
                  <w:szCs w:val="20"/>
                </w:rPr>
                <w:t>CRI Profile</w:t>
              </w:r>
            </w:hyperlink>
          </w:p>
        </w:tc>
        <w:tc>
          <w:tcPr>
            <w:tcW w:w="6925" w:type="dxa"/>
            <w:hideMark/>
          </w:tcPr>
          <w:p w14:paraId="711BD787" w14:textId="77777777" w:rsidR="00E20472" w:rsidRPr="00875049" w:rsidRDefault="00E20472" w:rsidP="00875049">
            <w:pPr>
              <w:rPr>
                <w:rFonts w:ascii="Aptos" w:hAnsi="Aptos" w:cs="Arial"/>
                <w:color w:val="auto"/>
                <w:sz w:val="20"/>
                <w:szCs w:val="20"/>
              </w:rPr>
            </w:pPr>
            <w:r w:rsidRPr="00875049">
              <w:rPr>
                <w:rFonts w:ascii="Aptos" w:hAnsi="Aptos" w:cs="Arial"/>
                <w:color w:val="auto"/>
                <w:sz w:val="20"/>
                <w:szCs w:val="20"/>
              </w:rPr>
              <w:t>The Cyber Risk Institute (CRI) Profile is a cybersecurity framework tailored for the financial sector, consolidating over 3,000 regulatory expectations into fewer than 300 diagnostic statements to streamline cyber risk management and regulatory compliance.</w:t>
            </w:r>
          </w:p>
        </w:tc>
      </w:tr>
      <w:tr w:rsidR="00E20472" w:rsidRPr="00875049" w14:paraId="306CF584" w14:textId="77777777" w:rsidTr="004C15D6">
        <w:trPr>
          <w:trHeight w:val="838"/>
        </w:trPr>
        <w:tc>
          <w:tcPr>
            <w:tcW w:w="3145" w:type="dxa"/>
            <w:vMerge/>
            <w:hideMark/>
          </w:tcPr>
          <w:p w14:paraId="446FC748" w14:textId="77777777" w:rsidR="00E20472" w:rsidRPr="00875049" w:rsidRDefault="00E20472" w:rsidP="00875049">
            <w:pPr>
              <w:pStyle w:val="PlainLink1"/>
              <w:spacing w:after="0"/>
              <w:ind w:left="0" w:right="0"/>
              <w:rPr>
                <w:rFonts w:ascii="Aptos" w:hAnsi="Aptos" w:cs="Arial"/>
                <w:sz w:val="20"/>
                <w:szCs w:val="20"/>
                <w:u w:val="single"/>
              </w:rPr>
            </w:pPr>
          </w:p>
        </w:tc>
        <w:tc>
          <w:tcPr>
            <w:tcW w:w="6925" w:type="dxa"/>
            <w:hideMark/>
          </w:tcPr>
          <w:p w14:paraId="0F3CF418" w14:textId="77777777" w:rsidR="00E20472" w:rsidRPr="00875049" w:rsidRDefault="00E20472" w:rsidP="00875049">
            <w:pPr>
              <w:rPr>
                <w:rFonts w:ascii="Aptos" w:hAnsi="Aptos" w:cs="Arial"/>
                <w:color w:val="auto"/>
                <w:sz w:val="20"/>
                <w:szCs w:val="20"/>
              </w:rPr>
            </w:pPr>
            <w:r w:rsidRPr="00875049">
              <w:rPr>
                <w:rFonts w:ascii="Aptos" w:hAnsi="Aptos" w:cs="Arial"/>
                <w:color w:val="auto"/>
                <w:sz w:val="20"/>
                <w:szCs w:val="20"/>
              </w:rPr>
              <w:t xml:space="preserve">Version 2.0 of the Profile expands its scope to include enterprise technology, third-party risk management, and business continuity and resiliency, aligning with the latest NIST Cybersecurity Framework.  </w:t>
            </w:r>
          </w:p>
        </w:tc>
      </w:tr>
      <w:tr w:rsidR="00E20472" w:rsidRPr="00875049" w14:paraId="0D876C5F" w14:textId="77777777" w:rsidTr="009C55E2">
        <w:trPr>
          <w:trHeight w:val="300"/>
        </w:trPr>
        <w:tc>
          <w:tcPr>
            <w:tcW w:w="10070" w:type="dxa"/>
            <w:gridSpan w:val="2"/>
            <w:shd w:val="clear" w:color="auto" w:fill="CCDCDC"/>
            <w:noWrap/>
            <w:hideMark/>
          </w:tcPr>
          <w:p w14:paraId="5F1396A7" w14:textId="7975214E" w:rsidR="00E20472" w:rsidRPr="00875049" w:rsidRDefault="00E20472" w:rsidP="00875049">
            <w:pPr>
              <w:pStyle w:val="PlainLink1"/>
              <w:spacing w:after="0"/>
              <w:ind w:left="0" w:right="0"/>
              <w:rPr>
                <w:rFonts w:ascii="Aptos" w:hAnsi="Aptos" w:cs="Arial"/>
                <w:b/>
                <w:bCs/>
                <w:color w:val="000000" w:themeColor="text1"/>
                <w:sz w:val="20"/>
                <w:szCs w:val="20"/>
              </w:rPr>
            </w:pPr>
            <w:r w:rsidRPr="00875049">
              <w:rPr>
                <w:rFonts w:ascii="Aptos" w:hAnsi="Aptos" w:cs="Arial"/>
                <w:b/>
                <w:bCs/>
                <w:color w:val="000000" w:themeColor="text1"/>
                <w:sz w:val="20"/>
                <w:szCs w:val="20"/>
              </w:rPr>
              <w:t xml:space="preserve">Secondary </w:t>
            </w:r>
            <w:r w:rsidR="00686CF5" w:rsidRPr="00875049">
              <w:rPr>
                <w:rFonts w:ascii="Aptos" w:hAnsi="Aptos" w:cs="Arial"/>
                <w:b/>
                <w:bCs/>
                <w:color w:val="000000" w:themeColor="text1"/>
                <w:sz w:val="20"/>
                <w:szCs w:val="20"/>
              </w:rPr>
              <w:t>Refere</w:t>
            </w:r>
            <w:r w:rsidR="00686CF5" w:rsidRPr="00875049">
              <w:rPr>
                <w:rFonts w:ascii="Aptos" w:hAnsi="Aptos" w:cs="Arial"/>
                <w:b/>
                <w:bCs/>
                <w:color w:val="000000" w:themeColor="text1"/>
                <w:sz w:val="20"/>
                <w:szCs w:val="20"/>
                <w:shd w:val="clear" w:color="auto" w:fill="CCDCDC"/>
              </w:rPr>
              <w:t>nces</w:t>
            </w:r>
          </w:p>
        </w:tc>
      </w:tr>
      <w:tr w:rsidR="00E20472" w:rsidRPr="00875049" w14:paraId="3AF399A7" w14:textId="77777777" w:rsidTr="00EA05E1">
        <w:trPr>
          <w:trHeight w:val="590"/>
        </w:trPr>
        <w:tc>
          <w:tcPr>
            <w:tcW w:w="3145" w:type="dxa"/>
            <w:hideMark/>
          </w:tcPr>
          <w:p w14:paraId="1F553AFA" w14:textId="77777777" w:rsidR="00E20472" w:rsidRPr="00875049" w:rsidRDefault="00E20472" w:rsidP="00875049">
            <w:pPr>
              <w:pStyle w:val="PlainLink1"/>
              <w:spacing w:after="0"/>
              <w:ind w:left="0" w:right="0"/>
              <w:rPr>
                <w:rFonts w:ascii="Aptos" w:hAnsi="Aptos" w:cs="Arial"/>
                <w:sz w:val="20"/>
                <w:szCs w:val="20"/>
                <w:u w:val="single"/>
              </w:rPr>
            </w:pPr>
            <w:hyperlink r:id="rId25" w:history="1">
              <w:r w:rsidRPr="00875049">
                <w:rPr>
                  <w:rStyle w:val="Hyperlink"/>
                  <w:rFonts w:ascii="Aptos" w:hAnsi="Aptos" w:cs="Arial"/>
                  <w:sz w:val="20"/>
                  <w:szCs w:val="20"/>
                </w:rPr>
                <w:t>ISO 42001</w:t>
              </w:r>
            </w:hyperlink>
          </w:p>
        </w:tc>
        <w:tc>
          <w:tcPr>
            <w:tcW w:w="6925" w:type="dxa"/>
            <w:hideMark/>
          </w:tcPr>
          <w:p w14:paraId="23C440B8" w14:textId="77777777" w:rsidR="00E20472" w:rsidRPr="00875049" w:rsidRDefault="00E20472" w:rsidP="00875049">
            <w:pPr>
              <w:pStyle w:val="PlainLink1"/>
              <w:spacing w:after="0"/>
              <w:ind w:left="0" w:right="0"/>
              <w:rPr>
                <w:rFonts w:ascii="Aptos" w:hAnsi="Aptos" w:cs="Arial"/>
                <w:color w:val="auto"/>
                <w:sz w:val="20"/>
                <w:szCs w:val="20"/>
              </w:rPr>
            </w:pPr>
            <w:r w:rsidRPr="00875049">
              <w:rPr>
                <w:rFonts w:ascii="Aptos" w:hAnsi="Aptos" w:cs="Arial"/>
                <w:color w:val="auto"/>
                <w:sz w:val="20"/>
                <w:szCs w:val="20"/>
              </w:rPr>
              <w:t>AI management system standard, providing organizations with a systematic approach to identify, evaluate, and address the risks associated with AI.</w:t>
            </w:r>
          </w:p>
        </w:tc>
      </w:tr>
      <w:tr w:rsidR="00E20472" w:rsidRPr="00875049" w14:paraId="1E5DBF85" w14:textId="77777777" w:rsidTr="00EA05E1">
        <w:trPr>
          <w:trHeight w:val="880"/>
        </w:trPr>
        <w:tc>
          <w:tcPr>
            <w:tcW w:w="3145" w:type="dxa"/>
            <w:hideMark/>
          </w:tcPr>
          <w:p w14:paraId="2E5A6819" w14:textId="77777777" w:rsidR="00E20472" w:rsidRPr="00875049" w:rsidRDefault="00E20472" w:rsidP="00875049">
            <w:pPr>
              <w:pStyle w:val="PlainLink1"/>
              <w:spacing w:after="0"/>
              <w:ind w:left="0" w:right="0"/>
              <w:rPr>
                <w:rFonts w:ascii="Aptos" w:hAnsi="Aptos" w:cs="Arial"/>
                <w:sz w:val="20"/>
                <w:szCs w:val="20"/>
                <w:u w:val="single"/>
              </w:rPr>
            </w:pPr>
            <w:hyperlink r:id="rId26" w:history="1">
              <w:r w:rsidRPr="00875049">
                <w:rPr>
                  <w:rStyle w:val="Hyperlink"/>
                  <w:rFonts w:ascii="Aptos" w:hAnsi="Aptos" w:cs="Arial"/>
                  <w:sz w:val="20"/>
                  <w:szCs w:val="20"/>
                </w:rPr>
                <w:t>OWASP Top 10</w:t>
              </w:r>
            </w:hyperlink>
          </w:p>
        </w:tc>
        <w:tc>
          <w:tcPr>
            <w:tcW w:w="6925" w:type="dxa"/>
            <w:hideMark/>
          </w:tcPr>
          <w:p w14:paraId="5D58450C" w14:textId="77777777" w:rsidR="00E20472" w:rsidRPr="00875049" w:rsidRDefault="00E20472" w:rsidP="00875049">
            <w:pPr>
              <w:pStyle w:val="PlainLink1"/>
              <w:spacing w:after="0"/>
              <w:ind w:left="0" w:right="0"/>
              <w:rPr>
                <w:rFonts w:ascii="Aptos" w:hAnsi="Aptos" w:cs="Arial"/>
                <w:color w:val="auto"/>
                <w:sz w:val="20"/>
                <w:szCs w:val="20"/>
              </w:rPr>
            </w:pPr>
            <w:r w:rsidRPr="00875049">
              <w:rPr>
                <w:rFonts w:ascii="Aptos" w:hAnsi="Aptos" w:cs="Arial"/>
                <w:color w:val="auto"/>
                <w:sz w:val="20"/>
                <w:szCs w:val="20"/>
              </w:rPr>
              <w:t>The OWASP Top 10 is a standard awareness document for developers and web application security, representing a broad consensus about the most critical security risks to web applications.</w:t>
            </w:r>
          </w:p>
        </w:tc>
      </w:tr>
      <w:tr w:rsidR="00E20472" w:rsidRPr="00875049" w14:paraId="76416E1A" w14:textId="77777777" w:rsidTr="00EA05E1">
        <w:trPr>
          <w:trHeight w:val="1170"/>
        </w:trPr>
        <w:tc>
          <w:tcPr>
            <w:tcW w:w="3145" w:type="dxa"/>
            <w:hideMark/>
          </w:tcPr>
          <w:p w14:paraId="0D8902D9" w14:textId="77777777" w:rsidR="00E20472" w:rsidRPr="00875049" w:rsidRDefault="00E20472" w:rsidP="00875049">
            <w:pPr>
              <w:pStyle w:val="PlainLink1"/>
              <w:spacing w:after="0"/>
              <w:ind w:left="0" w:right="0"/>
              <w:rPr>
                <w:rFonts w:ascii="Aptos" w:hAnsi="Aptos" w:cs="Arial"/>
                <w:sz w:val="20"/>
                <w:szCs w:val="20"/>
                <w:u w:val="single"/>
              </w:rPr>
            </w:pPr>
            <w:hyperlink r:id="rId27" w:history="1">
              <w:r w:rsidRPr="00875049">
                <w:rPr>
                  <w:rStyle w:val="Hyperlink"/>
                  <w:rFonts w:ascii="Aptos" w:hAnsi="Aptos" w:cs="Arial"/>
                  <w:sz w:val="20"/>
                  <w:szCs w:val="20"/>
                </w:rPr>
                <w:t>FFIEC Guidance</w:t>
              </w:r>
            </w:hyperlink>
          </w:p>
        </w:tc>
        <w:tc>
          <w:tcPr>
            <w:tcW w:w="6925" w:type="dxa"/>
            <w:hideMark/>
          </w:tcPr>
          <w:p w14:paraId="5C3EF4C7" w14:textId="77777777" w:rsidR="00E20472" w:rsidRPr="00875049" w:rsidRDefault="00E20472" w:rsidP="00875049">
            <w:pPr>
              <w:pStyle w:val="PlainLink1"/>
              <w:spacing w:after="0"/>
              <w:ind w:left="0" w:right="0"/>
              <w:rPr>
                <w:rFonts w:ascii="Aptos" w:hAnsi="Aptos" w:cs="Arial"/>
                <w:color w:val="auto"/>
                <w:sz w:val="20"/>
                <w:szCs w:val="20"/>
              </w:rPr>
            </w:pPr>
            <w:r w:rsidRPr="00875049">
              <w:rPr>
                <w:rFonts w:ascii="Aptos" w:hAnsi="Aptos" w:cs="Arial"/>
                <w:color w:val="auto"/>
                <w:sz w:val="20"/>
                <w:szCs w:val="20"/>
              </w:rPr>
              <w:t xml:space="preserve">The Federal Financial Institutions Examination Council (FFIEC) issues guidance to standardize the supervision of financial institutions, covering areas such as cybersecurity, authentication, and information technology management. </w:t>
            </w:r>
          </w:p>
        </w:tc>
      </w:tr>
      <w:tr w:rsidR="00E20472" w:rsidRPr="00875049" w14:paraId="77576D1C" w14:textId="77777777" w:rsidTr="00EA05E1">
        <w:trPr>
          <w:trHeight w:val="880"/>
        </w:trPr>
        <w:tc>
          <w:tcPr>
            <w:tcW w:w="3145" w:type="dxa"/>
            <w:hideMark/>
          </w:tcPr>
          <w:p w14:paraId="4729C64B" w14:textId="77777777" w:rsidR="00E20472" w:rsidRPr="00875049" w:rsidRDefault="00E20472" w:rsidP="00875049">
            <w:pPr>
              <w:pStyle w:val="PlainLink1"/>
              <w:spacing w:after="0"/>
              <w:ind w:left="0" w:right="0"/>
              <w:rPr>
                <w:rFonts w:ascii="Aptos" w:hAnsi="Aptos" w:cs="Arial"/>
                <w:sz w:val="20"/>
                <w:szCs w:val="20"/>
                <w:u w:val="single"/>
              </w:rPr>
            </w:pPr>
            <w:hyperlink r:id="rId28" w:history="1">
              <w:r w:rsidRPr="00875049">
                <w:rPr>
                  <w:rStyle w:val="Hyperlink"/>
                  <w:rFonts w:ascii="Aptos" w:hAnsi="Aptos" w:cs="Arial"/>
                  <w:sz w:val="20"/>
                  <w:szCs w:val="20"/>
                </w:rPr>
                <w:t>G7 Toolkit</w:t>
              </w:r>
            </w:hyperlink>
          </w:p>
        </w:tc>
        <w:tc>
          <w:tcPr>
            <w:tcW w:w="6925" w:type="dxa"/>
            <w:hideMark/>
          </w:tcPr>
          <w:p w14:paraId="28A905FC" w14:textId="77777777" w:rsidR="00E20472" w:rsidRPr="00875049" w:rsidRDefault="00E20472" w:rsidP="00875049">
            <w:pPr>
              <w:pStyle w:val="PlainLink1"/>
              <w:spacing w:after="0"/>
              <w:ind w:left="0" w:right="0"/>
              <w:rPr>
                <w:rFonts w:ascii="Aptos" w:hAnsi="Aptos" w:cs="Arial"/>
                <w:color w:val="auto"/>
                <w:sz w:val="20"/>
                <w:szCs w:val="20"/>
              </w:rPr>
            </w:pPr>
            <w:r w:rsidRPr="00875049">
              <w:rPr>
                <w:rFonts w:ascii="Aptos" w:hAnsi="Aptos" w:cs="Arial"/>
                <w:color w:val="auto"/>
                <w:sz w:val="20"/>
                <w:szCs w:val="20"/>
              </w:rPr>
              <w:t xml:space="preserve">The G7 has established International Guiding Principles and a voluntary Code of Conduct to promote the safe, secure, and trustworthy development of advanced AI systems. </w:t>
            </w:r>
          </w:p>
        </w:tc>
      </w:tr>
      <w:tr w:rsidR="00E20472" w:rsidRPr="00875049" w14:paraId="60AA4808" w14:textId="77777777" w:rsidTr="00EA05E1">
        <w:trPr>
          <w:trHeight w:val="1170"/>
        </w:trPr>
        <w:tc>
          <w:tcPr>
            <w:tcW w:w="3145" w:type="dxa"/>
            <w:hideMark/>
          </w:tcPr>
          <w:p w14:paraId="7001BFD5" w14:textId="77777777" w:rsidR="00E20472" w:rsidRPr="00875049" w:rsidRDefault="00E20472" w:rsidP="00875049">
            <w:pPr>
              <w:pStyle w:val="PlainLink1"/>
              <w:spacing w:after="0"/>
              <w:ind w:left="0" w:right="0"/>
              <w:rPr>
                <w:rFonts w:ascii="Aptos" w:hAnsi="Aptos" w:cs="Arial"/>
                <w:sz w:val="20"/>
                <w:szCs w:val="20"/>
                <w:u w:val="single"/>
              </w:rPr>
            </w:pPr>
            <w:hyperlink r:id="rId29" w:history="1">
              <w:r w:rsidRPr="00875049">
                <w:rPr>
                  <w:rStyle w:val="Hyperlink"/>
                  <w:rFonts w:ascii="Aptos" w:hAnsi="Aptos" w:cs="Arial"/>
                  <w:sz w:val="20"/>
                  <w:szCs w:val="20"/>
                </w:rPr>
                <w:t>Argentina</w:t>
              </w:r>
            </w:hyperlink>
          </w:p>
        </w:tc>
        <w:tc>
          <w:tcPr>
            <w:tcW w:w="6925" w:type="dxa"/>
            <w:hideMark/>
          </w:tcPr>
          <w:p w14:paraId="0E29478B" w14:textId="77777777" w:rsidR="00E20472" w:rsidRPr="00875049" w:rsidRDefault="00E20472" w:rsidP="00875049">
            <w:pPr>
              <w:pStyle w:val="PlainLink1"/>
              <w:spacing w:after="0"/>
              <w:ind w:left="0" w:right="0"/>
              <w:rPr>
                <w:rFonts w:ascii="Aptos" w:hAnsi="Aptos" w:cs="Arial"/>
                <w:color w:val="auto"/>
                <w:sz w:val="20"/>
                <w:szCs w:val="20"/>
              </w:rPr>
            </w:pPr>
            <w:r w:rsidRPr="00875049">
              <w:rPr>
                <w:rFonts w:ascii="Aptos" w:hAnsi="Aptos" w:cs="Arial"/>
                <w:color w:val="auto"/>
                <w:sz w:val="20"/>
                <w:szCs w:val="20"/>
              </w:rPr>
              <w:t xml:space="preserve">Argentina's data protection authority, the Agency of Access to Public Information, published Resolution No. 161/23. which created the Transparency and Protection of Personal Data Program in the use of Artificial Intelligence. </w:t>
            </w:r>
          </w:p>
        </w:tc>
      </w:tr>
      <w:tr w:rsidR="00E20472" w:rsidRPr="00875049" w14:paraId="7808A4EE" w14:textId="77777777" w:rsidTr="00EA05E1">
        <w:trPr>
          <w:trHeight w:val="880"/>
        </w:trPr>
        <w:tc>
          <w:tcPr>
            <w:tcW w:w="3145" w:type="dxa"/>
            <w:hideMark/>
          </w:tcPr>
          <w:p w14:paraId="7F9A3F02" w14:textId="77777777" w:rsidR="00E20472" w:rsidRPr="00875049" w:rsidRDefault="00E20472" w:rsidP="00875049">
            <w:pPr>
              <w:pStyle w:val="PlainLink1"/>
              <w:spacing w:after="0"/>
              <w:ind w:left="0" w:right="0"/>
              <w:rPr>
                <w:rFonts w:ascii="Aptos" w:hAnsi="Aptos" w:cs="Arial"/>
                <w:sz w:val="20"/>
                <w:szCs w:val="20"/>
                <w:u w:val="single"/>
              </w:rPr>
            </w:pPr>
            <w:hyperlink r:id="rId30" w:history="1">
              <w:r w:rsidRPr="00875049">
                <w:rPr>
                  <w:rStyle w:val="Hyperlink"/>
                  <w:rFonts w:ascii="Aptos" w:hAnsi="Aptos" w:cs="Arial"/>
                  <w:sz w:val="20"/>
                  <w:szCs w:val="20"/>
                </w:rPr>
                <w:t>MAS - AI Model Risk Management</w:t>
              </w:r>
            </w:hyperlink>
          </w:p>
        </w:tc>
        <w:tc>
          <w:tcPr>
            <w:tcW w:w="6925" w:type="dxa"/>
            <w:hideMark/>
          </w:tcPr>
          <w:p w14:paraId="5B702357" w14:textId="77777777" w:rsidR="00E20472" w:rsidRPr="00875049" w:rsidRDefault="00E20472" w:rsidP="00875049">
            <w:pPr>
              <w:pStyle w:val="PlainLink1"/>
              <w:spacing w:after="0"/>
              <w:ind w:left="0" w:right="0"/>
              <w:rPr>
                <w:rFonts w:ascii="Aptos" w:hAnsi="Aptos" w:cs="Arial"/>
                <w:color w:val="auto"/>
                <w:sz w:val="20"/>
                <w:szCs w:val="20"/>
              </w:rPr>
            </w:pPr>
            <w:r w:rsidRPr="00875049">
              <w:rPr>
                <w:rFonts w:ascii="Aptos" w:hAnsi="Aptos" w:cs="Arial"/>
                <w:color w:val="auto"/>
                <w:sz w:val="20"/>
                <w:szCs w:val="20"/>
              </w:rPr>
              <w:t>The Monetary Authority of Singapore (MAS) provides guidelines on the responsible use of AI and data analytics in financial services, emphasizing fairness, ethics, accountability, and transparency.</w:t>
            </w:r>
          </w:p>
        </w:tc>
      </w:tr>
      <w:tr w:rsidR="00E20472" w:rsidRPr="00875049" w14:paraId="58B8EC07" w14:textId="77777777" w:rsidTr="00EA05E1">
        <w:trPr>
          <w:trHeight w:val="880"/>
        </w:trPr>
        <w:tc>
          <w:tcPr>
            <w:tcW w:w="3145" w:type="dxa"/>
            <w:hideMark/>
          </w:tcPr>
          <w:p w14:paraId="7EAC46FA" w14:textId="77777777" w:rsidR="00E20472" w:rsidRPr="00875049" w:rsidRDefault="00E20472" w:rsidP="00875049">
            <w:pPr>
              <w:pStyle w:val="PlainLink1"/>
              <w:spacing w:after="0"/>
              <w:ind w:left="0" w:right="0"/>
              <w:rPr>
                <w:rFonts w:ascii="Aptos" w:hAnsi="Aptos" w:cs="Arial"/>
                <w:sz w:val="20"/>
                <w:szCs w:val="20"/>
                <w:u w:val="single"/>
              </w:rPr>
            </w:pPr>
            <w:hyperlink r:id="rId31" w:history="1">
              <w:r w:rsidRPr="00875049">
                <w:rPr>
                  <w:rStyle w:val="Hyperlink"/>
                  <w:rFonts w:ascii="Aptos" w:hAnsi="Aptos" w:cs="Arial"/>
                  <w:sz w:val="20"/>
                  <w:szCs w:val="20"/>
                </w:rPr>
                <w:t>UK AI Safety Institute</w:t>
              </w:r>
            </w:hyperlink>
          </w:p>
        </w:tc>
        <w:tc>
          <w:tcPr>
            <w:tcW w:w="6925" w:type="dxa"/>
            <w:hideMark/>
          </w:tcPr>
          <w:p w14:paraId="322BE33A" w14:textId="77777777" w:rsidR="00E20472" w:rsidRPr="00875049" w:rsidRDefault="00E20472" w:rsidP="00875049">
            <w:pPr>
              <w:pStyle w:val="PlainLink1"/>
              <w:spacing w:after="0"/>
              <w:ind w:left="0" w:right="0"/>
              <w:rPr>
                <w:rFonts w:ascii="Aptos" w:hAnsi="Aptos" w:cs="Arial"/>
                <w:color w:val="auto"/>
                <w:sz w:val="20"/>
                <w:szCs w:val="20"/>
              </w:rPr>
            </w:pPr>
            <w:r w:rsidRPr="00875049">
              <w:rPr>
                <w:rFonts w:ascii="Aptos" w:hAnsi="Aptos" w:cs="Arial"/>
                <w:color w:val="auto"/>
                <w:sz w:val="20"/>
                <w:szCs w:val="20"/>
              </w:rPr>
              <w:t xml:space="preserve">The United Kingdom has established the AI Safety Institute to evaluate and ensure the safety of advanced AI models, promoting responsible AI development. </w:t>
            </w:r>
          </w:p>
        </w:tc>
      </w:tr>
      <w:tr w:rsidR="00E20472" w:rsidRPr="00875049" w14:paraId="5747D1F1" w14:textId="77777777" w:rsidTr="00EA05E1">
        <w:trPr>
          <w:trHeight w:val="590"/>
        </w:trPr>
        <w:tc>
          <w:tcPr>
            <w:tcW w:w="3145" w:type="dxa"/>
            <w:hideMark/>
          </w:tcPr>
          <w:p w14:paraId="4943BF14" w14:textId="77777777" w:rsidR="00E20472" w:rsidRPr="00875049" w:rsidRDefault="00E20472" w:rsidP="00875049">
            <w:pPr>
              <w:pStyle w:val="PlainLink1"/>
              <w:spacing w:after="0"/>
              <w:ind w:left="0" w:right="0"/>
              <w:rPr>
                <w:rFonts w:ascii="Aptos" w:hAnsi="Aptos" w:cs="Arial"/>
                <w:sz w:val="20"/>
                <w:szCs w:val="20"/>
                <w:u w:val="single"/>
              </w:rPr>
            </w:pPr>
            <w:hyperlink r:id="rId32" w:history="1">
              <w:r w:rsidRPr="00875049">
                <w:rPr>
                  <w:rStyle w:val="Hyperlink"/>
                  <w:rFonts w:ascii="Aptos" w:hAnsi="Aptos" w:cs="Arial"/>
                  <w:sz w:val="20"/>
                  <w:szCs w:val="20"/>
                </w:rPr>
                <w:t>Germany's AI Strategy</w:t>
              </w:r>
            </w:hyperlink>
          </w:p>
        </w:tc>
        <w:tc>
          <w:tcPr>
            <w:tcW w:w="6925" w:type="dxa"/>
            <w:hideMark/>
          </w:tcPr>
          <w:p w14:paraId="470649BE" w14:textId="77777777" w:rsidR="00E20472" w:rsidRPr="00875049" w:rsidRDefault="00E20472" w:rsidP="00875049">
            <w:pPr>
              <w:pStyle w:val="PlainLink1"/>
              <w:spacing w:after="0"/>
              <w:ind w:left="0" w:right="0"/>
              <w:rPr>
                <w:rFonts w:ascii="Aptos" w:hAnsi="Aptos" w:cs="Arial"/>
                <w:color w:val="auto"/>
                <w:sz w:val="20"/>
                <w:szCs w:val="20"/>
              </w:rPr>
            </w:pPr>
            <w:r w:rsidRPr="00875049">
              <w:rPr>
                <w:rFonts w:ascii="Aptos" w:hAnsi="Aptos" w:cs="Arial"/>
                <w:color w:val="auto"/>
                <w:sz w:val="20"/>
                <w:szCs w:val="20"/>
              </w:rPr>
              <w:t xml:space="preserve">Germany's AI Strategy outlines the country's approach to AI, focusing on research, development, and ethical guidelines to ensure AI benefits society. </w:t>
            </w:r>
          </w:p>
        </w:tc>
      </w:tr>
      <w:tr w:rsidR="00E20472" w:rsidRPr="00875049" w14:paraId="6DD35B0C" w14:textId="77777777" w:rsidTr="00EA05E1">
        <w:trPr>
          <w:trHeight w:val="590"/>
        </w:trPr>
        <w:tc>
          <w:tcPr>
            <w:tcW w:w="3145" w:type="dxa"/>
            <w:hideMark/>
          </w:tcPr>
          <w:p w14:paraId="794DF52C" w14:textId="77777777" w:rsidR="00E20472" w:rsidRPr="00875049" w:rsidRDefault="00E20472" w:rsidP="00875049">
            <w:pPr>
              <w:pStyle w:val="PlainLink1"/>
              <w:spacing w:after="0"/>
              <w:ind w:left="0" w:right="0"/>
              <w:rPr>
                <w:rFonts w:ascii="Aptos" w:hAnsi="Aptos" w:cs="Arial"/>
                <w:sz w:val="20"/>
                <w:szCs w:val="20"/>
                <w:u w:val="single"/>
              </w:rPr>
            </w:pPr>
            <w:hyperlink r:id="rId33" w:history="1">
              <w:r w:rsidRPr="00875049">
                <w:rPr>
                  <w:rStyle w:val="Hyperlink"/>
                  <w:rFonts w:ascii="Aptos" w:hAnsi="Aptos" w:cs="Arial"/>
                  <w:sz w:val="20"/>
                  <w:szCs w:val="20"/>
                </w:rPr>
                <w:t>Switzerland's AI Guidelines</w:t>
              </w:r>
            </w:hyperlink>
          </w:p>
        </w:tc>
        <w:tc>
          <w:tcPr>
            <w:tcW w:w="6925" w:type="dxa"/>
            <w:hideMark/>
          </w:tcPr>
          <w:p w14:paraId="3EC38508" w14:textId="77777777" w:rsidR="00E20472" w:rsidRPr="00875049" w:rsidRDefault="00E20472" w:rsidP="00875049">
            <w:pPr>
              <w:pStyle w:val="PlainLink1"/>
              <w:spacing w:after="0"/>
              <w:ind w:left="0" w:right="0"/>
              <w:rPr>
                <w:rFonts w:ascii="Aptos" w:hAnsi="Aptos" w:cs="Arial"/>
                <w:color w:val="auto"/>
                <w:sz w:val="20"/>
                <w:szCs w:val="20"/>
              </w:rPr>
            </w:pPr>
            <w:r w:rsidRPr="00875049">
              <w:rPr>
                <w:rFonts w:ascii="Aptos" w:hAnsi="Aptos" w:cs="Arial"/>
                <w:color w:val="auto"/>
                <w:sz w:val="20"/>
                <w:szCs w:val="20"/>
              </w:rPr>
              <w:t xml:space="preserve">Switzerland provides guidelines on the ethical use and development of AI, emphasizing transparency, accountability, and human rights. </w:t>
            </w:r>
          </w:p>
        </w:tc>
      </w:tr>
      <w:tr w:rsidR="00E20472" w:rsidRPr="00875049" w14:paraId="5E42C0C5" w14:textId="77777777" w:rsidTr="00EA05E1">
        <w:trPr>
          <w:trHeight w:val="590"/>
        </w:trPr>
        <w:tc>
          <w:tcPr>
            <w:tcW w:w="3145" w:type="dxa"/>
            <w:hideMark/>
          </w:tcPr>
          <w:p w14:paraId="6058BEB6" w14:textId="77777777" w:rsidR="00E20472" w:rsidRPr="00875049" w:rsidRDefault="00E20472" w:rsidP="00875049">
            <w:pPr>
              <w:pStyle w:val="PlainLink1"/>
              <w:spacing w:after="0"/>
              <w:ind w:left="0" w:right="0"/>
              <w:rPr>
                <w:rFonts w:ascii="Aptos" w:hAnsi="Aptos" w:cs="Arial"/>
                <w:sz w:val="20"/>
                <w:szCs w:val="20"/>
                <w:u w:val="single"/>
              </w:rPr>
            </w:pPr>
            <w:hyperlink r:id="rId34" w:history="1">
              <w:r w:rsidRPr="00875049">
                <w:rPr>
                  <w:rStyle w:val="Hyperlink"/>
                  <w:rFonts w:ascii="Aptos" w:hAnsi="Aptos" w:cs="Arial"/>
                  <w:sz w:val="20"/>
                  <w:szCs w:val="20"/>
                </w:rPr>
                <w:t>Australia's AI Ethics Framework</w:t>
              </w:r>
            </w:hyperlink>
          </w:p>
        </w:tc>
        <w:tc>
          <w:tcPr>
            <w:tcW w:w="6925" w:type="dxa"/>
            <w:hideMark/>
          </w:tcPr>
          <w:p w14:paraId="479946ED" w14:textId="77777777" w:rsidR="00E20472" w:rsidRPr="00875049" w:rsidRDefault="00E20472" w:rsidP="00875049">
            <w:pPr>
              <w:pStyle w:val="PlainLink1"/>
              <w:spacing w:after="0"/>
              <w:ind w:left="0" w:right="0"/>
              <w:rPr>
                <w:rFonts w:ascii="Aptos" w:hAnsi="Aptos" w:cs="Arial"/>
                <w:color w:val="auto"/>
                <w:sz w:val="20"/>
                <w:szCs w:val="20"/>
              </w:rPr>
            </w:pPr>
            <w:r w:rsidRPr="00875049">
              <w:rPr>
                <w:rFonts w:ascii="Aptos" w:hAnsi="Aptos" w:cs="Arial"/>
                <w:color w:val="auto"/>
                <w:sz w:val="20"/>
                <w:szCs w:val="20"/>
              </w:rPr>
              <w:t xml:space="preserve">Australia's framework offers principles to guide businesses and governments in the responsible development and use of AI. </w:t>
            </w:r>
          </w:p>
        </w:tc>
      </w:tr>
      <w:tr w:rsidR="00E20472" w:rsidRPr="00875049" w14:paraId="48340913" w14:textId="77777777" w:rsidTr="00EA05E1">
        <w:trPr>
          <w:trHeight w:val="590"/>
        </w:trPr>
        <w:tc>
          <w:tcPr>
            <w:tcW w:w="3145" w:type="dxa"/>
            <w:hideMark/>
          </w:tcPr>
          <w:p w14:paraId="41EA3B21" w14:textId="77777777" w:rsidR="00E20472" w:rsidRPr="00875049" w:rsidRDefault="00E20472" w:rsidP="00875049">
            <w:pPr>
              <w:pStyle w:val="PlainLink1"/>
              <w:spacing w:after="0"/>
              <w:ind w:left="0" w:right="0"/>
              <w:rPr>
                <w:rFonts w:ascii="Aptos" w:hAnsi="Aptos" w:cs="Arial"/>
                <w:sz w:val="20"/>
                <w:szCs w:val="20"/>
                <w:u w:val="single"/>
              </w:rPr>
            </w:pPr>
            <w:hyperlink r:id="rId35" w:history="1">
              <w:r w:rsidRPr="00875049">
                <w:rPr>
                  <w:rStyle w:val="Hyperlink"/>
                  <w:rFonts w:ascii="Aptos" w:hAnsi="Aptos" w:cs="Arial"/>
                  <w:sz w:val="20"/>
                  <w:szCs w:val="20"/>
                </w:rPr>
                <w:t>Japan – Social Principles of Human-Centric AI</w:t>
              </w:r>
            </w:hyperlink>
          </w:p>
        </w:tc>
        <w:tc>
          <w:tcPr>
            <w:tcW w:w="6925" w:type="dxa"/>
            <w:hideMark/>
          </w:tcPr>
          <w:p w14:paraId="51EB3A9A" w14:textId="77777777" w:rsidR="00E20472" w:rsidRPr="00875049" w:rsidRDefault="00E20472" w:rsidP="00875049">
            <w:pPr>
              <w:pStyle w:val="PlainLink1"/>
              <w:spacing w:after="0"/>
              <w:ind w:left="0" w:right="0"/>
              <w:rPr>
                <w:rFonts w:ascii="Aptos" w:hAnsi="Aptos" w:cs="Arial"/>
                <w:color w:val="auto"/>
                <w:sz w:val="20"/>
                <w:szCs w:val="20"/>
              </w:rPr>
            </w:pPr>
            <w:r w:rsidRPr="00875049">
              <w:rPr>
                <w:rFonts w:ascii="Aptos" w:hAnsi="Aptos" w:cs="Arial"/>
                <w:color w:val="auto"/>
                <w:sz w:val="20"/>
                <w:szCs w:val="20"/>
              </w:rPr>
              <w:t xml:space="preserve">Japan has developed guidelines for AI governance, focusing on principles for implementing AI responsibly. </w:t>
            </w:r>
          </w:p>
        </w:tc>
      </w:tr>
      <w:tr w:rsidR="00E20472" w:rsidRPr="00875049" w14:paraId="36A81BAB" w14:textId="77777777" w:rsidTr="00EA05E1">
        <w:trPr>
          <w:trHeight w:val="590"/>
        </w:trPr>
        <w:tc>
          <w:tcPr>
            <w:tcW w:w="3145" w:type="dxa"/>
            <w:hideMark/>
          </w:tcPr>
          <w:p w14:paraId="0F4D03A9" w14:textId="77777777" w:rsidR="00E20472" w:rsidRPr="00875049" w:rsidRDefault="00E20472" w:rsidP="00875049">
            <w:pPr>
              <w:pStyle w:val="PlainLink1"/>
              <w:spacing w:after="0"/>
              <w:ind w:left="0" w:right="0"/>
              <w:rPr>
                <w:rFonts w:ascii="Aptos" w:hAnsi="Aptos" w:cs="Arial"/>
                <w:sz w:val="20"/>
                <w:szCs w:val="20"/>
                <w:u w:val="single"/>
              </w:rPr>
            </w:pPr>
            <w:hyperlink r:id="rId36" w:history="1">
              <w:r w:rsidRPr="00875049">
                <w:rPr>
                  <w:rStyle w:val="Hyperlink"/>
                  <w:rFonts w:ascii="Aptos" w:hAnsi="Aptos" w:cs="Arial"/>
                  <w:sz w:val="20"/>
                  <w:szCs w:val="20"/>
                </w:rPr>
                <w:t>Canada's Directive on Automated Decision-Making</w:t>
              </w:r>
            </w:hyperlink>
          </w:p>
        </w:tc>
        <w:tc>
          <w:tcPr>
            <w:tcW w:w="6925" w:type="dxa"/>
            <w:hideMark/>
          </w:tcPr>
          <w:p w14:paraId="18921123" w14:textId="77777777" w:rsidR="00E20472" w:rsidRPr="00875049" w:rsidRDefault="00E20472" w:rsidP="00875049">
            <w:pPr>
              <w:pStyle w:val="PlainLink1"/>
              <w:spacing w:after="0"/>
              <w:ind w:left="0" w:right="0"/>
              <w:rPr>
                <w:rFonts w:ascii="Aptos" w:hAnsi="Aptos" w:cs="Arial"/>
                <w:color w:val="auto"/>
                <w:sz w:val="20"/>
                <w:szCs w:val="20"/>
              </w:rPr>
            </w:pPr>
            <w:r w:rsidRPr="00875049">
              <w:rPr>
                <w:rFonts w:ascii="Aptos" w:hAnsi="Aptos" w:cs="Arial"/>
                <w:color w:val="auto"/>
                <w:sz w:val="20"/>
                <w:szCs w:val="20"/>
              </w:rPr>
              <w:t xml:space="preserve">Canada provides a directive to ensure that automated decision systems are used responsibly, emphasizing transparency, accountability, and fairness. </w:t>
            </w:r>
          </w:p>
        </w:tc>
      </w:tr>
      <w:tr w:rsidR="00E20472" w:rsidRPr="00875049" w14:paraId="26346607" w14:textId="77777777" w:rsidTr="00EA05E1">
        <w:trPr>
          <w:trHeight w:val="590"/>
        </w:trPr>
        <w:tc>
          <w:tcPr>
            <w:tcW w:w="3145" w:type="dxa"/>
            <w:hideMark/>
          </w:tcPr>
          <w:p w14:paraId="6A3A528C" w14:textId="090FD354" w:rsidR="00E20472" w:rsidRPr="00875049" w:rsidRDefault="00E20472" w:rsidP="00875049">
            <w:pPr>
              <w:pStyle w:val="PlainLink1"/>
              <w:spacing w:after="0"/>
              <w:ind w:left="0" w:right="0"/>
              <w:rPr>
                <w:rStyle w:val="Hyperlink"/>
                <w:rFonts w:ascii="Aptos" w:hAnsi="Aptos"/>
                <w:sz w:val="20"/>
                <w:szCs w:val="20"/>
              </w:rPr>
            </w:pPr>
            <w:r w:rsidRPr="00875049">
              <w:rPr>
                <w:rStyle w:val="Hyperlink"/>
                <w:rFonts w:ascii="Aptos" w:hAnsi="Aptos"/>
                <w:sz w:val="20"/>
                <w:szCs w:val="20"/>
              </w:rPr>
              <w:t>Brazil's AI Strategy</w:t>
            </w:r>
            <w:r w:rsidR="000B2F4B" w:rsidRPr="00875049">
              <w:rPr>
                <w:rStyle w:val="Hyperlink"/>
                <w:rFonts w:ascii="Aptos" w:hAnsi="Aptos"/>
                <w:sz w:val="20"/>
                <w:szCs w:val="20"/>
              </w:rPr>
              <w:t xml:space="preserve"> </w:t>
            </w:r>
          </w:p>
        </w:tc>
        <w:tc>
          <w:tcPr>
            <w:tcW w:w="6925" w:type="dxa"/>
            <w:hideMark/>
          </w:tcPr>
          <w:p w14:paraId="5A7DC67C" w14:textId="77777777" w:rsidR="00E20472" w:rsidRPr="00875049" w:rsidRDefault="00E20472" w:rsidP="00875049">
            <w:pPr>
              <w:pStyle w:val="PlainLink1"/>
              <w:spacing w:after="0"/>
              <w:ind w:left="0" w:right="0"/>
              <w:rPr>
                <w:rFonts w:ascii="Aptos" w:hAnsi="Aptos" w:cs="Arial"/>
                <w:color w:val="auto"/>
                <w:sz w:val="20"/>
                <w:szCs w:val="20"/>
              </w:rPr>
            </w:pPr>
            <w:r w:rsidRPr="00875049">
              <w:rPr>
                <w:rFonts w:ascii="Aptos" w:hAnsi="Aptos" w:cs="Arial"/>
                <w:color w:val="auto"/>
                <w:sz w:val="20"/>
                <w:szCs w:val="20"/>
              </w:rPr>
              <w:t xml:space="preserve">Brazil's AI Strategy outlines the country's approach to AI, focusing on innovation, ethics, and regulatory aspects to promote AI development. </w:t>
            </w:r>
          </w:p>
        </w:tc>
      </w:tr>
      <w:tr w:rsidR="00E20472" w:rsidRPr="00875049" w14:paraId="433B9CC5" w14:textId="77777777" w:rsidTr="00EA05E1">
        <w:trPr>
          <w:trHeight w:val="590"/>
        </w:trPr>
        <w:tc>
          <w:tcPr>
            <w:tcW w:w="3145" w:type="dxa"/>
            <w:hideMark/>
          </w:tcPr>
          <w:p w14:paraId="433AF25C" w14:textId="77777777" w:rsidR="00E20472" w:rsidRPr="00875049" w:rsidRDefault="00E20472" w:rsidP="00875049">
            <w:pPr>
              <w:pStyle w:val="PlainLink1"/>
              <w:spacing w:after="0"/>
              <w:ind w:left="0" w:right="0"/>
              <w:rPr>
                <w:rFonts w:ascii="Aptos" w:hAnsi="Aptos" w:cs="Arial"/>
                <w:sz w:val="20"/>
                <w:szCs w:val="20"/>
                <w:u w:val="single"/>
              </w:rPr>
            </w:pPr>
            <w:hyperlink r:id="rId37" w:history="1">
              <w:r w:rsidRPr="00875049">
                <w:rPr>
                  <w:rStyle w:val="Hyperlink"/>
                  <w:rFonts w:ascii="Aptos" w:hAnsi="Aptos" w:cs="Arial"/>
                  <w:sz w:val="20"/>
                  <w:szCs w:val="20"/>
                </w:rPr>
                <w:t>Chile</w:t>
              </w:r>
            </w:hyperlink>
          </w:p>
        </w:tc>
        <w:tc>
          <w:tcPr>
            <w:tcW w:w="6925" w:type="dxa"/>
            <w:hideMark/>
          </w:tcPr>
          <w:p w14:paraId="477088C4" w14:textId="77777777" w:rsidR="00E20472" w:rsidRPr="00875049" w:rsidRDefault="00E20472" w:rsidP="00875049">
            <w:pPr>
              <w:pStyle w:val="PlainLink1"/>
              <w:spacing w:after="0"/>
              <w:ind w:left="0" w:right="0"/>
              <w:rPr>
                <w:rFonts w:ascii="Aptos" w:hAnsi="Aptos" w:cs="Arial"/>
                <w:color w:val="auto"/>
                <w:sz w:val="20"/>
                <w:szCs w:val="20"/>
              </w:rPr>
            </w:pPr>
            <w:r w:rsidRPr="00875049">
              <w:rPr>
                <w:rFonts w:ascii="Aptos" w:hAnsi="Aptos" w:cs="Arial"/>
                <w:color w:val="auto"/>
                <w:sz w:val="20"/>
                <w:szCs w:val="20"/>
              </w:rPr>
              <w:t>Chile has developed a national policy for AI, aiming to promote responsible AI development and integration into various sectors.</w:t>
            </w:r>
          </w:p>
        </w:tc>
      </w:tr>
    </w:tbl>
    <w:p w14:paraId="0210B1DD" w14:textId="77777777" w:rsidR="00875049" w:rsidRDefault="00875049" w:rsidP="00CC35A5">
      <w:pPr>
        <w:pStyle w:val="Heading1"/>
        <w:spacing w:after="0" w:line="269" w:lineRule="auto"/>
        <w:jc w:val="both"/>
        <w:rPr>
          <w:rFonts w:ascii="Aptos" w:hAnsi="Aptos"/>
          <w:b/>
          <w:bCs/>
          <w:color w:val="34246B" w:themeColor="accent2"/>
        </w:rPr>
      </w:pPr>
    </w:p>
    <w:p w14:paraId="45C5B13C" w14:textId="77777777" w:rsidR="00875049" w:rsidRDefault="00875049">
      <w:pPr>
        <w:rPr>
          <w:rFonts w:ascii="Aptos" w:eastAsia="Times New Roman" w:hAnsi="Aptos" w:cs="Times New Roman"/>
          <w:b/>
          <w:bCs/>
          <w:color w:val="34246B" w:themeColor="accent2"/>
          <w:sz w:val="32"/>
        </w:rPr>
      </w:pPr>
      <w:r>
        <w:rPr>
          <w:rFonts w:ascii="Aptos" w:hAnsi="Aptos"/>
          <w:b/>
          <w:bCs/>
          <w:color w:val="34246B" w:themeColor="accent2"/>
        </w:rPr>
        <w:br w:type="page"/>
      </w:r>
    </w:p>
    <w:p w14:paraId="3394DB59" w14:textId="55840BCE" w:rsidR="00CC35A5" w:rsidRPr="00875049" w:rsidRDefault="00CC35A5" w:rsidP="00CC35A5">
      <w:pPr>
        <w:pStyle w:val="Heading1"/>
        <w:spacing w:after="0" w:line="269" w:lineRule="auto"/>
        <w:jc w:val="both"/>
        <w:rPr>
          <w:rFonts w:ascii="Aptos" w:hAnsi="Aptos"/>
          <w:b/>
          <w:bCs/>
          <w:color w:val="34246B" w:themeColor="accent2"/>
          <w:sz w:val="28"/>
          <w:szCs w:val="22"/>
        </w:rPr>
      </w:pPr>
      <w:bookmarkStart w:id="65" w:name="_Toc221009667"/>
      <w:r w:rsidRPr="00875049">
        <w:rPr>
          <w:rFonts w:ascii="Aptos" w:hAnsi="Aptos"/>
          <w:b/>
          <w:bCs/>
          <w:color w:val="34246B" w:themeColor="accent2"/>
          <w:sz w:val="28"/>
          <w:szCs w:val="22"/>
        </w:rPr>
        <w:lastRenderedPageBreak/>
        <w:t>APPENDIX E – ADDITIONAL SOURCE</w:t>
      </w:r>
      <w:r w:rsidR="00E01EB2" w:rsidRPr="00875049">
        <w:rPr>
          <w:rFonts w:ascii="Aptos" w:hAnsi="Aptos"/>
          <w:b/>
          <w:bCs/>
          <w:color w:val="34246B" w:themeColor="accent2"/>
          <w:sz w:val="28"/>
          <w:szCs w:val="22"/>
        </w:rPr>
        <w:t xml:space="preserve"> MATERIALS</w:t>
      </w:r>
      <w:bookmarkEnd w:id="65"/>
    </w:p>
    <w:p w14:paraId="4D02A570" w14:textId="77777777" w:rsidR="00CC35A5" w:rsidRPr="00E01EB2" w:rsidRDefault="00CC35A5" w:rsidP="00CC35A5"/>
    <w:p w14:paraId="34BA8F29" w14:textId="4ACF088B" w:rsidR="00542180" w:rsidRDefault="00542180" w:rsidP="00875049">
      <w:pPr>
        <w:pStyle w:val="PlainLink1"/>
        <w:spacing w:after="0"/>
        <w:ind w:left="360" w:hanging="360"/>
        <w:rPr>
          <w:rFonts w:ascii="Aptos" w:hAnsi="Aptos" w:cs="Arial"/>
          <w:color w:val="000000" w:themeColor="text1"/>
          <w:sz w:val="20"/>
          <w:szCs w:val="20"/>
          <w:lang w:val="en"/>
        </w:rPr>
      </w:pPr>
      <w:r w:rsidRPr="00875049">
        <w:rPr>
          <w:rFonts w:ascii="Aptos" w:hAnsi="Aptos" w:cs="Arial"/>
          <w:color w:val="000000" w:themeColor="text1"/>
          <w:sz w:val="20"/>
          <w:szCs w:val="20"/>
          <w:lang w:val="en"/>
        </w:rPr>
        <w:t xml:space="preserve">Alsallakh, Bilal, Adeel Cheema, Chavez Procope, David Adkins, Emily McReynolds, Erin Wang, Grace Pehl, Nekesha Green, and Polina Zvyagina. 2022. </w:t>
      </w:r>
      <w:r w:rsidR="000538E6" w:rsidRPr="00875049">
        <w:rPr>
          <w:rFonts w:ascii="Aptos" w:hAnsi="Aptos" w:cs="Arial"/>
          <w:color w:val="000000" w:themeColor="text1"/>
          <w:sz w:val="20"/>
          <w:szCs w:val="20"/>
          <w:lang w:val="en"/>
        </w:rPr>
        <w:t xml:space="preserve">Meta AI, </w:t>
      </w:r>
      <w:hyperlink r:id="rId38" w:history="1">
        <w:r w:rsidRPr="00875049">
          <w:rPr>
            <w:rStyle w:val="Hyperlink"/>
            <w:rFonts w:ascii="Aptos" w:hAnsi="Aptos" w:cs="Arial"/>
            <w:sz w:val="20"/>
            <w:szCs w:val="20"/>
            <w:lang w:val="en"/>
          </w:rPr>
          <w:t>System-level Transparency of Machine Learning</w:t>
        </w:r>
      </w:hyperlink>
      <w:r w:rsidRPr="00875049">
        <w:rPr>
          <w:rFonts w:ascii="Aptos" w:hAnsi="Aptos" w:cs="Arial"/>
          <w:color w:val="000000" w:themeColor="text1"/>
          <w:sz w:val="20"/>
          <w:szCs w:val="20"/>
          <w:lang w:val="en"/>
        </w:rPr>
        <w:t>.</w:t>
      </w:r>
    </w:p>
    <w:p w14:paraId="2316270D" w14:textId="77777777" w:rsidR="00875049" w:rsidRPr="00875049" w:rsidRDefault="00875049" w:rsidP="00875049">
      <w:pPr>
        <w:pStyle w:val="PlainLink1"/>
        <w:spacing w:after="0"/>
        <w:ind w:left="360" w:hanging="360"/>
        <w:rPr>
          <w:rFonts w:ascii="Aptos" w:hAnsi="Aptos" w:cs="Arial"/>
          <w:color w:val="000000" w:themeColor="text1"/>
          <w:sz w:val="20"/>
          <w:szCs w:val="20"/>
        </w:rPr>
      </w:pPr>
    </w:p>
    <w:p w14:paraId="7FE9B7A1" w14:textId="3D84E353" w:rsidR="00AD0A01" w:rsidRDefault="00AD0A01" w:rsidP="00875049">
      <w:pPr>
        <w:pStyle w:val="PlainLink1"/>
        <w:spacing w:after="0"/>
        <w:ind w:left="360" w:hanging="360"/>
        <w:rPr>
          <w:rFonts w:ascii="Aptos" w:hAnsi="Aptos" w:cs="Arial"/>
          <w:color w:val="000000" w:themeColor="text1"/>
          <w:sz w:val="20"/>
          <w:szCs w:val="20"/>
          <w:lang w:val="en"/>
        </w:rPr>
      </w:pPr>
      <w:r w:rsidRPr="00875049">
        <w:rPr>
          <w:rFonts w:ascii="Aptos" w:hAnsi="Aptos" w:cs="Arial"/>
          <w:color w:val="000000" w:themeColor="text1"/>
          <w:sz w:val="20"/>
          <w:szCs w:val="20"/>
          <w:lang w:val="en"/>
        </w:rPr>
        <w:t xml:space="preserve">Bennet, Karen, Gopi Krishnan Rajbahadur, Arthit Suriyawongkul, and Kate Stewart. 2025. </w:t>
      </w:r>
      <w:r w:rsidR="000538E6" w:rsidRPr="00875049">
        <w:rPr>
          <w:rFonts w:ascii="Aptos" w:hAnsi="Aptos" w:cs="Arial"/>
          <w:color w:val="000000" w:themeColor="text1"/>
          <w:sz w:val="20"/>
          <w:szCs w:val="20"/>
          <w:lang w:val="en"/>
        </w:rPr>
        <w:t>The Linux Foundation and SPDX,</w:t>
      </w:r>
      <w:hyperlink r:id="rId39" w:history="1">
        <w:r w:rsidR="000538E6" w:rsidRPr="00875049">
          <w:rPr>
            <w:rFonts w:ascii="Aptos" w:hAnsi="Aptos"/>
            <w:color w:val="000000" w:themeColor="text1"/>
            <w:sz w:val="20"/>
            <w:szCs w:val="20"/>
            <w:lang w:val="en"/>
          </w:rPr>
          <w:t xml:space="preserve"> </w:t>
        </w:r>
      </w:hyperlink>
      <w:hyperlink r:id="rId40" w:history="1">
        <w:r w:rsidRPr="00875049">
          <w:rPr>
            <w:rStyle w:val="Hyperlink"/>
            <w:rFonts w:ascii="Aptos" w:hAnsi="Aptos" w:cs="Arial"/>
            <w:sz w:val="20"/>
            <w:szCs w:val="20"/>
            <w:lang w:val="en"/>
          </w:rPr>
          <w:t>Implementing AI Bill of Materials (AI BOM) with SPDX 3.0: A Comprehensive Guide to Creating AI and Dataset Bill of Materials.</w:t>
        </w:r>
      </w:hyperlink>
      <w:r w:rsidRPr="00875049">
        <w:rPr>
          <w:rFonts w:ascii="Aptos" w:hAnsi="Aptos" w:cs="Arial"/>
          <w:color w:val="000000" w:themeColor="text1"/>
          <w:sz w:val="20"/>
          <w:szCs w:val="20"/>
          <w:lang w:val="en"/>
        </w:rPr>
        <w:t xml:space="preserve"> </w:t>
      </w:r>
    </w:p>
    <w:p w14:paraId="1D039A26" w14:textId="77777777" w:rsidR="00875049" w:rsidRPr="00875049" w:rsidRDefault="00875049" w:rsidP="00875049">
      <w:pPr>
        <w:pStyle w:val="PlainLink1"/>
        <w:spacing w:after="0"/>
        <w:ind w:left="360" w:hanging="360"/>
        <w:rPr>
          <w:rFonts w:ascii="Aptos" w:hAnsi="Aptos" w:cs="Arial"/>
          <w:color w:val="000000" w:themeColor="text1"/>
          <w:sz w:val="20"/>
          <w:szCs w:val="20"/>
          <w:lang w:val="en"/>
        </w:rPr>
      </w:pPr>
    </w:p>
    <w:p w14:paraId="6271FA3B" w14:textId="0E28F659" w:rsidR="00F26527" w:rsidRDefault="00F26527" w:rsidP="00875049">
      <w:pPr>
        <w:pStyle w:val="PlainLink1"/>
        <w:spacing w:after="0"/>
        <w:ind w:left="360" w:hanging="360"/>
        <w:rPr>
          <w:rFonts w:ascii="Aptos" w:hAnsi="Aptos"/>
          <w:sz w:val="20"/>
          <w:szCs w:val="20"/>
        </w:rPr>
      </w:pPr>
      <w:r w:rsidRPr="00875049">
        <w:rPr>
          <w:rFonts w:ascii="Aptos" w:hAnsi="Aptos" w:cs="Arial"/>
          <w:color w:val="000000" w:themeColor="text1"/>
          <w:sz w:val="20"/>
          <w:szCs w:val="20"/>
          <w:lang w:val="en"/>
        </w:rPr>
        <w:t xml:space="preserve">Bryan, Pete, et al. 2025. </w:t>
      </w:r>
      <w:hyperlink r:id="rId41" w:history="1">
        <w:r w:rsidRPr="00875049">
          <w:rPr>
            <w:rStyle w:val="Hyperlink"/>
            <w:rFonts w:ascii="Aptos" w:hAnsi="Aptos" w:cs="Arial"/>
            <w:sz w:val="20"/>
            <w:szCs w:val="20"/>
            <w:lang w:val="en"/>
          </w:rPr>
          <w:t>Taxonomy of Failure Mode in Agentic AI Systems</w:t>
        </w:r>
      </w:hyperlink>
      <w:r w:rsidRPr="00875049">
        <w:rPr>
          <w:rFonts w:ascii="Aptos" w:hAnsi="Aptos" w:cs="Arial"/>
          <w:color w:val="000000" w:themeColor="text1"/>
          <w:sz w:val="20"/>
          <w:szCs w:val="20"/>
          <w:lang w:val="en"/>
        </w:rPr>
        <w:t>.</w:t>
      </w:r>
      <w:hyperlink r:id="rId42" w:history="1">
        <w:r w:rsidRPr="00875049">
          <w:rPr>
            <w:rFonts w:ascii="Aptos" w:hAnsi="Aptos"/>
            <w:color w:val="000000" w:themeColor="text1"/>
            <w:sz w:val="20"/>
            <w:szCs w:val="20"/>
            <w:lang w:val="en"/>
          </w:rPr>
          <w:t xml:space="preserve"> </w:t>
        </w:r>
      </w:hyperlink>
    </w:p>
    <w:p w14:paraId="04FC17CB" w14:textId="77777777" w:rsidR="00875049" w:rsidRPr="00875049" w:rsidRDefault="00875049" w:rsidP="00875049">
      <w:pPr>
        <w:pStyle w:val="PlainLink1"/>
        <w:spacing w:after="0"/>
        <w:ind w:left="360" w:hanging="360"/>
        <w:rPr>
          <w:rFonts w:ascii="Aptos" w:hAnsi="Aptos" w:cs="Arial"/>
          <w:color w:val="000000" w:themeColor="text1"/>
          <w:sz w:val="20"/>
          <w:szCs w:val="20"/>
          <w:lang w:val="en"/>
        </w:rPr>
      </w:pPr>
    </w:p>
    <w:p w14:paraId="4999970E" w14:textId="7828AC4C" w:rsidR="00F26527" w:rsidRDefault="00983248" w:rsidP="00875049">
      <w:pPr>
        <w:pStyle w:val="PlainLink1"/>
        <w:spacing w:after="0"/>
        <w:ind w:left="360" w:hanging="360"/>
        <w:rPr>
          <w:rFonts w:ascii="Aptos" w:hAnsi="Aptos" w:cs="Arial"/>
          <w:color w:val="000000" w:themeColor="text1"/>
          <w:sz w:val="20"/>
          <w:szCs w:val="20"/>
          <w:lang w:val="en"/>
        </w:rPr>
      </w:pPr>
      <w:r w:rsidRPr="00875049">
        <w:rPr>
          <w:rFonts w:ascii="Aptos" w:hAnsi="Aptos" w:cs="Arial"/>
          <w:color w:val="000000" w:themeColor="text1"/>
          <w:sz w:val="20"/>
          <w:szCs w:val="20"/>
          <w:lang w:val="en"/>
        </w:rPr>
        <w:t>Consumer Financial Protection Bureau (CFPB)</w:t>
      </w:r>
      <w:r w:rsidR="00DF468E" w:rsidRPr="00875049">
        <w:rPr>
          <w:rFonts w:ascii="Aptos" w:hAnsi="Aptos" w:cs="Arial"/>
          <w:color w:val="000000" w:themeColor="text1"/>
          <w:sz w:val="20"/>
          <w:szCs w:val="20"/>
          <w:lang w:val="en"/>
        </w:rPr>
        <w:t>, May</w:t>
      </w:r>
      <w:r w:rsidR="00F26527" w:rsidRPr="00875049">
        <w:rPr>
          <w:rFonts w:ascii="Aptos" w:hAnsi="Aptos" w:cs="Arial"/>
          <w:color w:val="000000" w:themeColor="text1"/>
          <w:sz w:val="20"/>
          <w:szCs w:val="20"/>
          <w:lang w:val="en"/>
        </w:rPr>
        <w:t xml:space="preserve"> 2022. </w:t>
      </w:r>
      <w:hyperlink r:id="rId43" w:history="1">
        <w:r w:rsidR="00F26527" w:rsidRPr="00875049">
          <w:rPr>
            <w:rStyle w:val="Hyperlink"/>
            <w:rFonts w:ascii="Aptos" w:hAnsi="Aptos" w:cs="Arial"/>
            <w:sz w:val="20"/>
            <w:szCs w:val="20"/>
            <w:lang w:val="en"/>
          </w:rPr>
          <w:t>Adverse Action Notification Requirements In Connection With Credit Decisions Based On Complex Algorithms</w:t>
        </w:r>
      </w:hyperlink>
      <w:r w:rsidR="00F26527" w:rsidRPr="00875049">
        <w:rPr>
          <w:rFonts w:ascii="Aptos" w:hAnsi="Aptos" w:cs="Arial"/>
          <w:color w:val="000000" w:themeColor="text1"/>
          <w:sz w:val="20"/>
          <w:szCs w:val="20"/>
          <w:lang w:val="en"/>
        </w:rPr>
        <w:t xml:space="preserve">. </w:t>
      </w:r>
    </w:p>
    <w:p w14:paraId="117360AC" w14:textId="77777777" w:rsidR="00875049" w:rsidRPr="00875049" w:rsidRDefault="00875049" w:rsidP="00875049">
      <w:pPr>
        <w:pStyle w:val="PlainLink1"/>
        <w:spacing w:after="0"/>
        <w:ind w:left="360" w:hanging="360"/>
        <w:rPr>
          <w:rFonts w:ascii="Aptos" w:hAnsi="Aptos" w:cs="Arial"/>
          <w:color w:val="000000" w:themeColor="text1"/>
          <w:sz w:val="20"/>
          <w:szCs w:val="20"/>
          <w:lang w:val="en"/>
        </w:rPr>
      </w:pPr>
    </w:p>
    <w:p w14:paraId="2444C3F6" w14:textId="41774B31" w:rsidR="00F26527" w:rsidRDefault="00FD5864" w:rsidP="00875049">
      <w:pPr>
        <w:pStyle w:val="PlainLink1"/>
        <w:spacing w:after="0"/>
        <w:ind w:left="360" w:hanging="360"/>
        <w:rPr>
          <w:rFonts w:ascii="Aptos" w:hAnsi="Aptos" w:cs="Arial"/>
          <w:color w:val="000000" w:themeColor="text1"/>
          <w:sz w:val="20"/>
          <w:szCs w:val="20"/>
          <w:lang w:val="en"/>
        </w:rPr>
      </w:pPr>
      <w:r w:rsidRPr="00875049">
        <w:rPr>
          <w:rFonts w:ascii="Aptos" w:hAnsi="Aptos" w:cs="Arial"/>
          <w:color w:val="000000" w:themeColor="text1"/>
          <w:sz w:val="20"/>
          <w:szCs w:val="20"/>
          <w:lang w:val="en"/>
        </w:rPr>
        <w:t>C</w:t>
      </w:r>
      <w:r w:rsidR="00A3078A" w:rsidRPr="00875049">
        <w:rPr>
          <w:rFonts w:ascii="Aptos" w:hAnsi="Aptos" w:cs="Arial"/>
          <w:color w:val="000000" w:themeColor="text1"/>
          <w:sz w:val="20"/>
          <w:szCs w:val="20"/>
          <w:lang w:val="en"/>
        </w:rPr>
        <w:t>onsumer Financial Protection Bureau (C</w:t>
      </w:r>
      <w:r w:rsidRPr="00875049">
        <w:rPr>
          <w:rFonts w:ascii="Aptos" w:hAnsi="Aptos" w:cs="Arial"/>
          <w:color w:val="000000" w:themeColor="text1"/>
          <w:sz w:val="20"/>
          <w:szCs w:val="20"/>
          <w:lang w:val="en"/>
        </w:rPr>
        <w:t>FPB</w:t>
      </w:r>
      <w:r w:rsidR="00A3078A" w:rsidRPr="00875049">
        <w:rPr>
          <w:rFonts w:ascii="Aptos" w:hAnsi="Aptos" w:cs="Arial"/>
          <w:color w:val="000000" w:themeColor="text1"/>
          <w:sz w:val="20"/>
          <w:szCs w:val="20"/>
          <w:lang w:val="en"/>
        </w:rPr>
        <w:t>)</w:t>
      </w:r>
      <w:r w:rsidRPr="00875049">
        <w:rPr>
          <w:rFonts w:ascii="Aptos" w:hAnsi="Aptos" w:cs="Arial"/>
          <w:color w:val="000000" w:themeColor="text1"/>
          <w:sz w:val="20"/>
          <w:szCs w:val="20"/>
          <w:lang w:val="en"/>
        </w:rPr>
        <w:t xml:space="preserve">, June </w:t>
      </w:r>
      <w:r w:rsidR="00F26527" w:rsidRPr="00875049">
        <w:rPr>
          <w:rFonts w:ascii="Aptos" w:hAnsi="Aptos" w:cs="Arial"/>
          <w:color w:val="000000" w:themeColor="text1"/>
          <w:sz w:val="20"/>
          <w:szCs w:val="20"/>
          <w:lang w:val="en"/>
        </w:rPr>
        <w:t xml:space="preserve">2023. </w:t>
      </w:r>
      <w:hyperlink r:id="rId44" w:history="1">
        <w:r w:rsidR="00F26527" w:rsidRPr="00875049">
          <w:rPr>
            <w:rStyle w:val="Hyperlink"/>
            <w:rFonts w:ascii="Aptos" w:hAnsi="Aptos" w:cs="Arial"/>
            <w:sz w:val="20"/>
            <w:szCs w:val="20"/>
            <w:lang w:val="en"/>
          </w:rPr>
          <w:t>Chatbots in Consumer Finance</w:t>
        </w:r>
      </w:hyperlink>
      <w:r w:rsidR="00F26527" w:rsidRPr="00875049">
        <w:rPr>
          <w:rFonts w:ascii="Aptos" w:hAnsi="Aptos" w:cs="Arial"/>
          <w:color w:val="000000" w:themeColor="text1"/>
          <w:sz w:val="20"/>
          <w:szCs w:val="20"/>
          <w:lang w:val="en"/>
        </w:rPr>
        <w:t>.</w:t>
      </w:r>
    </w:p>
    <w:p w14:paraId="330D5C35" w14:textId="77777777" w:rsidR="00875049" w:rsidRPr="00875049" w:rsidRDefault="00875049" w:rsidP="00875049">
      <w:pPr>
        <w:pStyle w:val="PlainLink1"/>
        <w:spacing w:after="0"/>
        <w:ind w:left="360" w:hanging="360"/>
        <w:rPr>
          <w:rFonts w:ascii="Aptos" w:hAnsi="Aptos" w:cs="Arial"/>
          <w:color w:val="000000" w:themeColor="text1"/>
          <w:sz w:val="20"/>
          <w:szCs w:val="20"/>
          <w:lang w:val="en"/>
        </w:rPr>
      </w:pPr>
    </w:p>
    <w:p w14:paraId="7D1E7FF7" w14:textId="12236F32" w:rsidR="00F26527" w:rsidRDefault="00A3078A" w:rsidP="00875049">
      <w:pPr>
        <w:pStyle w:val="PlainLink1"/>
        <w:spacing w:after="0"/>
        <w:ind w:left="360" w:hanging="360"/>
        <w:rPr>
          <w:rFonts w:ascii="Aptos" w:hAnsi="Aptos" w:cs="Arial"/>
          <w:color w:val="000000" w:themeColor="text1"/>
          <w:sz w:val="20"/>
          <w:szCs w:val="20"/>
          <w:lang w:val="en"/>
        </w:rPr>
      </w:pPr>
      <w:r w:rsidRPr="00875049">
        <w:rPr>
          <w:rFonts w:ascii="Aptos" w:hAnsi="Aptos" w:cs="Arial"/>
          <w:color w:val="000000" w:themeColor="text1"/>
          <w:sz w:val="20"/>
          <w:szCs w:val="20"/>
          <w:lang w:val="en"/>
        </w:rPr>
        <w:t>Consumer Financial Protection Bureau (CFPB)</w:t>
      </w:r>
      <w:r w:rsidR="00190551" w:rsidRPr="00875049">
        <w:rPr>
          <w:rFonts w:ascii="Aptos" w:hAnsi="Aptos" w:cs="Arial"/>
          <w:color w:val="000000" w:themeColor="text1"/>
          <w:sz w:val="20"/>
          <w:szCs w:val="20"/>
          <w:lang w:val="en"/>
        </w:rPr>
        <w:t>, 2024.</w:t>
      </w:r>
      <w:r w:rsidR="00F26527" w:rsidRPr="00875049">
        <w:rPr>
          <w:rFonts w:ascii="Aptos" w:hAnsi="Aptos" w:cs="Arial"/>
          <w:color w:val="000000" w:themeColor="text1"/>
          <w:sz w:val="20"/>
          <w:szCs w:val="20"/>
          <w:lang w:val="en"/>
        </w:rPr>
        <w:t xml:space="preserve"> </w:t>
      </w:r>
      <w:hyperlink r:id="rId45" w:history="1">
        <w:r w:rsidR="00F26527" w:rsidRPr="00875049">
          <w:rPr>
            <w:rStyle w:val="Hyperlink"/>
            <w:rFonts w:ascii="Aptos" w:hAnsi="Aptos" w:cs="Arial"/>
            <w:sz w:val="20"/>
            <w:szCs w:val="20"/>
            <w:lang w:val="en"/>
          </w:rPr>
          <w:t>Official Interpretations of Regulation B (ECOA)</w:t>
        </w:r>
      </w:hyperlink>
      <w:r w:rsidR="00F26527" w:rsidRPr="00875049">
        <w:rPr>
          <w:rFonts w:ascii="Aptos" w:hAnsi="Aptos" w:cs="Arial"/>
          <w:color w:val="000000" w:themeColor="text1"/>
          <w:sz w:val="20"/>
          <w:szCs w:val="20"/>
          <w:lang w:val="en"/>
        </w:rPr>
        <w:t xml:space="preserve">. </w:t>
      </w:r>
    </w:p>
    <w:p w14:paraId="1D99ABDC" w14:textId="77777777" w:rsidR="00875049" w:rsidRPr="00875049" w:rsidRDefault="00875049" w:rsidP="00875049">
      <w:pPr>
        <w:pStyle w:val="PlainLink1"/>
        <w:spacing w:after="0"/>
        <w:ind w:left="360" w:hanging="360"/>
        <w:rPr>
          <w:rFonts w:ascii="Aptos" w:hAnsi="Aptos" w:cs="Arial"/>
          <w:color w:val="000000" w:themeColor="text1"/>
          <w:sz w:val="20"/>
          <w:szCs w:val="20"/>
          <w:lang w:val="en"/>
        </w:rPr>
      </w:pPr>
    </w:p>
    <w:p w14:paraId="42BC240A" w14:textId="2D79949E" w:rsidR="00542180" w:rsidRDefault="00B36CFF" w:rsidP="00875049">
      <w:pPr>
        <w:pStyle w:val="PlainLink1"/>
        <w:spacing w:after="0"/>
        <w:ind w:left="360" w:hanging="360"/>
        <w:rPr>
          <w:rFonts w:ascii="Aptos" w:hAnsi="Aptos"/>
          <w:sz w:val="20"/>
          <w:szCs w:val="20"/>
        </w:rPr>
      </w:pPr>
      <w:r w:rsidRPr="00875049">
        <w:rPr>
          <w:rFonts w:ascii="Aptos" w:hAnsi="Aptos" w:cs="Arial"/>
          <w:color w:val="000000" w:themeColor="text1"/>
          <w:sz w:val="20"/>
          <w:szCs w:val="20"/>
        </w:rPr>
        <w:t>Commodity Futures Trading Commission (</w:t>
      </w:r>
      <w:r w:rsidR="00F26527" w:rsidRPr="00875049">
        <w:rPr>
          <w:rFonts w:ascii="Aptos" w:hAnsi="Aptos" w:cs="Arial"/>
          <w:color w:val="000000" w:themeColor="text1"/>
          <w:sz w:val="20"/>
          <w:szCs w:val="20"/>
          <w:lang w:val="en"/>
        </w:rPr>
        <w:t>CFTC</w:t>
      </w:r>
      <w:r w:rsidRPr="00875049">
        <w:rPr>
          <w:rFonts w:ascii="Aptos" w:hAnsi="Aptos" w:cs="Arial"/>
          <w:color w:val="000000" w:themeColor="text1"/>
          <w:sz w:val="20"/>
          <w:szCs w:val="20"/>
          <w:lang w:val="en"/>
        </w:rPr>
        <w:t>)</w:t>
      </w:r>
      <w:r w:rsidR="00190551" w:rsidRPr="00875049">
        <w:rPr>
          <w:rFonts w:ascii="Aptos" w:hAnsi="Aptos" w:cs="Arial"/>
          <w:color w:val="000000" w:themeColor="text1"/>
          <w:sz w:val="20"/>
          <w:szCs w:val="20"/>
          <w:lang w:val="en"/>
        </w:rPr>
        <w:t xml:space="preserve">, May </w:t>
      </w:r>
      <w:r w:rsidR="00F26527" w:rsidRPr="00875049">
        <w:rPr>
          <w:rFonts w:ascii="Aptos" w:hAnsi="Aptos" w:cs="Arial"/>
          <w:color w:val="000000" w:themeColor="text1"/>
          <w:sz w:val="20"/>
          <w:szCs w:val="20"/>
          <w:lang w:val="en"/>
        </w:rPr>
        <w:t xml:space="preserve">2024. </w:t>
      </w:r>
      <w:hyperlink r:id="rId46" w:history="1">
        <w:r w:rsidR="00F26527" w:rsidRPr="00875049">
          <w:rPr>
            <w:rStyle w:val="Hyperlink"/>
            <w:rFonts w:ascii="Aptos" w:hAnsi="Aptos" w:cs="Arial"/>
            <w:sz w:val="20"/>
            <w:szCs w:val="20"/>
            <w:lang w:val="en"/>
          </w:rPr>
          <w:t>Responsible Artificial Intelligence in Financial Markets: Opportunities, Risks &amp; Recommendations. Commodity Futures Trading Commission, Technology Advisory Committee</w:t>
        </w:r>
      </w:hyperlink>
      <w:r w:rsidR="00190551" w:rsidRPr="00875049">
        <w:rPr>
          <w:rFonts w:ascii="Aptos" w:hAnsi="Aptos" w:cs="Arial"/>
          <w:color w:val="000000" w:themeColor="text1"/>
          <w:sz w:val="20"/>
          <w:szCs w:val="20"/>
          <w:lang w:val="en"/>
        </w:rPr>
        <w:t>.</w:t>
      </w:r>
      <w:hyperlink r:id="rId47" w:history="1">
        <w:r w:rsidR="00F26527" w:rsidRPr="00875049">
          <w:rPr>
            <w:rFonts w:ascii="Aptos" w:hAnsi="Aptos"/>
            <w:color w:val="000000" w:themeColor="text1"/>
            <w:sz w:val="20"/>
            <w:szCs w:val="20"/>
            <w:lang w:val="en"/>
          </w:rPr>
          <w:t xml:space="preserve"> </w:t>
        </w:r>
      </w:hyperlink>
    </w:p>
    <w:p w14:paraId="0A0C64EF" w14:textId="77777777" w:rsidR="00875049" w:rsidRPr="00875049" w:rsidRDefault="00875049" w:rsidP="00875049">
      <w:pPr>
        <w:pStyle w:val="PlainLink1"/>
        <w:spacing w:after="0"/>
        <w:ind w:left="360" w:hanging="360"/>
        <w:rPr>
          <w:rFonts w:ascii="Aptos" w:hAnsi="Aptos" w:cs="Arial"/>
          <w:color w:val="000000" w:themeColor="text1"/>
          <w:sz w:val="20"/>
          <w:szCs w:val="20"/>
          <w:lang w:val="en"/>
        </w:rPr>
      </w:pPr>
    </w:p>
    <w:p w14:paraId="366FCAF3" w14:textId="67E708B3" w:rsidR="007679CE" w:rsidRDefault="00C27674" w:rsidP="00875049">
      <w:pPr>
        <w:pStyle w:val="PlainLink1"/>
        <w:spacing w:after="0"/>
        <w:ind w:left="360" w:hanging="360"/>
        <w:rPr>
          <w:rFonts w:ascii="Aptos" w:hAnsi="Aptos" w:cs="Arial"/>
          <w:color w:val="000000" w:themeColor="text1"/>
          <w:sz w:val="20"/>
          <w:szCs w:val="20"/>
          <w:lang w:val="en"/>
        </w:rPr>
      </w:pPr>
      <w:r w:rsidRPr="00875049">
        <w:rPr>
          <w:rFonts w:ascii="Aptos" w:hAnsi="Aptos" w:cs="Arial"/>
          <w:color w:val="000000" w:themeColor="text1"/>
          <w:sz w:val="20"/>
          <w:szCs w:val="20"/>
          <w:lang w:val="en"/>
        </w:rPr>
        <w:t>E</w:t>
      </w:r>
      <w:r w:rsidR="00FD74AF" w:rsidRPr="00875049">
        <w:rPr>
          <w:rFonts w:ascii="Aptos" w:hAnsi="Aptos" w:cs="Arial"/>
          <w:color w:val="000000" w:themeColor="text1"/>
          <w:sz w:val="20"/>
          <w:szCs w:val="20"/>
          <w:lang w:val="en"/>
        </w:rPr>
        <w:t xml:space="preserve">uropean Central Bank, Banking Supervision, </w:t>
      </w:r>
      <w:r w:rsidR="00190551" w:rsidRPr="00875049">
        <w:rPr>
          <w:rFonts w:ascii="Aptos" w:hAnsi="Aptos" w:cs="Arial"/>
          <w:color w:val="000000" w:themeColor="text1"/>
          <w:sz w:val="20"/>
          <w:szCs w:val="20"/>
          <w:lang w:val="en"/>
        </w:rPr>
        <w:t xml:space="preserve">July </w:t>
      </w:r>
      <w:r w:rsidRPr="00875049">
        <w:rPr>
          <w:rFonts w:ascii="Aptos" w:hAnsi="Aptos" w:cs="Arial"/>
          <w:color w:val="000000" w:themeColor="text1"/>
          <w:sz w:val="20"/>
          <w:szCs w:val="20"/>
          <w:lang w:val="en"/>
        </w:rPr>
        <w:t xml:space="preserve">2025. </w:t>
      </w:r>
      <w:hyperlink r:id="rId48" w:history="1">
        <w:r w:rsidRPr="00875049">
          <w:rPr>
            <w:rStyle w:val="Hyperlink"/>
            <w:rFonts w:ascii="Aptos" w:hAnsi="Aptos" w:cs="Arial"/>
            <w:sz w:val="20"/>
            <w:szCs w:val="20"/>
            <w:lang w:val="en"/>
          </w:rPr>
          <w:t>ECB Guide to Internal Models. European Central Bank, Banking Supervision</w:t>
        </w:r>
      </w:hyperlink>
      <w:r w:rsidRPr="00875049">
        <w:rPr>
          <w:rFonts w:ascii="Aptos" w:hAnsi="Aptos" w:cs="Arial"/>
          <w:color w:val="000000" w:themeColor="text1"/>
          <w:sz w:val="20"/>
          <w:szCs w:val="20"/>
          <w:lang w:val="en"/>
        </w:rPr>
        <w:t>.</w:t>
      </w:r>
    </w:p>
    <w:p w14:paraId="562684E6" w14:textId="77777777" w:rsidR="00875049" w:rsidRPr="00875049" w:rsidRDefault="00875049" w:rsidP="00875049">
      <w:pPr>
        <w:pStyle w:val="PlainLink1"/>
        <w:spacing w:after="0"/>
        <w:ind w:left="360" w:hanging="360"/>
        <w:rPr>
          <w:rFonts w:ascii="Aptos" w:hAnsi="Aptos" w:cs="Arial"/>
          <w:color w:val="000000" w:themeColor="text1"/>
          <w:sz w:val="20"/>
          <w:szCs w:val="20"/>
          <w:lang w:val="en"/>
        </w:rPr>
      </w:pPr>
    </w:p>
    <w:p w14:paraId="77793AE9" w14:textId="7FE1AA91" w:rsidR="00C27674" w:rsidRDefault="00C27674" w:rsidP="00875049">
      <w:pPr>
        <w:pStyle w:val="PlainLink1"/>
        <w:spacing w:after="0"/>
        <w:ind w:left="360" w:hanging="360"/>
        <w:rPr>
          <w:rFonts w:ascii="Aptos" w:hAnsi="Aptos" w:cs="Arial"/>
          <w:color w:val="000000" w:themeColor="text1"/>
          <w:sz w:val="20"/>
          <w:szCs w:val="20"/>
          <w:lang w:val="en"/>
        </w:rPr>
      </w:pPr>
      <w:r w:rsidRPr="00875049">
        <w:rPr>
          <w:rFonts w:ascii="Aptos" w:hAnsi="Aptos" w:cs="Arial"/>
          <w:color w:val="000000" w:themeColor="text1"/>
          <w:sz w:val="20"/>
          <w:szCs w:val="20"/>
          <w:lang w:val="en"/>
        </w:rPr>
        <w:t>E</w:t>
      </w:r>
      <w:r w:rsidR="008361E0" w:rsidRPr="00875049">
        <w:rPr>
          <w:rFonts w:ascii="Aptos" w:hAnsi="Aptos" w:cs="Arial"/>
          <w:color w:val="000000" w:themeColor="text1"/>
          <w:sz w:val="20"/>
          <w:szCs w:val="20"/>
          <w:lang w:val="en"/>
        </w:rPr>
        <w:t xml:space="preserve">uropean </w:t>
      </w:r>
      <w:r w:rsidRPr="00875049">
        <w:rPr>
          <w:rFonts w:ascii="Aptos" w:hAnsi="Aptos" w:cs="Arial"/>
          <w:color w:val="000000" w:themeColor="text1"/>
          <w:sz w:val="20"/>
          <w:szCs w:val="20"/>
          <w:lang w:val="en"/>
        </w:rPr>
        <w:t>U</w:t>
      </w:r>
      <w:r w:rsidR="008361E0" w:rsidRPr="00875049">
        <w:rPr>
          <w:rFonts w:ascii="Aptos" w:hAnsi="Aptos" w:cs="Arial"/>
          <w:color w:val="000000" w:themeColor="text1"/>
          <w:sz w:val="20"/>
          <w:szCs w:val="20"/>
          <w:lang w:val="en"/>
        </w:rPr>
        <w:t>nion (EU),</w:t>
      </w:r>
      <w:r w:rsidRPr="00875049">
        <w:rPr>
          <w:rFonts w:ascii="Aptos" w:hAnsi="Aptos" w:cs="Arial"/>
          <w:color w:val="000000" w:themeColor="text1"/>
          <w:sz w:val="20"/>
          <w:szCs w:val="20"/>
          <w:lang w:val="en"/>
        </w:rPr>
        <w:t xml:space="preserve"> 2024. </w:t>
      </w:r>
      <w:hyperlink r:id="rId49" w:history="1">
        <w:r w:rsidRPr="00875049">
          <w:rPr>
            <w:rStyle w:val="Hyperlink"/>
            <w:rFonts w:ascii="Aptos" w:hAnsi="Aptos" w:cs="Arial"/>
            <w:sz w:val="20"/>
            <w:szCs w:val="20"/>
            <w:lang w:val="en"/>
          </w:rPr>
          <w:t>Artificial Intelligence Act: Annexes</w:t>
        </w:r>
      </w:hyperlink>
      <w:r w:rsidRPr="00875049">
        <w:rPr>
          <w:rFonts w:ascii="Aptos" w:hAnsi="Aptos" w:cs="Arial"/>
          <w:color w:val="000000" w:themeColor="text1"/>
          <w:sz w:val="20"/>
          <w:szCs w:val="20"/>
          <w:lang w:val="en"/>
        </w:rPr>
        <w:t>.</w:t>
      </w:r>
    </w:p>
    <w:p w14:paraId="15485439" w14:textId="77777777" w:rsidR="00875049" w:rsidRPr="00875049" w:rsidRDefault="00875049" w:rsidP="00875049">
      <w:pPr>
        <w:pStyle w:val="PlainLink1"/>
        <w:spacing w:after="0"/>
        <w:ind w:left="360" w:hanging="360"/>
        <w:rPr>
          <w:rFonts w:ascii="Aptos" w:hAnsi="Aptos" w:cs="Arial"/>
          <w:color w:val="000000" w:themeColor="text1"/>
          <w:sz w:val="20"/>
          <w:szCs w:val="20"/>
          <w:lang w:val="en"/>
        </w:rPr>
      </w:pPr>
    </w:p>
    <w:p w14:paraId="00D5E759" w14:textId="0F597AA2" w:rsidR="00C27674" w:rsidRDefault="008361E0" w:rsidP="00875049">
      <w:pPr>
        <w:pStyle w:val="PlainLink1"/>
        <w:spacing w:after="0"/>
        <w:ind w:left="360" w:hanging="360"/>
        <w:rPr>
          <w:rFonts w:ascii="Aptos" w:hAnsi="Aptos" w:cs="Arial"/>
          <w:color w:val="000000" w:themeColor="text1"/>
          <w:sz w:val="20"/>
          <w:szCs w:val="20"/>
          <w:lang w:val="en"/>
        </w:rPr>
      </w:pPr>
      <w:r w:rsidRPr="00875049">
        <w:rPr>
          <w:rFonts w:ascii="Aptos" w:hAnsi="Aptos" w:cs="Arial"/>
          <w:color w:val="000000" w:themeColor="text1"/>
          <w:sz w:val="20"/>
          <w:szCs w:val="20"/>
          <w:lang w:val="en"/>
        </w:rPr>
        <w:t>Federal Housing Finance Agency (FHFA),</w:t>
      </w:r>
      <w:r w:rsidR="00C27674" w:rsidRPr="00875049">
        <w:rPr>
          <w:rFonts w:ascii="Aptos" w:hAnsi="Aptos" w:cs="Arial"/>
          <w:color w:val="000000" w:themeColor="text1"/>
          <w:sz w:val="20"/>
          <w:szCs w:val="20"/>
          <w:lang w:val="en"/>
        </w:rPr>
        <w:t xml:space="preserve"> </w:t>
      </w:r>
      <w:r w:rsidRPr="00875049">
        <w:rPr>
          <w:rFonts w:ascii="Aptos" w:hAnsi="Aptos" w:cs="Arial"/>
          <w:color w:val="000000" w:themeColor="text1"/>
          <w:sz w:val="20"/>
          <w:szCs w:val="20"/>
          <w:lang w:val="en"/>
        </w:rPr>
        <w:t>November</w:t>
      </w:r>
      <w:r w:rsidR="00C27674" w:rsidRPr="00875049">
        <w:rPr>
          <w:rFonts w:ascii="Aptos" w:hAnsi="Aptos" w:cs="Arial"/>
          <w:color w:val="000000" w:themeColor="text1"/>
          <w:sz w:val="20"/>
          <w:szCs w:val="20"/>
          <w:lang w:val="en"/>
        </w:rPr>
        <w:t xml:space="preserve">2013. </w:t>
      </w:r>
      <w:hyperlink r:id="rId50" w:history="1">
        <w:r w:rsidR="00C27674" w:rsidRPr="00875049">
          <w:rPr>
            <w:rStyle w:val="Hyperlink"/>
            <w:rFonts w:ascii="Aptos" w:hAnsi="Aptos" w:cs="Arial"/>
            <w:sz w:val="20"/>
            <w:szCs w:val="20"/>
            <w:lang w:val="en"/>
          </w:rPr>
          <w:t>Model Risk Management Guidance. Advisory Bulletin, AB 2013-07</w:t>
        </w:r>
      </w:hyperlink>
      <w:r w:rsidR="00C27674" w:rsidRPr="00875049">
        <w:rPr>
          <w:rFonts w:ascii="Aptos" w:hAnsi="Aptos" w:cs="Arial"/>
          <w:color w:val="000000" w:themeColor="text1"/>
          <w:sz w:val="20"/>
          <w:szCs w:val="20"/>
          <w:lang w:val="en"/>
        </w:rPr>
        <w:t xml:space="preserve">. </w:t>
      </w:r>
    </w:p>
    <w:p w14:paraId="61C48B9F" w14:textId="77777777" w:rsidR="00875049" w:rsidRPr="00875049" w:rsidRDefault="00875049" w:rsidP="00875049">
      <w:pPr>
        <w:pStyle w:val="PlainLink1"/>
        <w:spacing w:after="0"/>
        <w:ind w:left="360" w:hanging="360"/>
        <w:rPr>
          <w:rFonts w:ascii="Aptos" w:hAnsi="Aptos" w:cs="Arial"/>
          <w:color w:val="000000" w:themeColor="text1"/>
          <w:sz w:val="20"/>
          <w:szCs w:val="20"/>
          <w:lang w:val="en"/>
        </w:rPr>
      </w:pPr>
    </w:p>
    <w:p w14:paraId="6D958D71" w14:textId="77777777" w:rsidR="00B36CFF" w:rsidRDefault="00B36CFF" w:rsidP="00875049">
      <w:pPr>
        <w:pStyle w:val="PlainLink1"/>
        <w:spacing w:after="0"/>
        <w:ind w:left="360" w:hanging="360"/>
        <w:rPr>
          <w:rFonts w:ascii="Aptos" w:hAnsi="Aptos" w:cs="Arial"/>
          <w:color w:val="000000" w:themeColor="text1"/>
          <w:sz w:val="20"/>
          <w:szCs w:val="20"/>
          <w:lang w:val="en"/>
        </w:rPr>
      </w:pPr>
      <w:r w:rsidRPr="00875049">
        <w:rPr>
          <w:rFonts w:ascii="Aptos" w:hAnsi="Aptos" w:cs="Arial"/>
          <w:color w:val="000000" w:themeColor="text1"/>
          <w:sz w:val="20"/>
          <w:szCs w:val="20"/>
          <w:lang w:val="en"/>
        </w:rPr>
        <w:t>Federal Housing Finance Agency (FHFA), December</w:t>
      </w:r>
      <w:r w:rsidR="00C27674" w:rsidRPr="00875049">
        <w:rPr>
          <w:rFonts w:ascii="Aptos" w:hAnsi="Aptos" w:cs="Arial"/>
          <w:color w:val="000000" w:themeColor="text1"/>
          <w:sz w:val="20"/>
          <w:szCs w:val="20"/>
          <w:lang w:val="en"/>
        </w:rPr>
        <w:t xml:space="preserve"> 2022. </w:t>
      </w:r>
      <w:hyperlink r:id="rId51" w:history="1">
        <w:r w:rsidR="00C27674" w:rsidRPr="00875049">
          <w:rPr>
            <w:rStyle w:val="Hyperlink"/>
            <w:rFonts w:ascii="Aptos" w:hAnsi="Aptos" w:cs="Arial"/>
            <w:sz w:val="20"/>
            <w:szCs w:val="20"/>
            <w:lang w:val="en"/>
          </w:rPr>
          <w:t>Advisory Bulletin 2022-03: Supplemental Guidance to AB 2013-07 – Model Risk Management Guidance</w:t>
        </w:r>
      </w:hyperlink>
      <w:r w:rsidR="00C27674" w:rsidRPr="00875049">
        <w:rPr>
          <w:rFonts w:ascii="Aptos" w:hAnsi="Aptos" w:cs="Arial"/>
          <w:color w:val="000000" w:themeColor="text1"/>
          <w:sz w:val="20"/>
          <w:szCs w:val="20"/>
          <w:lang w:val="en"/>
        </w:rPr>
        <w:t>.</w:t>
      </w:r>
    </w:p>
    <w:p w14:paraId="0064AFF6" w14:textId="77777777" w:rsidR="00875049" w:rsidRPr="00875049" w:rsidRDefault="00875049" w:rsidP="00875049">
      <w:pPr>
        <w:pStyle w:val="PlainLink1"/>
        <w:spacing w:after="0"/>
        <w:ind w:left="360" w:hanging="360"/>
        <w:rPr>
          <w:rFonts w:ascii="Aptos" w:hAnsi="Aptos" w:cs="Arial"/>
          <w:color w:val="000000" w:themeColor="text1"/>
          <w:sz w:val="20"/>
          <w:szCs w:val="20"/>
          <w:lang w:val="en"/>
        </w:rPr>
      </w:pPr>
    </w:p>
    <w:p w14:paraId="10716B3A" w14:textId="7C0518E0" w:rsidR="00B36CFF" w:rsidRDefault="00C27674" w:rsidP="00875049">
      <w:pPr>
        <w:pStyle w:val="PlainLink1"/>
        <w:spacing w:after="0"/>
        <w:ind w:left="360" w:hanging="360"/>
        <w:rPr>
          <w:rFonts w:ascii="Aptos" w:hAnsi="Aptos" w:cs="Arial"/>
          <w:color w:val="000000" w:themeColor="text1"/>
          <w:sz w:val="20"/>
          <w:szCs w:val="20"/>
          <w:lang w:val="en"/>
        </w:rPr>
      </w:pPr>
      <w:r w:rsidRPr="00875049">
        <w:rPr>
          <w:rFonts w:ascii="Aptos" w:hAnsi="Aptos" w:cs="Arial"/>
          <w:color w:val="000000" w:themeColor="text1"/>
          <w:sz w:val="20"/>
          <w:szCs w:val="20"/>
          <w:lang w:val="en"/>
        </w:rPr>
        <w:t xml:space="preserve">Ficklin, P.A., T. Pahl, and P. Watkins. </w:t>
      </w:r>
      <w:r w:rsidR="00B36CFF" w:rsidRPr="00875049">
        <w:rPr>
          <w:rFonts w:ascii="Aptos" w:hAnsi="Aptos" w:cs="Arial"/>
          <w:color w:val="000000" w:themeColor="text1"/>
          <w:sz w:val="20"/>
          <w:szCs w:val="20"/>
          <w:lang w:val="en"/>
        </w:rPr>
        <w:t xml:space="preserve">July, </w:t>
      </w:r>
      <w:r w:rsidRPr="00875049">
        <w:rPr>
          <w:rFonts w:ascii="Aptos" w:hAnsi="Aptos" w:cs="Arial"/>
          <w:color w:val="000000" w:themeColor="text1"/>
          <w:sz w:val="20"/>
          <w:szCs w:val="20"/>
          <w:lang w:val="en"/>
        </w:rPr>
        <w:t xml:space="preserve">2020. </w:t>
      </w:r>
      <w:r w:rsidR="00B36CFF" w:rsidRPr="00875049">
        <w:rPr>
          <w:rFonts w:ascii="Aptos" w:hAnsi="Aptos" w:cs="Arial"/>
          <w:color w:val="000000" w:themeColor="text1"/>
          <w:sz w:val="20"/>
          <w:szCs w:val="20"/>
          <w:lang w:val="en"/>
        </w:rPr>
        <w:t xml:space="preserve">CFPB Blog, </w:t>
      </w:r>
      <w:hyperlink r:id="rId52" w:history="1">
        <w:r w:rsidRPr="00875049">
          <w:rPr>
            <w:rStyle w:val="Hyperlink"/>
            <w:rFonts w:ascii="Aptos" w:hAnsi="Aptos" w:cs="Arial"/>
            <w:sz w:val="20"/>
            <w:szCs w:val="20"/>
            <w:lang w:val="en"/>
          </w:rPr>
          <w:t>Innovation Spotlight: Providing Adverse Action Notices When Using AI/ML Models</w:t>
        </w:r>
      </w:hyperlink>
      <w:r w:rsidRPr="00875049">
        <w:rPr>
          <w:rFonts w:ascii="Aptos" w:hAnsi="Aptos" w:cs="Arial"/>
          <w:color w:val="000000" w:themeColor="text1"/>
          <w:sz w:val="20"/>
          <w:szCs w:val="20"/>
          <w:lang w:val="en"/>
        </w:rPr>
        <w:t>.</w:t>
      </w:r>
    </w:p>
    <w:p w14:paraId="0B4DB87A" w14:textId="77777777" w:rsidR="00875049" w:rsidRPr="00875049" w:rsidRDefault="00875049" w:rsidP="00875049">
      <w:pPr>
        <w:pStyle w:val="PlainLink1"/>
        <w:spacing w:after="0"/>
        <w:ind w:left="360" w:hanging="360"/>
        <w:rPr>
          <w:rFonts w:ascii="Aptos" w:hAnsi="Aptos" w:cs="Arial"/>
          <w:color w:val="000000" w:themeColor="text1"/>
          <w:sz w:val="20"/>
          <w:szCs w:val="20"/>
          <w:lang w:val="en"/>
        </w:rPr>
      </w:pPr>
    </w:p>
    <w:p w14:paraId="5ACAD424" w14:textId="261A8481" w:rsidR="00C27674" w:rsidRDefault="00B36CFF" w:rsidP="00875049">
      <w:pPr>
        <w:pStyle w:val="PlainLink1"/>
        <w:spacing w:after="0"/>
        <w:ind w:left="360" w:hanging="360"/>
        <w:rPr>
          <w:rFonts w:ascii="Aptos" w:hAnsi="Aptos" w:cs="Arial"/>
          <w:color w:val="000000" w:themeColor="text1"/>
          <w:sz w:val="20"/>
          <w:szCs w:val="20"/>
          <w:lang w:val="en"/>
        </w:rPr>
      </w:pPr>
      <w:r w:rsidRPr="00875049">
        <w:rPr>
          <w:rFonts w:ascii="Aptos" w:hAnsi="Aptos" w:cs="Arial"/>
          <w:color w:val="000000" w:themeColor="text1"/>
          <w:sz w:val="20"/>
          <w:szCs w:val="20"/>
          <w:lang w:val="en"/>
        </w:rPr>
        <w:t>Financial Industry Regulatory Authority (</w:t>
      </w:r>
      <w:r w:rsidR="00C27674" w:rsidRPr="00875049">
        <w:rPr>
          <w:rFonts w:ascii="Aptos" w:hAnsi="Aptos" w:cs="Arial"/>
          <w:color w:val="000000" w:themeColor="text1"/>
          <w:sz w:val="20"/>
          <w:szCs w:val="20"/>
          <w:lang w:val="en"/>
        </w:rPr>
        <w:t>FINRA</w:t>
      </w:r>
      <w:r w:rsidRPr="00875049">
        <w:rPr>
          <w:rFonts w:ascii="Aptos" w:hAnsi="Aptos" w:cs="Arial"/>
          <w:color w:val="000000" w:themeColor="text1"/>
          <w:sz w:val="20"/>
          <w:szCs w:val="20"/>
          <w:lang w:val="en"/>
        </w:rPr>
        <w:t>)</w:t>
      </w:r>
      <w:r w:rsidR="004C240D" w:rsidRPr="00875049">
        <w:rPr>
          <w:rFonts w:ascii="Aptos" w:hAnsi="Aptos" w:cs="Arial"/>
          <w:color w:val="000000" w:themeColor="text1"/>
          <w:sz w:val="20"/>
          <w:szCs w:val="20"/>
          <w:lang w:val="en"/>
        </w:rPr>
        <w:t>, June</w:t>
      </w:r>
      <w:r w:rsidR="00C27674" w:rsidRPr="00875049">
        <w:rPr>
          <w:rFonts w:ascii="Aptos" w:hAnsi="Aptos" w:cs="Arial"/>
          <w:color w:val="000000" w:themeColor="text1"/>
          <w:sz w:val="20"/>
          <w:szCs w:val="20"/>
          <w:lang w:val="en"/>
        </w:rPr>
        <w:t xml:space="preserve"> 2020. </w:t>
      </w:r>
      <w:hyperlink r:id="rId53" w:history="1">
        <w:r w:rsidR="00C27674" w:rsidRPr="00875049">
          <w:rPr>
            <w:rStyle w:val="Hyperlink"/>
            <w:rFonts w:ascii="Aptos" w:hAnsi="Aptos" w:cs="Arial"/>
            <w:sz w:val="20"/>
            <w:szCs w:val="20"/>
            <w:lang w:val="en"/>
          </w:rPr>
          <w:t>Artificial Intelligence in the Securities Industry</w:t>
        </w:r>
      </w:hyperlink>
      <w:r w:rsidR="00C27674" w:rsidRPr="00875049">
        <w:rPr>
          <w:rFonts w:ascii="Aptos" w:hAnsi="Aptos" w:cs="Arial"/>
          <w:color w:val="000000" w:themeColor="text1"/>
          <w:sz w:val="20"/>
          <w:szCs w:val="20"/>
          <w:lang w:val="en"/>
        </w:rPr>
        <w:t>.</w:t>
      </w:r>
      <w:r w:rsidR="004C240D" w:rsidRPr="00875049">
        <w:rPr>
          <w:rFonts w:ascii="Aptos" w:hAnsi="Aptos" w:cs="Arial"/>
          <w:color w:val="000000" w:themeColor="text1"/>
          <w:sz w:val="20"/>
          <w:szCs w:val="20"/>
          <w:lang w:val="en"/>
        </w:rPr>
        <w:t xml:space="preserve"> </w:t>
      </w:r>
    </w:p>
    <w:p w14:paraId="16279AD2" w14:textId="77777777" w:rsidR="00875049" w:rsidRPr="00875049" w:rsidRDefault="00875049" w:rsidP="00875049">
      <w:pPr>
        <w:pStyle w:val="PlainLink1"/>
        <w:spacing w:after="0"/>
        <w:ind w:left="360" w:hanging="360"/>
        <w:rPr>
          <w:rFonts w:ascii="Aptos" w:hAnsi="Aptos" w:cs="Arial"/>
          <w:color w:val="000000" w:themeColor="text1"/>
          <w:sz w:val="20"/>
          <w:szCs w:val="20"/>
          <w:lang w:val="en"/>
        </w:rPr>
      </w:pPr>
    </w:p>
    <w:p w14:paraId="323951E7" w14:textId="2245D8DD" w:rsidR="00C27674" w:rsidRDefault="004C240D" w:rsidP="00875049">
      <w:pPr>
        <w:pStyle w:val="PlainLink1"/>
        <w:spacing w:after="0"/>
        <w:ind w:left="360" w:hanging="360"/>
        <w:rPr>
          <w:rFonts w:ascii="Aptos" w:hAnsi="Aptos" w:cs="Arial"/>
          <w:color w:val="000000" w:themeColor="text1"/>
          <w:sz w:val="20"/>
          <w:szCs w:val="20"/>
          <w:lang w:val="en"/>
        </w:rPr>
      </w:pPr>
      <w:r w:rsidRPr="00875049">
        <w:rPr>
          <w:rFonts w:ascii="Aptos" w:hAnsi="Aptos" w:cs="Arial"/>
          <w:color w:val="000000" w:themeColor="text1"/>
          <w:sz w:val="20"/>
          <w:szCs w:val="20"/>
          <w:lang w:val="en"/>
        </w:rPr>
        <w:t>Federal Reserve Board</w:t>
      </w:r>
      <w:r w:rsidR="00AB51B7" w:rsidRPr="00875049">
        <w:rPr>
          <w:rFonts w:ascii="Aptos" w:hAnsi="Aptos" w:cs="Arial"/>
          <w:color w:val="000000" w:themeColor="text1"/>
          <w:sz w:val="20"/>
          <w:szCs w:val="20"/>
          <w:lang w:val="en"/>
        </w:rPr>
        <w:t xml:space="preserve"> (</w:t>
      </w:r>
      <w:r w:rsidR="00C27674" w:rsidRPr="00875049">
        <w:rPr>
          <w:rFonts w:ascii="Aptos" w:hAnsi="Aptos" w:cs="Arial"/>
          <w:color w:val="000000" w:themeColor="text1"/>
          <w:sz w:val="20"/>
          <w:szCs w:val="20"/>
          <w:lang w:val="en"/>
        </w:rPr>
        <w:t>FRB</w:t>
      </w:r>
      <w:r w:rsidR="00AB51B7" w:rsidRPr="00875049">
        <w:rPr>
          <w:rFonts w:ascii="Aptos" w:hAnsi="Aptos" w:cs="Arial"/>
          <w:color w:val="000000" w:themeColor="text1"/>
          <w:sz w:val="20"/>
          <w:szCs w:val="20"/>
          <w:lang w:val="en"/>
        </w:rPr>
        <w:t>) Board of Governors,</w:t>
      </w:r>
      <w:r w:rsidR="00C27674" w:rsidRPr="00875049">
        <w:rPr>
          <w:rFonts w:ascii="Aptos" w:hAnsi="Aptos" w:cs="Arial"/>
          <w:color w:val="000000" w:themeColor="text1"/>
          <w:sz w:val="20"/>
          <w:szCs w:val="20"/>
          <w:lang w:val="en"/>
        </w:rPr>
        <w:t xml:space="preserve"> 2022. </w:t>
      </w:r>
      <w:hyperlink r:id="rId54" w:history="1">
        <w:r w:rsidR="00C27674" w:rsidRPr="00875049">
          <w:rPr>
            <w:rStyle w:val="Hyperlink"/>
            <w:rFonts w:ascii="Aptos" w:hAnsi="Aptos" w:cs="Arial"/>
            <w:sz w:val="20"/>
            <w:szCs w:val="20"/>
            <w:lang w:val="en"/>
          </w:rPr>
          <w:t>Stress Tests</w:t>
        </w:r>
      </w:hyperlink>
      <w:r w:rsidR="00C27674" w:rsidRPr="00875049">
        <w:rPr>
          <w:rFonts w:ascii="Aptos" w:hAnsi="Aptos" w:cs="Arial"/>
          <w:color w:val="000000" w:themeColor="text1"/>
          <w:sz w:val="20"/>
          <w:szCs w:val="20"/>
          <w:lang w:val="en"/>
        </w:rPr>
        <w:t>.</w:t>
      </w:r>
    </w:p>
    <w:p w14:paraId="1227E572" w14:textId="77777777" w:rsidR="00875049" w:rsidRPr="00875049" w:rsidRDefault="00875049" w:rsidP="00875049">
      <w:pPr>
        <w:pStyle w:val="PlainLink1"/>
        <w:spacing w:after="0"/>
        <w:ind w:left="360" w:hanging="360"/>
        <w:rPr>
          <w:rFonts w:ascii="Aptos" w:hAnsi="Aptos" w:cs="Arial"/>
          <w:color w:val="000000" w:themeColor="text1"/>
          <w:sz w:val="20"/>
          <w:szCs w:val="20"/>
          <w:lang w:val="en"/>
        </w:rPr>
      </w:pPr>
    </w:p>
    <w:p w14:paraId="5C07E92D" w14:textId="3A801D6A" w:rsidR="00C27674" w:rsidRDefault="00E52FF7" w:rsidP="00875049">
      <w:pPr>
        <w:pStyle w:val="PlainLink1"/>
        <w:spacing w:after="0"/>
        <w:ind w:left="360" w:hanging="360"/>
        <w:rPr>
          <w:rFonts w:ascii="Aptos" w:hAnsi="Aptos" w:cs="Arial"/>
          <w:color w:val="000000" w:themeColor="text1"/>
          <w:sz w:val="20"/>
          <w:szCs w:val="20"/>
          <w:lang w:val="en"/>
        </w:rPr>
      </w:pPr>
      <w:r w:rsidRPr="00875049">
        <w:rPr>
          <w:rFonts w:ascii="Aptos" w:hAnsi="Aptos" w:cs="Arial"/>
          <w:color w:val="000000" w:themeColor="text1"/>
          <w:sz w:val="20"/>
          <w:szCs w:val="20"/>
          <w:lang w:val="en"/>
        </w:rPr>
        <w:t>Federal Reserve Board (</w:t>
      </w:r>
      <w:r w:rsidR="00C27674" w:rsidRPr="00875049">
        <w:rPr>
          <w:rFonts w:ascii="Aptos" w:hAnsi="Aptos" w:cs="Arial"/>
          <w:color w:val="000000" w:themeColor="text1"/>
          <w:sz w:val="20"/>
          <w:szCs w:val="20"/>
          <w:lang w:val="en"/>
        </w:rPr>
        <w:t>FRB</w:t>
      </w:r>
      <w:r w:rsidRPr="00875049">
        <w:rPr>
          <w:rFonts w:ascii="Aptos" w:hAnsi="Aptos" w:cs="Arial"/>
          <w:color w:val="000000" w:themeColor="text1"/>
          <w:sz w:val="20"/>
          <w:szCs w:val="20"/>
          <w:lang w:val="en"/>
        </w:rPr>
        <w:t>) Board of Governors</w:t>
      </w:r>
      <w:r w:rsidR="00C27674" w:rsidRPr="00875049">
        <w:rPr>
          <w:rFonts w:ascii="Aptos" w:hAnsi="Aptos" w:cs="Arial"/>
          <w:color w:val="000000" w:themeColor="text1"/>
          <w:sz w:val="20"/>
          <w:szCs w:val="20"/>
          <w:lang w:val="en"/>
        </w:rPr>
        <w:t>/O</w:t>
      </w:r>
      <w:r w:rsidRPr="00875049">
        <w:rPr>
          <w:rFonts w:ascii="Aptos" w:hAnsi="Aptos" w:cs="Arial"/>
          <w:color w:val="000000" w:themeColor="text1"/>
          <w:sz w:val="20"/>
          <w:szCs w:val="20"/>
          <w:lang w:val="en"/>
        </w:rPr>
        <w:t>ffice of the Comptroller of the Currency (OCC)</w:t>
      </w:r>
      <w:r w:rsidR="00BD4FF1" w:rsidRPr="00875049">
        <w:rPr>
          <w:rFonts w:ascii="Aptos" w:hAnsi="Aptos" w:cs="Arial"/>
          <w:color w:val="000000" w:themeColor="text1"/>
          <w:sz w:val="20"/>
          <w:szCs w:val="20"/>
          <w:lang w:val="en"/>
        </w:rPr>
        <w:t xml:space="preserve">, </w:t>
      </w:r>
      <w:r w:rsidR="00C27674" w:rsidRPr="00875049">
        <w:rPr>
          <w:rFonts w:ascii="Aptos" w:hAnsi="Aptos" w:cs="Arial"/>
          <w:color w:val="000000" w:themeColor="text1"/>
          <w:sz w:val="20"/>
          <w:szCs w:val="20"/>
          <w:lang w:val="en"/>
        </w:rPr>
        <w:t xml:space="preserve">2011. </w:t>
      </w:r>
      <w:hyperlink r:id="rId55" w:history="1">
        <w:r w:rsidR="00C27674" w:rsidRPr="00875049">
          <w:rPr>
            <w:rStyle w:val="Hyperlink"/>
            <w:rFonts w:ascii="Aptos" w:hAnsi="Aptos" w:cs="Arial"/>
            <w:sz w:val="20"/>
            <w:szCs w:val="20"/>
            <w:lang w:val="en"/>
          </w:rPr>
          <w:t>Supervisory Guidance on Model Risk Management, SR 11-7; OCC 2011-12</w:t>
        </w:r>
      </w:hyperlink>
      <w:r w:rsidR="00C27674" w:rsidRPr="00875049">
        <w:rPr>
          <w:rFonts w:ascii="Aptos" w:hAnsi="Aptos" w:cs="Arial"/>
          <w:color w:val="000000" w:themeColor="text1"/>
          <w:sz w:val="20"/>
          <w:szCs w:val="20"/>
          <w:lang w:val="en"/>
        </w:rPr>
        <w:t>.</w:t>
      </w:r>
    </w:p>
    <w:p w14:paraId="712B7076" w14:textId="77777777" w:rsidR="00875049" w:rsidRPr="00875049" w:rsidRDefault="00875049" w:rsidP="00875049">
      <w:pPr>
        <w:pStyle w:val="PlainLink1"/>
        <w:spacing w:after="0"/>
        <w:ind w:left="360" w:hanging="360"/>
        <w:rPr>
          <w:rFonts w:ascii="Aptos" w:hAnsi="Aptos" w:cs="Arial"/>
          <w:color w:val="000000" w:themeColor="text1"/>
          <w:sz w:val="20"/>
          <w:szCs w:val="20"/>
          <w:lang w:val="en"/>
        </w:rPr>
      </w:pPr>
    </w:p>
    <w:p w14:paraId="36895085" w14:textId="0ABC7C9C" w:rsidR="00C27674" w:rsidRPr="00875049" w:rsidRDefault="00C27674" w:rsidP="00875049">
      <w:pPr>
        <w:pStyle w:val="PlainLink1"/>
        <w:spacing w:after="0"/>
        <w:ind w:left="360" w:hanging="360"/>
        <w:rPr>
          <w:rFonts w:ascii="Aptos" w:hAnsi="Aptos" w:cs="Arial"/>
          <w:color w:val="000000" w:themeColor="text1"/>
          <w:sz w:val="20"/>
          <w:szCs w:val="20"/>
          <w:lang w:val="en"/>
        </w:rPr>
      </w:pPr>
      <w:r w:rsidRPr="00875049">
        <w:rPr>
          <w:rFonts w:ascii="Aptos" w:hAnsi="Aptos" w:cs="Arial"/>
          <w:color w:val="000000" w:themeColor="text1"/>
          <w:sz w:val="20"/>
          <w:szCs w:val="20"/>
          <w:lang w:val="en"/>
        </w:rPr>
        <w:t xml:space="preserve">Gebru, Timnit, Jamie Morgenstern, Briana Vecchione, Jennifer Wortman Vaughan, Hanna Wal-lach, Hal Daume III, and Kate Crawford. 2021. </w:t>
      </w:r>
      <w:r w:rsidR="009F07D1" w:rsidRPr="00875049">
        <w:rPr>
          <w:rFonts w:ascii="Aptos" w:hAnsi="Aptos" w:cs="Arial"/>
          <w:color w:val="000000" w:themeColor="text1"/>
          <w:sz w:val="20"/>
          <w:szCs w:val="20"/>
          <w:lang w:val="en"/>
        </w:rPr>
        <w:t xml:space="preserve">Communications of the ACM 64 (12): 86–92, </w:t>
      </w:r>
      <w:hyperlink r:id="rId56" w:history="1">
        <w:r w:rsidRPr="00875049">
          <w:rPr>
            <w:rStyle w:val="Hyperlink"/>
            <w:rFonts w:ascii="Aptos" w:hAnsi="Aptos" w:cs="Arial"/>
            <w:sz w:val="20"/>
            <w:szCs w:val="20"/>
            <w:lang w:val="en"/>
          </w:rPr>
          <w:t>Datasheets for Datasets</w:t>
        </w:r>
      </w:hyperlink>
      <w:r w:rsidRPr="00875049">
        <w:rPr>
          <w:rFonts w:ascii="Aptos" w:hAnsi="Aptos" w:cs="Arial"/>
          <w:color w:val="000000" w:themeColor="text1"/>
          <w:sz w:val="20"/>
          <w:szCs w:val="20"/>
          <w:lang w:val="en"/>
        </w:rPr>
        <w:t>.</w:t>
      </w:r>
    </w:p>
    <w:p w14:paraId="08CD4FD7" w14:textId="77777777" w:rsidR="00C27674" w:rsidRPr="00875049" w:rsidRDefault="00C27674" w:rsidP="00875049">
      <w:pPr>
        <w:pStyle w:val="PlainLink1"/>
        <w:spacing w:after="0"/>
        <w:ind w:left="360" w:hanging="360"/>
        <w:rPr>
          <w:rFonts w:ascii="Aptos" w:hAnsi="Aptos" w:cs="Arial"/>
          <w:color w:val="000000" w:themeColor="text1"/>
          <w:sz w:val="20"/>
          <w:szCs w:val="20"/>
          <w:lang w:val="en"/>
        </w:rPr>
      </w:pPr>
    </w:p>
    <w:p w14:paraId="77E57DF6" w14:textId="2B98B589" w:rsidR="00026843" w:rsidRDefault="00026843" w:rsidP="00875049">
      <w:pPr>
        <w:pStyle w:val="PlainLink1"/>
        <w:spacing w:after="0"/>
        <w:ind w:left="360" w:hanging="360"/>
        <w:rPr>
          <w:rFonts w:ascii="Aptos" w:hAnsi="Aptos" w:cs="Arial"/>
          <w:color w:val="000000" w:themeColor="text1"/>
          <w:sz w:val="20"/>
          <w:szCs w:val="20"/>
          <w:lang w:val="en"/>
        </w:rPr>
      </w:pPr>
      <w:r w:rsidRPr="00875049">
        <w:rPr>
          <w:rFonts w:ascii="Aptos" w:hAnsi="Aptos" w:cs="Arial"/>
          <w:color w:val="000000" w:themeColor="text1"/>
          <w:sz w:val="20"/>
          <w:szCs w:val="20"/>
          <w:lang w:val="en"/>
        </w:rPr>
        <w:t xml:space="preserve">Hall, Patrick, James Curtis, and Parul Pandey. 2023. </w:t>
      </w:r>
      <w:r w:rsidR="00A2496F" w:rsidRPr="00875049">
        <w:rPr>
          <w:rFonts w:ascii="Aptos" w:hAnsi="Aptos" w:cs="Arial"/>
          <w:color w:val="000000" w:themeColor="text1"/>
          <w:sz w:val="20"/>
          <w:szCs w:val="20"/>
          <w:lang w:val="en"/>
        </w:rPr>
        <w:t xml:space="preserve">O’Reilly Media, </w:t>
      </w:r>
      <w:hyperlink r:id="rId57" w:history="1">
        <w:r w:rsidRPr="00875049">
          <w:rPr>
            <w:rStyle w:val="Hyperlink"/>
            <w:rFonts w:ascii="Aptos" w:hAnsi="Aptos" w:cs="Arial"/>
            <w:sz w:val="20"/>
            <w:szCs w:val="20"/>
            <w:lang w:val="en"/>
          </w:rPr>
          <w:t>Machine Learning for High-risk Applications: Approaches to Responsible AI</w:t>
        </w:r>
      </w:hyperlink>
      <w:r w:rsidRPr="00875049">
        <w:rPr>
          <w:rFonts w:ascii="Aptos" w:hAnsi="Aptos" w:cs="Arial"/>
          <w:color w:val="000000" w:themeColor="text1"/>
          <w:sz w:val="20"/>
          <w:szCs w:val="20"/>
          <w:lang w:val="en"/>
        </w:rPr>
        <w:t xml:space="preserve">. </w:t>
      </w:r>
    </w:p>
    <w:p w14:paraId="00B7BEC1" w14:textId="77777777" w:rsidR="00875049" w:rsidRPr="00875049" w:rsidRDefault="00875049" w:rsidP="00875049">
      <w:pPr>
        <w:pStyle w:val="PlainLink1"/>
        <w:spacing w:after="0"/>
        <w:ind w:left="360" w:hanging="360"/>
        <w:rPr>
          <w:rFonts w:ascii="Aptos" w:hAnsi="Aptos" w:cs="Arial"/>
          <w:color w:val="000000" w:themeColor="text1"/>
          <w:sz w:val="20"/>
          <w:szCs w:val="20"/>
        </w:rPr>
      </w:pPr>
    </w:p>
    <w:p w14:paraId="3A1E3A95" w14:textId="54AF6CAC" w:rsidR="00026843" w:rsidRDefault="00026843" w:rsidP="00875049">
      <w:pPr>
        <w:pStyle w:val="PlainLink1"/>
        <w:spacing w:after="0"/>
        <w:ind w:left="360" w:hanging="360"/>
        <w:rPr>
          <w:rFonts w:ascii="Aptos" w:hAnsi="Aptos" w:cs="Arial"/>
          <w:color w:val="000000" w:themeColor="text1"/>
          <w:sz w:val="20"/>
          <w:szCs w:val="20"/>
          <w:lang w:val="en"/>
        </w:rPr>
      </w:pPr>
      <w:r w:rsidRPr="00875049">
        <w:rPr>
          <w:rFonts w:ascii="Aptos" w:hAnsi="Aptos" w:cs="Arial"/>
          <w:color w:val="000000" w:themeColor="text1"/>
          <w:sz w:val="20"/>
          <w:szCs w:val="20"/>
          <w:lang w:val="en"/>
        </w:rPr>
        <w:lastRenderedPageBreak/>
        <w:t xml:space="preserve">Holland, Sarah, Ahmed Hosny, Sarah Newman, Joshua Joseph, and Kasia Chmielinski. 2020. </w:t>
      </w:r>
      <w:r w:rsidR="000D2276" w:rsidRPr="00875049">
        <w:rPr>
          <w:rFonts w:ascii="Aptos" w:hAnsi="Aptos" w:cs="Arial"/>
          <w:color w:val="000000" w:themeColor="text1"/>
          <w:sz w:val="20"/>
          <w:szCs w:val="20"/>
          <w:lang w:val="en"/>
        </w:rPr>
        <w:t xml:space="preserve">Data Protection and Privacy 12 (12): 1, </w:t>
      </w:r>
      <w:hyperlink r:id="rId58" w:history="1">
        <w:r w:rsidRPr="00875049">
          <w:rPr>
            <w:rStyle w:val="Hyperlink"/>
            <w:rFonts w:ascii="Aptos" w:hAnsi="Aptos" w:cs="Arial"/>
            <w:sz w:val="20"/>
            <w:szCs w:val="20"/>
            <w:lang w:val="en"/>
          </w:rPr>
          <w:t>The Dataset Nutrition Label</w:t>
        </w:r>
      </w:hyperlink>
      <w:r w:rsidRPr="00875049">
        <w:rPr>
          <w:rFonts w:ascii="Aptos" w:hAnsi="Aptos" w:cs="Arial"/>
          <w:color w:val="000000" w:themeColor="text1"/>
          <w:sz w:val="20"/>
          <w:szCs w:val="20"/>
          <w:lang w:val="en"/>
        </w:rPr>
        <w:t>.</w:t>
      </w:r>
      <w:r w:rsidR="000D2276" w:rsidRPr="00875049">
        <w:rPr>
          <w:rFonts w:ascii="Aptos" w:hAnsi="Aptos" w:cs="Arial"/>
          <w:color w:val="000000" w:themeColor="text1"/>
          <w:sz w:val="20"/>
          <w:szCs w:val="20"/>
          <w:lang w:val="en"/>
        </w:rPr>
        <w:t xml:space="preserve"> </w:t>
      </w:r>
    </w:p>
    <w:p w14:paraId="20DC3E3A" w14:textId="77777777" w:rsidR="00875049" w:rsidRPr="00875049" w:rsidRDefault="00875049" w:rsidP="00875049">
      <w:pPr>
        <w:pStyle w:val="PlainLink1"/>
        <w:spacing w:after="0"/>
        <w:ind w:left="360" w:hanging="360"/>
        <w:rPr>
          <w:rFonts w:ascii="Aptos" w:hAnsi="Aptos" w:cs="Arial"/>
          <w:color w:val="000000" w:themeColor="text1"/>
          <w:sz w:val="20"/>
          <w:szCs w:val="20"/>
          <w:lang w:val="en"/>
        </w:rPr>
      </w:pPr>
    </w:p>
    <w:p w14:paraId="34BA357B" w14:textId="219093BF" w:rsidR="00026843" w:rsidRDefault="00026843" w:rsidP="00875049">
      <w:pPr>
        <w:pStyle w:val="PlainLink1"/>
        <w:spacing w:after="0"/>
        <w:ind w:left="360" w:hanging="360"/>
        <w:rPr>
          <w:rFonts w:ascii="Aptos" w:hAnsi="Aptos" w:cs="Arial"/>
          <w:color w:val="000000" w:themeColor="text1"/>
          <w:sz w:val="20"/>
          <w:szCs w:val="20"/>
          <w:lang w:val="en"/>
        </w:rPr>
      </w:pPr>
      <w:r w:rsidRPr="00875049">
        <w:rPr>
          <w:rFonts w:ascii="Aptos" w:hAnsi="Aptos" w:cs="Arial"/>
          <w:color w:val="000000" w:themeColor="text1"/>
          <w:sz w:val="20"/>
          <w:szCs w:val="20"/>
          <w:lang w:val="en"/>
        </w:rPr>
        <w:t>Hubinger, Evan</w:t>
      </w:r>
      <w:r w:rsidR="00E72C80" w:rsidRPr="00875049">
        <w:rPr>
          <w:rFonts w:ascii="Aptos" w:hAnsi="Aptos" w:cs="Arial"/>
          <w:color w:val="000000" w:themeColor="text1"/>
          <w:sz w:val="20"/>
          <w:szCs w:val="20"/>
          <w:lang w:val="en"/>
        </w:rPr>
        <w:t>,</w:t>
      </w:r>
      <w:r w:rsidRPr="00875049">
        <w:rPr>
          <w:rFonts w:ascii="Aptos" w:hAnsi="Aptos" w:cs="Arial"/>
          <w:color w:val="000000" w:themeColor="text1"/>
          <w:sz w:val="20"/>
          <w:szCs w:val="20"/>
          <w:lang w:val="en"/>
        </w:rPr>
        <w:t xml:space="preserve"> 2025. </w:t>
      </w:r>
      <w:r w:rsidR="000D2276" w:rsidRPr="00875049">
        <w:rPr>
          <w:rFonts w:ascii="Aptos" w:hAnsi="Aptos" w:cs="Arial"/>
          <w:color w:val="000000" w:themeColor="text1"/>
          <w:sz w:val="20"/>
          <w:szCs w:val="20"/>
          <w:lang w:val="en"/>
        </w:rPr>
        <w:t xml:space="preserve">SuperIntelligence-Robotics-Safety &amp; Alignment 2 (1), </w:t>
      </w:r>
      <w:hyperlink r:id="rId59" w:history="1">
        <w:r w:rsidRPr="00875049">
          <w:rPr>
            <w:rStyle w:val="Hyperlink"/>
            <w:rFonts w:ascii="Aptos" w:hAnsi="Aptos" w:cs="Arial"/>
            <w:sz w:val="20"/>
            <w:szCs w:val="20"/>
            <w:lang w:val="en"/>
          </w:rPr>
          <w:t>Anthropic: Responsible Scaling Policy</w:t>
        </w:r>
      </w:hyperlink>
      <w:r w:rsidRPr="00875049">
        <w:rPr>
          <w:rFonts w:ascii="Aptos" w:hAnsi="Aptos" w:cs="Arial"/>
          <w:color w:val="000000" w:themeColor="text1"/>
          <w:sz w:val="20"/>
          <w:szCs w:val="20"/>
          <w:lang w:val="en"/>
        </w:rPr>
        <w:t>.</w:t>
      </w:r>
    </w:p>
    <w:p w14:paraId="4C868403" w14:textId="77777777" w:rsidR="00875049" w:rsidRPr="00875049" w:rsidRDefault="00875049" w:rsidP="00875049">
      <w:pPr>
        <w:pStyle w:val="PlainLink1"/>
        <w:spacing w:after="0"/>
        <w:ind w:left="360" w:hanging="360"/>
        <w:rPr>
          <w:rFonts w:ascii="Aptos" w:hAnsi="Aptos" w:cs="Arial"/>
          <w:color w:val="000000" w:themeColor="text1"/>
          <w:sz w:val="20"/>
          <w:szCs w:val="20"/>
          <w:lang w:val="en"/>
        </w:rPr>
      </w:pPr>
    </w:p>
    <w:p w14:paraId="32D6F69F" w14:textId="0FEFA656" w:rsidR="00825798" w:rsidRDefault="004D4D30" w:rsidP="00875049">
      <w:pPr>
        <w:pStyle w:val="PlainLink1"/>
        <w:spacing w:after="0"/>
        <w:ind w:left="360" w:hanging="360"/>
        <w:rPr>
          <w:rFonts w:ascii="Aptos" w:hAnsi="Aptos"/>
          <w:sz w:val="20"/>
          <w:szCs w:val="20"/>
        </w:rPr>
      </w:pPr>
      <w:r w:rsidRPr="00875049">
        <w:rPr>
          <w:rFonts w:ascii="Aptos" w:hAnsi="Aptos" w:cs="Arial"/>
          <w:color w:val="000000" w:themeColor="text1"/>
          <w:sz w:val="20"/>
          <w:szCs w:val="20"/>
          <w:lang w:val="en"/>
        </w:rPr>
        <w:t>International Standards Organization</w:t>
      </w:r>
      <w:r w:rsidR="00674325" w:rsidRPr="00875049">
        <w:rPr>
          <w:rFonts w:ascii="Aptos" w:hAnsi="Aptos" w:cs="Arial"/>
          <w:color w:val="000000" w:themeColor="text1"/>
          <w:sz w:val="20"/>
          <w:szCs w:val="20"/>
          <w:lang w:val="en"/>
        </w:rPr>
        <w:t xml:space="preserve"> (ISO)</w:t>
      </w:r>
      <w:r w:rsidRPr="00875049">
        <w:rPr>
          <w:rFonts w:ascii="Aptos" w:hAnsi="Aptos" w:cs="Arial"/>
          <w:color w:val="000000" w:themeColor="text1"/>
          <w:sz w:val="20"/>
          <w:szCs w:val="20"/>
          <w:lang w:val="en"/>
        </w:rPr>
        <w:t xml:space="preserve">, </w:t>
      </w:r>
      <w:r w:rsidR="00825798" w:rsidRPr="00875049">
        <w:rPr>
          <w:rFonts w:ascii="Aptos" w:hAnsi="Aptos" w:cs="Arial"/>
          <w:color w:val="000000" w:themeColor="text1"/>
          <w:sz w:val="20"/>
          <w:szCs w:val="20"/>
          <w:lang w:val="en"/>
        </w:rPr>
        <w:t xml:space="preserve">2015. </w:t>
      </w:r>
      <w:hyperlink r:id="rId60" w:history="1">
        <w:r w:rsidR="00825798" w:rsidRPr="00875049">
          <w:rPr>
            <w:rStyle w:val="Hyperlink"/>
            <w:rFonts w:ascii="Aptos" w:hAnsi="Aptos" w:cs="Arial"/>
            <w:sz w:val="20"/>
            <w:szCs w:val="20"/>
            <w:lang w:val="en"/>
          </w:rPr>
          <w:t>Quality management systems—Fundamentals and vocabulary</w:t>
        </w:r>
      </w:hyperlink>
      <w:r w:rsidR="00E03EC3" w:rsidRPr="00875049">
        <w:rPr>
          <w:rFonts w:ascii="Aptos" w:hAnsi="Aptos" w:cs="Arial"/>
          <w:color w:val="000000" w:themeColor="text1"/>
          <w:sz w:val="20"/>
          <w:szCs w:val="20"/>
          <w:lang w:val="en"/>
        </w:rPr>
        <w:t>.</w:t>
      </w:r>
      <w:hyperlink r:id="rId61" w:history="1">
        <w:r w:rsidR="00825798" w:rsidRPr="00875049">
          <w:rPr>
            <w:rFonts w:ascii="Aptos" w:hAnsi="Aptos"/>
            <w:color w:val="000000" w:themeColor="text1"/>
            <w:sz w:val="20"/>
            <w:szCs w:val="20"/>
            <w:lang w:val="en"/>
          </w:rPr>
          <w:t xml:space="preserve"> </w:t>
        </w:r>
      </w:hyperlink>
    </w:p>
    <w:p w14:paraId="48AF6405" w14:textId="77777777" w:rsidR="00875049" w:rsidRPr="00875049" w:rsidRDefault="00875049" w:rsidP="00875049">
      <w:pPr>
        <w:pStyle w:val="PlainLink1"/>
        <w:spacing w:after="0"/>
        <w:ind w:left="360" w:hanging="360"/>
        <w:rPr>
          <w:rFonts w:ascii="Aptos" w:hAnsi="Aptos" w:cs="Arial"/>
          <w:color w:val="000000" w:themeColor="text1"/>
          <w:sz w:val="20"/>
          <w:szCs w:val="20"/>
          <w:lang w:val="en"/>
        </w:rPr>
      </w:pPr>
    </w:p>
    <w:p w14:paraId="7BC00886" w14:textId="5D6A4788" w:rsidR="00825798" w:rsidRDefault="00E03EC3" w:rsidP="00875049">
      <w:pPr>
        <w:pStyle w:val="PlainLink1"/>
        <w:spacing w:after="0"/>
        <w:ind w:left="360" w:hanging="360"/>
        <w:rPr>
          <w:rFonts w:ascii="Aptos" w:hAnsi="Aptos" w:cs="Arial"/>
          <w:color w:val="000000" w:themeColor="text1"/>
          <w:sz w:val="20"/>
          <w:szCs w:val="20"/>
          <w:lang w:val="en"/>
        </w:rPr>
      </w:pPr>
      <w:r w:rsidRPr="00875049">
        <w:rPr>
          <w:rFonts w:ascii="Aptos" w:hAnsi="Aptos" w:cs="Arial"/>
          <w:color w:val="000000" w:themeColor="text1"/>
          <w:sz w:val="20"/>
          <w:szCs w:val="20"/>
          <w:lang w:val="en"/>
        </w:rPr>
        <w:t>International Standards Organization (ISO),</w:t>
      </w:r>
      <w:r w:rsidR="00825798" w:rsidRPr="00875049">
        <w:rPr>
          <w:rFonts w:ascii="Aptos" w:hAnsi="Aptos" w:cs="Arial"/>
          <w:color w:val="000000" w:themeColor="text1"/>
          <w:sz w:val="20"/>
          <w:szCs w:val="20"/>
          <w:lang w:val="en"/>
        </w:rPr>
        <w:t xml:space="preserve"> 2022. </w:t>
      </w:r>
      <w:hyperlink r:id="rId62" w:history="1">
        <w:r w:rsidR="00825798" w:rsidRPr="00875049">
          <w:rPr>
            <w:rStyle w:val="Hyperlink"/>
            <w:rFonts w:ascii="Aptos" w:hAnsi="Aptos" w:cs="Arial"/>
            <w:sz w:val="20"/>
            <w:szCs w:val="20"/>
            <w:lang w:val="en"/>
          </w:rPr>
          <w:t>Trustworthiness — Vocabulary</w:t>
        </w:r>
      </w:hyperlink>
      <w:r w:rsidR="00825798" w:rsidRPr="00875049">
        <w:rPr>
          <w:rFonts w:ascii="Aptos" w:hAnsi="Aptos" w:cs="Arial"/>
          <w:color w:val="000000" w:themeColor="text1"/>
          <w:sz w:val="20"/>
          <w:szCs w:val="20"/>
          <w:lang w:val="en"/>
        </w:rPr>
        <w:t>.</w:t>
      </w:r>
    </w:p>
    <w:p w14:paraId="217253E2" w14:textId="77777777" w:rsidR="00875049" w:rsidRPr="00875049" w:rsidRDefault="00875049" w:rsidP="00875049">
      <w:pPr>
        <w:pStyle w:val="PlainLink1"/>
        <w:spacing w:after="0"/>
        <w:ind w:left="360" w:hanging="360"/>
        <w:rPr>
          <w:rFonts w:ascii="Aptos" w:hAnsi="Aptos" w:cs="Arial"/>
          <w:color w:val="000000" w:themeColor="text1"/>
          <w:sz w:val="20"/>
          <w:szCs w:val="20"/>
          <w:lang w:val="en"/>
        </w:rPr>
      </w:pPr>
    </w:p>
    <w:p w14:paraId="111409EC" w14:textId="7728C13C" w:rsidR="00825798" w:rsidRDefault="00E03EC3" w:rsidP="00875049">
      <w:pPr>
        <w:pStyle w:val="PlainLink1"/>
        <w:spacing w:after="0"/>
        <w:ind w:left="360" w:hanging="360"/>
        <w:rPr>
          <w:rFonts w:ascii="Aptos" w:hAnsi="Aptos" w:cs="Arial"/>
          <w:color w:val="000000" w:themeColor="text1"/>
          <w:sz w:val="20"/>
          <w:szCs w:val="20"/>
          <w:lang w:val="en"/>
        </w:rPr>
      </w:pPr>
      <w:r w:rsidRPr="00875049">
        <w:rPr>
          <w:rFonts w:ascii="Aptos" w:hAnsi="Aptos" w:cs="Arial"/>
          <w:color w:val="000000" w:themeColor="text1"/>
          <w:sz w:val="20"/>
          <w:szCs w:val="20"/>
          <w:lang w:val="en"/>
        </w:rPr>
        <w:t>International Standards Organization (ISO),</w:t>
      </w:r>
      <w:r w:rsidR="00825798" w:rsidRPr="00875049">
        <w:rPr>
          <w:rFonts w:ascii="Aptos" w:hAnsi="Aptos" w:cs="Arial"/>
          <w:color w:val="000000" w:themeColor="text1"/>
          <w:sz w:val="20"/>
          <w:szCs w:val="20"/>
          <w:lang w:val="en"/>
        </w:rPr>
        <w:t xml:space="preserve"> 2023. ISO/IEC 42001:2023</w:t>
      </w:r>
      <w:r w:rsidRPr="00875049">
        <w:rPr>
          <w:rFonts w:ascii="Aptos" w:hAnsi="Aptos" w:cs="Arial"/>
          <w:color w:val="000000" w:themeColor="text1"/>
          <w:sz w:val="20"/>
          <w:szCs w:val="20"/>
          <w:lang w:val="en"/>
        </w:rPr>
        <w:t>,</w:t>
      </w:r>
      <w:r w:rsidR="00825798" w:rsidRPr="00875049">
        <w:rPr>
          <w:rFonts w:ascii="Aptos" w:hAnsi="Aptos" w:cs="Arial"/>
          <w:color w:val="000000" w:themeColor="text1"/>
          <w:sz w:val="20"/>
          <w:szCs w:val="20"/>
          <w:lang w:val="en"/>
        </w:rPr>
        <w:t xml:space="preserve"> </w:t>
      </w:r>
      <w:hyperlink r:id="rId63" w:history="1">
        <w:r w:rsidR="00825798" w:rsidRPr="00875049">
          <w:rPr>
            <w:rStyle w:val="Hyperlink"/>
            <w:rFonts w:ascii="Aptos" w:hAnsi="Aptos" w:cs="Arial"/>
            <w:sz w:val="20"/>
            <w:szCs w:val="20"/>
            <w:lang w:val="en"/>
          </w:rPr>
          <w:t>Artificial Intelligence — Management System</w:t>
        </w:r>
      </w:hyperlink>
      <w:r w:rsidR="00825798" w:rsidRPr="00875049">
        <w:rPr>
          <w:rFonts w:ascii="Aptos" w:hAnsi="Aptos" w:cs="Arial"/>
          <w:color w:val="000000" w:themeColor="text1"/>
          <w:sz w:val="20"/>
          <w:szCs w:val="20"/>
          <w:lang w:val="en"/>
        </w:rPr>
        <w:t xml:space="preserve">. </w:t>
      </w:r>
    </w:p>
    <w:p w14:paraId="7CF3E80B" w14:textId="77777777" w:rsidR="00875049" w:rsidRPr="00875049" w:rsidRDefault="00875049" w:rsidP="00875049">
      <w:pPr>
        <w:pStyle w:val="PlainLink1"/>
        <w:spacing w:after="0"/>
        <w:ind w:left="360" w:hanging="360"/>
        <w:rPr>
          <w:rFonts w:ascii="Aptos" w:hAnsi="Aptos" w:cs="Arial"/>
          <w:color w:val="000000" w:themeColor="text1"/>
          <w:sz w:val="20"/>
          <w:szCs w:val="20"/>
          <w:lang w:val="en"/>
        </w:rPr>
      </w:pPr>
    </w:p>
    <w:p w14:paraId="48CD6558" w14:textId="78CA684B" w:rsidR="00825798" w:rsidRDefault="00E03EC3" w:rsidP="00875049">
      <w:pPr>
        <w:pStyle w:val="PlainLink1"/>
        <w:spacing w:after="0"/>
        <w:ind w:left="360" w:hanging="360"/>
        <w:rPr>
          <w:rFonts w:ascii="Aptos" w:hAnsi="Aptos" w:cs="Arial"/>
          <w:color w:val="000000" w:themeColor="text1"/>
          <w:sz w:val="20"/>
          <w:szCs w:val="20"/>
          <w:lang w:val="en"/>
        </w:rPr>
      </w:pPr>
      <w:r w:rsidRPr="00875049">
        <w:rPr>
          <w:rFonts w:ascii="Aptos" w:hAnsi="Aptos" w:cs="Arial"/>
          <w:color w:val="000000" w:themeColor="text1"/>
          <w:sz w:val="20"/>
          <w:szCs w:val="20"/>
          <w:lang w:val="en"/>
        </w:rPr>
        <w:t>International Standards Organization (ISO),</w:t>
      </w:r>
      <w:r w:rsidR="00825798" w:rsidRPr="00875049">
        <w:rPr>
          <w:rFonts w:ascii="Aptos" w:hAnsi="Aptos" w:cs="Arial"/>
          <w:color w:val="000000" w:themeColor="text1"/>
          <w:sz w:val="20"/>
          <w:szCs w:val="20"/>
          <w:lang w:val="en"/>
        </w:rPr>
        <w:t xml:space="preserve"> 2025. ISO/IEC 42005:2025</w:t>
      </w:r>
      <w:r w:rsidRPr="00875049">
        <w:rPr>
          <w:rFonts w:ascii="Aptos" w:hAnsi="Aptos" w:cs="Arial"/>
          <w:color w:val="000000" w:themeColor="text1"/>
          <w:sz w:val="20"/>
          <w:szCs w:val="20"/>
          <w:lang w:val="en"/>
        </w:rPr>
        <w:t>,</w:t>
      </w:r>
      <w:r w:rsidR="00825798" w:rsidRPr="00875049">
        <w:rPr>
          <w:rFonts w:ascii="Aptos" w:hAnsi="Aptos" w:cs="Arial"/>
          <w:color w:val="000000" w:themeColor="text1"/>
          <w:sz w:val="20"/>
          <w:szCs w:val="20"/>
          <w:lang w:val="en"/>
        </w:rPr>
        <w:t xml:space="preserve"> </w:t>
      </w:r>
      <w:hyperlink r:id="rId64" w:history="1">
        <w:r w:rsidR="00825798" w:rsidRPr="00875049">
          <w:rPr>
            <w:rStyle w:val="Hyperlink"/>
            <w:rFonts w:ascii="Aptos" w:hAnsi="Aptos" w:cs="Arial"/>
            <w:sz w:val="20"/>
            <w:szCs w:val="20"/>
            <w:lang w:val="en"/>
          </w:rPr>
          <w:t>Information Technology — Artificial Intelligence (AI) — AI System Impact Assessment</w:t>
        </w:r>
      </w:hyperlink>
      <w:r w:rsidR="00825798" w:rsidRPr="00875049">
        <w:rPr>
          <w:rFonts w:ascii="Aptos" w:hAnsi="Aptos" w:cs="Arial"/>
          <w:color w:val="000000" w:themeColor="text1"/>
          <w:sz w:val="20"/>
          <w:szCs w:val="20"/>
          <w:lang w:val="en"/>
        </w:rPr>
        <w:t xml:space="preserve">. </w:t>
      </w:r>
    </w:p>
    <w:p w14:paraId="6301BE9E" w14:textId="77777777" w:rsidR="00875049" w:rsidRPr="00875049" w:rsidRDefault="00875049" w:rsidP="00875049">
      <w:pPr>
        <w:pStyle w:val="PlainLink1"/>
        <w:spacing w:after="0"/>
        <w:ind w:left="360" w:hanging="360"/>
        <w:rPr>
          <w:rFonts w:ascii="Aptos" w:hAnsi="Aptos" w:cs="Arial"/>
          <w:color w:val="000000" w:themeColor="text1"/>
          <w:sz w:val="20"/>
          <w:szCs w:val="20"/>
          <w:lang w:val="en"/>
        </w:rPr>
      </w:pPr>
    </w:p>
    <w:p w14:paraId="7B8CA92F" w14:textId="51565267" w:rsidR="00825798" w:rsidRDefault="00825798" w:rsidP="00875049">
      <w:pPr>
        <w:pStyle w:val="PlainLink1"/>
        <w:spacing w:after="0"/>
        <w:ind w:left="360" w:hanging="360"/>
        <w:rPr>
          <w:rFonts w:ascii="Aptos" w:hAnsi="Aptos" w:cs="Arial"/>
          <w:color w:val="000000" w:themeColor="text1"/>
          <w:sz w:val="20"/>
          <w:szCs w:val="20"/>
          <w:lang w:val="en"/>
        </w:rPr>
      </w:pPr>
      <w:r w:rsidRPr="00875049">
        <w:rPr>
          <w:rFonts w:ascii="Aptos" w:hAnsi="Aptos" w:cs="Arial"/>
          <w:color w:val="000000" w:themeColor="text1"/>
          <w:sz w:val="20"/>
          <w:szCs w:val="20"/>
          <w:lang w:val="en"/>
        </w:rPr>
        <w:t xml:space="preserve">Kraprayoon, Jam, Zoe Williams, and Rida Fayyaz. 2025. </w:t>
      </w:r>
      <w:hyperlink r:id="rId65" w:history="1">
        <w:r w:rsidRPr="00875049">
          <w:rPr>
            <w:rStyle w:val="Hyperlink"/>
            <w:rFonts w:ascii="Aptos" w:hAnsi="Aptos" w:cs="Arial"/>
            <w:sz w:val="20"/>
            <w:szCs w:val="20"/>
            <w:lang w:val="en"/>
          </w:rPr>
          <w:t>AI Agent Governance: A Field Guide</w:t>
        </w:r>
      </w:hyperlink>
      <w:r w:rsidRPr="00875049">
        <w:rPr>
          <w:rFonts w:ascii="Aptos" w:hAnsi="Aptos" w:cs="Arial"/>
          <w:color w:val="000000" w:themeColor="text1"/>
          <w:sz w:val="20"/>
          <w:szCs w:val="20"/>
          <w:lang w:val="en"/>
        </w:rPr>
        <w:t>.</w:t>
      </w:r>
    </w:p>
    <w:p w14:paraId="2F1C9FE3" w14:textId="77777777" w:rsidR="00875049" w:rsidRPr="00875049" w:rsidRDefault="00875049" w:rsidP="00875049">
      <w:pPr>
        <w:pStyle w:val="PlainLink1"/>
        <w:spacing w:after="0"/>
        <w:ind w:left="360" w:hanging="360"/>
        <w:rPr>
          <w:rFonts w:ascii="Aptos" w:hAnsi="Aptos" w:cs="Arial"/>
          <w:color w:val="000000" w:themeColor="text1"/>
          <w:sz w:val="20"/>
          <w:szCs w:val="20"/>
          <w:lang w:val="en"/>
        </w:rPr>
      </w:pPr>
    </w:p>
    <w:p w14:paraId="5F73F551" w14:textId="30831E8F" w:rsidR="00390D21" w:rsidRDefault="00FA7183" w:rsidP="00875049">
      <w:pPr>
        <w:pStyle w:val="PlainLink1"/>
        <w:spacing w:after="0"/>
        <w:ind w:left="360" w:hanging="360"/>
        <w:rPr>
          <w:rFonts w:ascii="Aptos" w:hAnsi="Aptos" w:cs="Arial"/>
          <w:color w:val="000000" w:themeColor="text1"/>
          <w:sz w:val="20"/>
          <w:szCs w:val="20"/>
          <w:lang w:val="en"/>
        </w:rPr>
      </w:pPr>
      <w:r w:rsidRPr="00875049">
        <w:rPr>
          <w:rFonts w:ascii="Aptos" w:hAnsi="Aptos" w:cs="Arial"/>
          <w:color w:val="000000" w:themeColor="text1"/>
          <w:sz w:val="20"/>
          <w:szCs w:val="20"/>
          <w:lang w:val="en"/>
        </w:rPr>
        <w:t xml:space="preserve">McGregor, Sean. 2021. </w:t>
      </w:r>
      <w:r w:rsidR="00390D21" w:rsidRPr="00875049">
        <w:rPr>
          <w:rFonts w:ascii="Aptos" w:hAnsi="Aptos" w:cs="Arial"/>
          <w:color w:val="000000" w:themeColor="text1"/>
          <w:sz w:val="20"/>
          <w:szCs w:val="20"/>
          <w:lang w:val="en"/>
        </w:rPr>
        <w:t>In Proceedings of the AAAI Conference on Artificial Intelligence, 35:15458–15463. 17</w:t>
      </w:r>
      <w:r w:rsidR="00392501" w:rsidRPr="00875049">
        <w:rPr>
          <w:rFonts w:ascii="Aptos" w:hAnsi="Aptos" w:cs="Arial"/>
          <w:color w:val="000000" w:themeColor="text1"/>
          <w:sz w:val="20"/>
          <w:szCs w:val="20"/>
          <w:lang w:val="en"/>
        </w:rPr>
        <w:t xml:space="preserve">, </w:t>
      </w:r>
      <w:hyperlink r:id="rId66" w:history="1">
        <w:r w:rsidRPr="00875049">
          <w:rPr>
            <w:rStyle w:val="Hyperlink"/>
            <w:rFonts w:ascii="Aptos" w:hAnsi="Aptos" w:cs="Arial"/>
            <w:sz w:val="20"/>
            <w:szCs w:val="20"/>
            <w:lang w:val="en"/>
          </w:rPr>
          <w:t>Preventing Repeated Real World AI Failures by Cataloging Incidents: The AI Incident Database</w:t>
        </w:r>
      </w:hyperlink>
      <w:r w:rsidRPr="00875049">
        <w:rPr>
          <w:rFonts w:ascii="Aptos" w:hAnsi="Aptos" w:cs="Arial"/>
          <w:color w:val="000000" w:themeColor="text1"/>
          <w:sz w:val="20"/>
          <w:szCs w:val="20"/>
          <w:lang w:val="en"/>
        </w:rPr>
        <w:t>.</w:t>
      </w:r>
      <w:r w:rsidR="00392501" w:rsidRPr="00875049">
        <w:rPr>
          <w:rFonts w:ascii="Aptos" w:hAnsi="Aptos" w:cs="Arial"/>
          <w:color w:val="000000" w:themeColor="text1"/>
          <w:sz w:val="20"/>
          <w:szCs w:val="20"/>
          <w:lang w:val="en"/>
        </w:rPr>
        <w:t xml:space="preserve"> </w:t>
      </w:r>
    </w:p>
    <w:p w14:paraId="2FE65F66" w14:textId="77777777" w:rsidR="00875049" w:rsidRPr="00875049" w:rsidRDefault="00875049" w:rsidP="00875049">
      <w:pPr>
        <w:pStyle w:val="PlainLink1"/>
        <w:spacing w:after="0"/>
        <w:ind w:left="360" w:hanging="360"/>
        <w:rPr>
          <w:rFonts w:ascii="Aptos" w:hAnsi="Aptos" w:cs="Arial"/>
          <w:color w:val="000000" w:themeColor="text1"/>
          <w:sz w:val="20"/>
          <w:szCs w:val="20"/>
          <w:lang w:val="en"/>
        </w:rPr>
      </w:pPr>
    </w:p>
    <w:p w14:paraId="458C1A87" w14:textId="7BFB0F2C" w:rsidR="00FA7183" w:rsidRPr="00456A22" w:rsidRDefault="00FA7183" w:rsidP="00875049">
      <w:pPr>
        <w:pStyle w:val="PlainLink1"/>
        <w:spacing w:after="0"/>
        <w:ind w:left="360" w:hanging="360"/>
        <w:rPr>
          <w:rFonts w:ascii="Aptos" w:hAnsi="Aptos"/>
          <w:sz w:val="20"/>
          <w:szCs w:val="20"/>
          <w:lang w:val="fr-CA"/>
        </w:rPr>
      </w:pPr>
      <w:r w:rsidRPr="00456A22">
        <w:rPr>
          <w:rFonts w:ascii="Aptos" w:hAnsi="Aptos" w:cs="Arial"/>
          <w:color w:val="000000" w:themeColor="text1"/>
          <w:sz w:val="20"/>
          <w:szCs w:val="20"/>
          <w:lang w:val="fr-CA"/>
        </w:rPr>
        <w:t xml:space="preserve">Microsoft. 2022a. </w:t>
      </w:r>
      <w:hyperlink r:id="rId67" w:history="1">
        <w:r w:rsidRPr="00456A22">
          <w:rPr>
            <w:rStyle w:val="Hyperlink"/>
            <w:rFonts w:ascii="Aptos" w:hAnsi="Aptos" w:cs="Arial"/>
            <w:sz w:val="20"/>
            <w:szCs w:val="20"/>
            <w:lang w:val="fr-CA"/>
          </w:rPr>
          <w:t>Microsoft Responsible AI Impact Assessment Guide</w:t>
        </w:r>
      </w:hyperlink>
      <w:r w:rsidRPr="00456A22">
        <w:rPr>
          <w:rFonts w:ascii="Aptos" w:hAnsi="Aptos" w:cs="Arial"/>
          <w:color w:val="000000" w:themeColor="text1"/>
          <w:sz w:val="20"/>
          <w:szCs w:val="20"/>
          <w:lang w:val="fr-CA"/>
        </w:rPr>
        <w:t>.</w:t>
      </w:r>
      <w:hyperlink r:id="rId68" w:history="1">
        <w:r w:rsidRPr="00456A22">
          <w:rPr>
            <w:rFonts w:ascii="Aptos" w:hAnsi="Aptos"/>
            <w:color w:val="000000" w:themeColor="text1"/>
            <w:sz w:val="20"/>
            <w:szCs w:val="20"/>
            <w:lang w:val="fr-CA"/>
          </w:rPr>
          <w:t xml:space="preserve"> </w:t>
        </w:r>
      </w:hyperlink>
    </w:p>
    <w:p w14:paraId="2E834163" w14:textId="77777777" w:rsidR="00875049" w:rsidRPr="00456A22" w:rsidRDefault="00875049" w:rsidP="00875049">
      <w:pPr>
        <w:pStyle w:val="PlainLink1"/>
        <w:spacing w:after="0"/>
        <w:ind w:left="360" w:hanging="360"/>
        <w:rPr>
          <w:rFonts w:ascii="Aptos" w:hAnsi="Aptos" w:cs="Arial"/>
          <w:color w:val="000000" w:themeColor="text1"/>
          <w:sz w:val="20"/>
          <w:szCs w:val="20"/>
          <w:lang w:val="fr-CA"/>
        </w:rPr>
      </w:pPr>
    </w:p>
    <w:p w14:paraId="7A1A19B2" w14:textId="77777777" w:rsidR="00875049" w:rsidRDefault="00E43506" w:rsidP="00875049">
      <w:pPr>
        <w:pStyle w:val="PlainLink1"/>
        <w:spacing w:after="0"/>
        <w:ind w:left="360" w:hanging="360"/>
        <w:rPr>
          <w:rFonts w:ascii="Aptos" w:hAnsi="Aptos"/>
          <w:sz w:val="20"/>
          <w:szCs w:val="20"/>
        </w:rPr>
      </w:pPr>
      <w:r w:rsidRPr="00456A22">
        <w:rPr>
          <w:rFonts w:ascii="Aptos" w:hAnsi="Aptos" w:cs="Arial"/>
          <w:color w:val="000000" w:themeColor="text1"/>
          <w:sz w:val="20"/>
          <w:szCs w:val="20"/>
          <w:lang w:val="fr-CA"/>
        </w:rPr>
        <w:t>Microsoft</w:t>
      </w:r>
      <w:r w:rsidR="00FA7183" w:rsidRPr="00456A22">
        <w:rPr>
          <w:rFonts w:ascii="Aptos" w:hAnsi="Aptos" w:cs="Arial"/>
          <w:color w:val="000000" w:themeColor="text1"/>
          <w:sz w:val="20"/>
          <w:szCs w:val="20"/>
          <w:lang w:val="fr-CA"/>
        </w:rPr>
        <w:t xml:space="preserve">. </w:t>
      </w:r>
      <w:r w:rsidR="00FA7183" w:rsidRPr="00875049">
        <w:rPr>
          <w:rFonts w:ascii="Aptos" w:hAnsi="Aptos" w:cs="Arial"/>
          <w:color w:val="000000" w:themeColor="text1"/>
          <w:sz w:val="20"/>
          <w:szCs w:val="20"/>
          <w:lang w:val="en"/>
        </w:rPr>
        <w:t xml:space="preserve">2022b. </w:t>
      </w:r>
      <w:hyperlink r:id="rId69" w:history="1">
        <w:r w:rsidR="00FA7183" w:rsidRPr="00875049">
          <w:rPr>
            <w:rStyle w:val="Hyperlink"/>
            <w:rFonts w:ascii="Aptos" w:hAnsi="Aptos" w:cs="Arial"/>
            <w:sz w:val="20"/>
            <w:szCs w:val="20"/>
            <w:lang w:val="en"/>
          </w:rPr>
          <w:t>Microsoft Responsible AI Impact Assessment Template</w:t>
        </w:r>
      </w:hyperlink>
      <w:r w:rsidR="00FA7183" w:rsidRPr="00875049">
        <w:rPr>
          <w:rFonts w:ascii="Aptos" w:hAnsi="Aptos" w:cs="Arial"/>
          <w:color w:val="000000" w:themeColor="text1"/>
          <w:sz w:val="20"/>
          <w:szCs w:val="20"/>
          <w:lang w:val="en"/>
        </w:rPr>
        <w:t>.</w:t>
      </w:r>
      <w:hyperlink r:id="rId70" w:history="1">
        <w:r w:rsidR="00FA7183" w:rsidRPr="00875049">
          <w:rPr>
            <w:rFonts w:ascii="Aptos" w:hAnsi="Aptos"/>
            <w:color w:val="000000" w:themeColor="text1"/>
            <w:sz w:val="20"/>
            <w:szCs w:val="20"/>
            <w:lang w:val="en"/>
          </w:rPr>
          <w:t xml:space="preserve"> </w:t>
        </w:r>
      </w:hyperlink>
    </w:p>
    <w:p w14:paraId="2AE2920C" w14:textId="7C704528" w:rsidR="00FA7183" w:rsidRPr="00875049" w:rsidRDefault="00FA7183" w:rsidP="00875049">
      <w:pPr>
        <w:pStyle w:val="PlainLink1"/>
        <w:spacing w:after="0"/>
        <w:ind w:left="360" w:hanging="360"/>
        <w:rPr>
          <w:rFonts w:ascii="Aptos" w:hAnsi="Aptos" w:cs="Arial"/>
          <w:color w:val="000000" w:themeColor="text1"/>
          <w:sz w:val="20"/>
          <w:szCs w:val="20"/>
          <w:lang w:val="en"/>
        </w:rPr>
      </w:pPr>
      <w:hyperlink r:id="rId71" w:history="1"/>
    </w:p>
    <w:p w14:paraId="5109AA81" w14:textId="59B3D7E6" w:rsidR="00FA7183" w:rsidRDefault="00FA7183" w:rsidP="00875049">
      <w:pPr>
        <w:pStyle w:val="PlainLink1"/>
        <w:spacing w:after="0"/>
        <w:ind w:left="360" w:hanging="360"/>
        <w:rPr>
          <w:rFonts w:ascii="Aptos" w:hAnsi="Aptos" w:cs="Arial"/>
          <w:color w:val="000000" w:themeColor="text1"/>
          <w:sz w:val="20"/>
          <w:szCs w:val="20"/>
          <w:lang w:val="en"/>
        </w:rPr>
      </w:pPr>
      <w:r w:rsidRPr="00875049">
        <w:rPr>
          <w:rFonts w:ascii="Aptos" w:hAnsi="Aptos" w:cs="Arial"/>
          <w:color w:val="000000" w:themeColor="text1"/>
          <w:sz w:val="20"/>
          <w:szCs w:val="20"/>
          <w:lang w:val="en"/>
        </w:rPr>
        <w:t xml:space="preserve">Mitchell, Margaret, Simone Wu, Andrew Zaldivar, Parker Barnes, Lucy Vasserman, Ben Hutchinson, Elena Spitzer, Inioluwa Deborah Raji, and Timnit Gebru. 2019. </w:t>
      </w:r>
      <w:r w:rsidR="009C55E2" w:rsidRPr="00875049">
        <w:rPr>
          <w:rFonts w:ascii="Aptos" w:hAnsi="Aptos" w:cs="Arial"/>
          <w:color w:val="000000" w:themeColor="text1"/>
          <w:sz w:val="20"/>
          <w:szCs w:val="20"/>
          <w:lang w:val="en"/>
        </w:rPr>
        <w:t xml:space="preserve">In Proceedings of the Conference on Fairness, Accountability, and Transparency, 220–229, </w:t>
      </w:r>
      <w:hyperlink r:id="rId72" w:history="1">
        <w:r w:rsidRPr="00875049">
          <w:rPr>
            <w:rStyle w:val="Hyperlink"/>
            <w:rFonts w:ascii="Aptos" w:hAnsi="Aptos" w:cs="Arial"/>
            <w:sz w:val="20"/>
            <w:szCs w:val="20"/>
            <w:lang w:val="en"/>
          </w:rPr>
          <w:t>Model Cards for Model Reporting</w:t>
        </w:r>
      </w:hyperlink>
      <w:r w:rsidRPr="00875049">
        <w:rPr>
          <w:rFonts w:ascii="Aptos" w:hAnsi="Aptos" w:cs="Arial"/>
          <w:color w:val="000000" w:themeColor="text1"/>
          <w:sz w:val="20"/>
          <w:szCs w:val="20"/>
          <w:lang w:val="en"/>
        </w:rPr>
        <w:t>.</w:t>
      </w:r>
    </w:p>
    <w:p w14:paraId="25C1B705" w14:textId="77777777" w:rsidR="00875049" w:rsidRPr="00875049" w:rsidRDefault="00875049" w:rsidP="00875049">
      <w:pPr>
        <w:pStyle w:val="PlainLink1"/>
        <w:spacing w:after="0"/>
        <w:ind w:left="360" w:hanging="360"/>
        <w:rPr>
          <w:rFonts w:ascii="Aptos" w:hAnsi="Aptos" w:cs="Arial"/>
          <w:color w:val="000000" w:themeColor="text1"/>
          <w:sz w:val="20"/>
          <w:szCs w:val="20"/>
          <w:lang w:val="en"/>
        </w:rPr>
      </w:pPr>
    </w:p>
    <w:p w14:paraId="7ADEF006" w14:textId="40DCC074" w:rsidR="00FA7183" w:rsidRDefault="00FA7183" w:rsidP="00875049">
      <w:pPr>
        <w:pStyle w:val="PlainLink1"/>
        <w:spacing w:after="0"/>
        <w:ind w:left="360" w:hanging="360"/>
        <w:rPr>
          <w:rFonts w:ascii="Aptos" w:hAnsi="Aptos" w:cs="Arial"/>
          <w:color w:val="000000" w:themeColor="text1"/>
          <w:sz w:val="20"/>
          <w:szCs w:val="20"/>
          <w:lang w:val="en"/>
        </w:rPr>
      </w:pPr>
      <w:r w:rsidRPr="00875049">
        <w:rPr>
          <w:rFonts w:ascii="Aptos" w:hAnsi="Aptos" w:cs="Arial"/>
          <w:color w:val="000000" w:themeColor="text1"/>
          <w:sz w:val="20"/>
          <w:szCs w:val="20"/>
          <w:lang w:val="en"/>
        </w:rPr>
        <w:t xml:space="preserve">Munoz, Gary D. Lopez, Amanda J. Minnich, Roman Lutz, Richard Lundeen, Raja Sekhar Rao Dheekonda, Nina Chikanov, Bolor-Erdene Jagdagdorj, et al. 2024. PyRIT: </w:t>
      </w:r>
      <w:hyperlink r:id="rId73" w:history="1">
        <w:r w:rsidRPr="00875049">
          <w:rPr>
            <w:rStyle w:val="Hyperlink"/>
            <w:rFonts w:ascii="Aptos" w:hAnsi="Aptos" w:cs="Arial"/>
            <w:sz w:val="20"/>
            <w:szCs w:val="20"/>
            <w:lang w:val="en"/>
          </w:rPr>
          <w:t>A Framework for Security Risk Identification and Red Teaming in Generative AI Systems</w:t>
        </w:r>
      </w:hyperlink>
      <w:r w:rsidRPr="00875049">
        <w:rPr>
          <w:rFonts w:ascii="Aptos" w:hAnsi="Aptos" w:cs="Arial"/>
          <w:color w:val="000000" w:themeColor="text1"/>
          <w:sz w:val="20"/>
          <w:szCs w:val="20"/>
          <w:lang w:val="en"/>
        </w:rPr>
        <w:t xml:space="preserve">. </w:t>
      </w:r>
    </w:p>
    <w:p w14:paraId="21461927" w14:textId="77777777" w:rsidR="00875049" w:rsidRPr="00875049" w:rsidRDefault="00875049" w:rsidP="00875049">
      <w:pPr>
        <w:pStyle w:val="PlainLink1"/>
        <w:spacing w:after="0"/>
        <w:ind w:left="360" w:hanging="360"/>
        <w:rPr>
          <w:rFonts w:ascii="Aptos" w:hAnsi="Aptos" w:cs="Arial"/>
          <w:color w:val="000000" w:themeColor="text1"/>
          <w:sz w:val="20"/>
          <w:szCs w:val="20"/>
          <w:lang w:val="en"/>
        </w:rPr>
      </w:pPr>
    </w:p>
    <w:p w14:paraId="72D9AE61" w14:textId="4A17B861" w:rsidR="004B1457" w:rsidRDefault="004B1457" w:rsidP="00875049">
      <w:pPr>
        <w:pStyle w:val="PlainLink1"/>
        <w:spacing w:after="0"/>
        <w:ind w:left="360" w:hanging="360"/>
        <w:rPr>
          <w:rFonts w:ascii="Aptos" w:hAnsi="Aptos" w:cs="Arial"/>
          <w:color w:val="000000" w:themeColor="text1"/>
          <w:sz w:val="20"/>
          <w:szCs w:val="20"/>
          <w:lang w:val="en"/>
        </w:rPr>
      </w:pPr>
      <w:r w:rsidRPr="00875049">
        <w:rPr>
          <w:rFonts w:ascii="Aptos" w:hAnsi="Aptos" w:cs="Arial"/>
          <w:color w:val="000000" w:themeColor="text1"/>
          <w:sz w:val="20"/>
          <w:szCs w:val="20"/>
          <w:lang w:val="en"/>
        </w:rPr>
        <w:t>N</w:t>
      </w:r>
      <w:r w:rsidR="00983248" w:rsidRPr="00875049">
        <w:rPr>
          <w:rFonts w:ascii="Aptos" w:hAnsi="Aptos" w:cs="Arial"/>
          <w:color w:val="000000" w:themeColor="text1"/>
          <w:sz w:val="20"/>
          <w:szCs w:val="20"/>
          <w:lang w:val="en"/>
        </w:rPr>
        <w:t>ational Institutes of Science and Technology (N</w:t>
      </w:r>
      <w:r w:rsidRPr="00875049">
        <w:rPr>
          <w:rFonts w:ascii="Aptos" w:hAnsi="Aptos" w:cs="Arial"/>
          <w:color w:val="000000" w:themeColor="text1"/>
          <w:sz w:val="20"/>
          <w:szCs w:val="20"/>
          <w:lang w:val="en"/>
        </w:rPr>
        <w:t>IST</w:t>
      </w:r>
      <w:r w:rsidR="00983248" w:rsidRPr="00875049">
        <w:rPr>
          <w:rFonts w:ascii="Aptos" w:hAnsi="Aptos" w:cs="Arial"/>
          <w:color w:val="000000" w:themeColor="text1"/>
          <w:sz w:val="20"/>
          <w:szCs w:val="20"/>
          <w:lang w:val="en"/>
        </w:rPr>
        <w:t>),</w:t>
      </w:r>
      <w:r w:rsidRPr="00875049">
        <w:rPr>
          <w:rFonts w:ascii="Aptos" w:hAnsi="Aptos" w:cs="Arial"/>
          <w:color w:val="000000" w:themeColor="text1"/>
          <w:sz w:val="20"/>
          <w:szCs w:val="20"/>
          <w:lang w:val="en"/>
        </w:rPr>
        <w:t xml:space="preserve"> 2024. </w:t>
      </w:r>
      <w:r w:rsidR="00983248" w:rsidRPr="00875049">
        <w:rPr>
          <w:rFonts w:ascii="Aptos" w:hAnsi="Aptos" w:cs="Arial"/>
          <w:color w:val="000000" w:themeColor="text1"/>
          <w:sz w:val="20"/>
          <w:szCs w:val="20"/>
          <w:lang w:val="en"/>
        </w:rPr>
        <w:t>Trustworthy and Responsible AI, 600 Series,</w:t>
      </w:r>
      <w:hyperlink r:id="rId74" w:history="1">
        <w:r w:rsidR="00983248" w:rsidRPr="00875049">
          <w:rPr>
            <w:rFonts w:ascii="Aptos" w:hAnsi="Aptos"/>
            <w:color w:val="000000" w:themeColor="text1"/>
            <w:sz w:val="20"/>
            <w:szCs w:val="20"/>
            <w:lang w:val="en"/>
          </w:rPr>
          <w:t xml:space="preserve"> </w:t>
        </w:r>
      </w:hyperlink>
      <w:hyperlink r:id="rId75" w:history="1">
        <w:r w:rsidRPr="00875049">
          <w:rPr>
            <w:rStyle w:val="Hyperlink"/>
            <w:rFonts w:ascii="Aptos" w:hAnsi="Aptos" w:cs="Arial"/>
            <w:sz w:val="20"/>
            <w:szCs w:val="20"/>
            <w:lang w:val="en"/>
          </w:rPr>
          <w:t>Artificial Intelligence Risk Management Framework: Generative Artificial Intelligence Profile</w:t>
        </w:r>
      </w:hyperlink>
      <w:r w:rsidRPr="00875049">
        <w:rPr>
          <w:rFonts w:ascii="Aptos" w:hAnsi="Aptos" w:cs="Arial"/>
          <w:color w:val="000000" w:themeColor="text1"/>
          <w:sz w:val="20"/>
          <w:szCs w:val="20"/>
          <w:lang w:val="en"/>
        </w:rPr>
        <w:t>.</w:t>
      </w:r>
    </w:p>
    <w:p w14:paraId="3A3BFD84" w14:textId="77777777" w:rsidR="00875049" w:rsidRPr="00875049" w:rsidRDefault="00875049" w:rsidP="00875049">
      <w:pPr>
        <w:pStyle w:val="PlainLink1"/>
        <w:spacing w:after="0"/>
        <w:ind w:left="360" w:hanging="360"/>
        <w:rPr>
          <w:rFonts w:ascii="Aptos" w:hAnsi="Aptos" w:cs="Arial"/>
          <w:color w:val="000000" w:themeColor="text1"/>
          <w:sz w:val="20"/>
          <w:szCs w:val="20"/>
          <w:lang w:val="en"/>
        </w:rPr>
      </w:pPr>
    </w:p>
    <w:p w14:paraId="3C9B0B0B" w14:textId="5CA18680" w:rsidR="004B1457" w:rsidRDefault="004B1457" w:rsidP="00875049">
      <w:pPr>
        <w:pStyle w:val="PlainLink1"/>
        <w:spacing w:after="0"/>
        <w:ind w:left="360" w:hanging="360"/>
        <w:rPr>
          <w:rFonts w:ascii="Aptos" w:hAnsi="Aptos"/>
          <w:sz w:val="20"/>
          <w:szCs w:val="20"/>
        </w:rPr>
      </w:pPr>
      <w:r w:rsidRPr="00875049">
        <w:rPr>
          <w:rFonts w:ascii="Aptos" w:hAnsi="Aptos" w:cs="Arial"/>
          <w:color w:val="000000" w:themeColor="text1"/>
          <w:sz w:val="20"/>
          <w:szCs w:val="20"/>
          <w:lang w:val="en"/>
        </w:rPr>
        <w:t>O</w:t>
      </w:r>
      <w:r w:rsidR="00544F09" w:rsidRPr="00875049">
        <w:rPr>
          <w:rFonts w:ascii="Aptos" w:hAnsi="Aptos" w:cs="Arial"/>
          <w:color w:val="000000" w:themeColor="text1"/>
          <w:sz w:val="20"/>
          <w:szCs w:val="20"/>
          <w:lang w:val="en"/>
        </w:rPr>
        <w:t>ffice of the Comptroller of the Currency (O</w:t>
      </w:r>
      <w:r w:rsidRPr="00875049">
        <w:rPr>
          <w:rFonts w:ascii="Aptos" w:hAnsi="Aptos" w:cs="Arial"/>
          <w:color w:val="000000" w:themeColor="text1"/>
          <w:sz w:val="20"/>
          <w:szCs w:val="20"/>
          <w:lang w:val="en"/>
        </w:rPr>
        <w:t>CC</w:t>
      </w:r>
      <w:r w:rsidR="00544F09" w:rsidRPr="00875049">
        <w:rPr>
          <w:rFonts w:ascii="Aptos" w:hAnsi="Aptos" w:cs="Arial"/>
          <w:color w:val="000000" w:themeColor="text1"/>
          <w:sz w:val="20"/>
          <w:szCs w:val="20"/>
          <w:lang w:val="en"/>
        </w:rPr>
        <w:t>),</w:t>
      </w:r>
      <w:r w:rsidR="00EA384F" w:rsidRPr="00875049">
        <w:rPr>
          <w:rFonts w:ascii="Aptos" w:hAnsi="Aptos" w:cs="Arial"/>
          <w:color w:val="000000" w:themeColor="text1"/>
          <w:sz w:val="20"/>
          <w:szCs w:val="20"/>
          <w:lang w:val="en"/>
        </w:rPr>
        <w:t xml:space="preserve"> August</w:t>
      </w:r>
      <w:r w:rsidR="00544F09" w:rsidRPr="00875049">
        <w:rPr>
          <w:rFonts w:ascii="Aptos" w:hAnsi="Aptos" w:cs="Arial"/>
          <w:color w:val="000000" w:themeColor="text1"/>
          <w:sz w:val="20"/>
          <w:szCs w:val="20"/>
          <w:lang w:val="en"/>
        </w:rPr>
        <w:t xml:space="preserve"> </w:t>
      </w:r>
      <w:r w:rsidRPr="00875049">
        <w:rPr>
          <w:rFonts w:ascii="Aptos" w:hAnsi="Aptos" w:cs="Arial"/>
          <w:color w:val="000000" w:themeColor="text1"/>
          <w:sz w:val="20"/>
          <w:szCs w:val="20"/>
          <w:lang w:val="en"/>
        </w:rPr>
        <w:t xml:space="preserve">2021. </w:t>
      </w:r>
      <w:hyperlink r:id="rId76" w:history="1">
        <w:r w:rsidRPr="00875049">
          <w:rPr>
            <w:rStyle w:val="Hyperlink"/>
            <w:rFonts w:ascii="Aptos" w:hAnsi="Aptos" w:cs="Arial"/>
            <w:sz w:val="20"/>
            <w:szCs w:val="20"/>
            <w:lang w:val="en"/>
          </w:rPr>
          <w:t>Comptroller’s Handbook: Model Risk Management.</w:t>
        </w:r>
      </w:hyperlink>
    </w:p>
    <w:p w14:paraId="15696CED" w14:textId="77777777" w:rsidR="00875049" w:rsidRPr="00875049" w:rsidRDefault="00875049" w:rsidP="00875049">
      <w:pPr>
        <w:pStyle w:val="PlainLink1"/>
        <w:spacing w:after="0"/>
        <w:ind w:left="360" w:hanging="360"/>
        <w:rPr>
          <w:rFonts w:ascii="Aptos" w:hAnsi="Aptos" w:cs="Arial"/>
          <w:color w:val="000000" w:themeColor="text1"/>
          <w:sz w:val="20"/>
          <w:szCs w:val="20"/>
          <w:lang w:val="en"/>
        </w:rPr>
      </w:pPr>
    </w:p>
    <w:p w14:paraId="23036B95" w14:textId="110869FC" w:rsidR="004B1457" w:rsidRDefault="00EA384F" w:rsidP="00875049">
      <w:pPr>
        <w:pStyle w:val="PlainLink1"/>
        <w:spacing w:after="0"/>
        <w:ind w:left="360" w:hanging="360"/>
        <w:rPr>
          <w:rFonts w:ascii="Aptos" w:hAnsi="Aptos" w:cs="Arial"/>
          <w:color w:val="000000" w:themeColor="text1"/>
          <w:sz w:val="20"/>
          <w:szCs w:val="20"/>
          <w:lang w:val="en"/>
        </w:rPr>
      </w:pPr>
      <w:r w:rsidRPr="00875049">
        <w:rPr>
          <w:rFonts w:ascii="Aptos" w:hAnsi="Aptos" w:cs="Arial"/>
          <w:color w:val="000000" w:themeColor="text1"/>
          <w:sz w:val="20"/>
          <w:szCs w:val="20"/>
          <w:lang w:val="en"/>
        </w:rPr>
        <w:t>Office of the Comptroller of the Currency (OCC)</w:t>
      </w:r>
      <w:r w:rsidR="008E31A2" w:rsidRPr="00875049">
        <w:rPr>
          <w:rFonts w:ascii="Aptos" w:hAnsi="Aptos" w:cs="Arial"/>
          <w:color w:val="000000" w:themeColor="text1"/>
          <w:sz w:val="20"/>
          <w:szCs w:val="20"/>
          <w:lang w:val="en"/>
        </w:rPr>
        <w:t>,</w:t>
      </w:r>
      <w:r w:rsidR="004B1457" w:rsidRPr="00875049">
        <w:rPr>
          <w:rFonts w:ascii="Aptos" w:hAnsi="Aptos" w:cs="Arial"/>
          <w:color w:val="000000" w:themeColor="text1"/>
          <w:sz w:val="20"/>
          <w:szCs w:val="20"/>
          <w:lang w:val="en"/>
        </w:rPr>
        <w:t xml:space="preserve"> </w:t>
      </w:r>
      <w:r w:rsidR="008E31A2" w:rsidRPr="00875049">
        <w:rPr>
          <w:rFonts w:ascii="Aptos" w:hAnsi="Aptos" w:cs="Arial"/>
          <w:color w:val="000000" w:themeColor="text1"/>
          <w:sz w:val="20"/>
          <w:szCs w:val="20"/>
          <w:lang w:val="en"/>
        </w:rPr>
        <w:t xml:space="preserve">January </w:t>
      </w:r>
      <w:r w:rsidR="004B1457" w:rsidRPr="00875049">
        <w:rPr>
          <w:rFonts w:ascii="Aptos" w:hAnsi="Aptos" w:cs="Arial"/>
          <w:color w:val="000000" w:themeColor="text1"/>
          <w:sz w:val="20"/>
          <w:szCs w:val="20"/>
          <w:lang w:val="en"/>
        </w:rPr>
        <w:t xml:space="preserve">2023. </w:t>
      </w:r>
      <w:hyperlink r:id="rId77" w:history="1">
        <w:r w:rsidR="004B1457" w:rsidRPr="00875049">
          <w:rPr>
            <w:rStyle w:val="Hyperlink"/>
            <w:rFonts w:ascii="Aptos" w:hAnsi="Aptos" w:cs="Arial"/>
            <w:sz w:val="20"/>
            <w:szCs w:val="20"/>
            <w:lang w:val="en"/>
          </w:rPr>
          <w:t>Comptroller’s Handbook: Fair Lending</w:t>
        </w:r>
      </w:hyperlink>
      <w:r w:rsidR="004B1457" w:rsidRPr="00875049">
        <w:rPr>
          <w:rFonts w:ascii="Aptos" w:hAnsi="Aptos" w:cs="Arial"/>
          <w:color w:val="000000" w:themeColor="text1"/>
          <w:sz w:val="20"/>
          <w:szCs w:val="20"/>
          <w:lang w:val="en"/>
        </w:rPr>
        <w:t>.</w:t>
      </w:r>
    </w:p>
    <w:p w14:paraId="5FED568F" w14:textId="77777777" w:rsidR="00875049" w:rsidRPr="00875049" w:rsidRDefault="00875049" w:rsidP="00875049">
      <w:pPr>
        <w:pStyle w:val="PlainLink1"/>
        <w:spacing w:after="0"/>
        <w:ind w:left="360" w:hanging="360"/>
        <w:rPr>
          <w:rFonts w:ascii="Aptos" w:hAnsi="Aptos" w:cs="Arial"/>
          <w:color w:val="000000" w:themeColor="text1"/>
          <w:sz w:val="20"/>
          <w:szCs w:val="20"/>
          <w:lang w:val="en"/>
        </w:rPr>
      </w:pPr>
    </w:p>
    <w:p w14:paraId="5542EAA6" w14:textId="0982E975" w:rsidR="004B1457" w:rsidRDefault="00804E43" w:rsidP="00875049">
      <w:pPr>
        <w:pStyle w:val="PlainLink1"/>
        <w:spacing w:after="0"/>
        <w:ind w:left="360" w:hanging="360"/>
        <w:rPr>
          <w:rFonts w:ascii="Aptos" w:hAnsi="Aptos" w:cs="Arial"/>
          <w:color w:val="000000" w:themeColor="text1"/>
          <w:sz w:val="20"/>
          <w:szCs w:val="20"/>
          <w:lang w:val="en"/>
        </w:rPr>
      </w:pPr>
      <w:r w:rsidRPr="00875049">
        <w:rPr>
          <w:rFonts w:ascii="Aptos" w:hAnsi="Aptos" w:cs="Arial"/>
          <w:color w:val="000000" w:themeColor="text1"/>
          <w:sz w:val="20"/>
          <w:szCs w:val="20"/>
          <w:lang w:val="en"/>
        </w:rPr>
        <w:t>Organisation for Economic Co-operation and Development (</w:t>
      </w:r>
      <w:r w:rsidR="004B1457" w:rsidRPr="00875049">
        <w:rPr>
          <w:rFonts w:ascii="Aptos" w:hAnsi="Aptos" w:cs="Arial"/>
          <w:color w:val="000000" w:themeColor="text1"/>
          <w:sz w:val="20"/>
          <w:szCs w:val="20"/>
          <w:lang w:val="en"/>
        </w:rPr>
        <w:t>OECD</w:t>
      </w:r>
      <w:r w:rsidRPr="00875049">
        <w:rPr>
          <w:rFonts w:ascii="Aptos" w:hAnsi="Aptos" w:cs="Arial"/>
          <w:color w:val="000000" w:themeColor="text1"/>
          <w:sz w:val="20"/>
          <w:szCs w:val="20"/>
          <w:lang w:val="en"/>
        </w:rPr>
        <w:t>)</w:t>
      </w:r>
      <w:r w:rsidR="001747C8" w:rsidRPr="00875049">
        <w:rPr>
          <w:rFonts w:ascii="Aptos" w:hAnsi="Aptos" w:cs="Arial"/>
          <w:color w:val="000000" w:themeColor="text1"/>
          <w:sz w:val="20"/>
          <w:szCs w:val="20"/>
          <w:lang w:val="en"/>
        </w:rPr>
        <w:t xml:space="preserve">, </w:t>
      </w:r>
      <w:r w:rsidR="008E31A2" w:rsidRPr="00875049">
        <w:rPr>
          <w:rFonts w:ascii="Aptos" w:hAnsi="Aptos" w:cs="Arial"/>
          <w:color w:val="000000" w:themeColor="text1"/>
          <w:sz w:val="20"/>
          <w:szCs w:val="20"/>
          <w:lang w:val="en"/>
        </w:rPr>
        <w:t xml:space="preserve">February </w:t>
      </w:r>
      <w:r w:rsidR="004B1457" w:rsidRPr="00875049">
        <w:rPr>
          <w:rFonts w:ascii="Aptos" w:hAnsi="Aptos" w:cs="Arial"/>
          <w:color w:val="000000" w:themeColor="text1"/>
          <w:sz w:val="20"/>
          <w:szCs w:val="20"/>
          <w:lang w:val="en"/>
        </w:rPr>
        <w:t xml:space="preserve">2025. </w:t>
      </w:r>
      <w:hyperlink r:id="rId78" w:history="1">
        <w:r w:rsidR="004B1457" w:rsidRPr="00875049">
          <w:rPr>
            <w:rStyle w:val="Hyperlink"/>
            <w:rFonts w:ascii="Aptos" w:hAnsi="Aptos" w:cs="Arial"/>
            <w:sz w:val="20"/>
            <w:szCs w:val="20"/>
            <w:lang w:val="en"/>
          </w:rPr>
          <w:t>Towards a Common Reporting Framework for AI Incidents</w:t>
        </w:r>
      </w:hyperlink>
      <w:r w:rsidR="004B1457" w:rsidRPr="00875049">
        <w:rPr>
          <w:rFonts w:ascii="Aptos" w:hAnsi="Aptos" w:cs="Arial"/>
          <w:color w:val="000000" w:themeColor="text1"/>
          <w:sz w:val="20"/>
          <w:szCs w:val="20"/>
          <w:lang w:val="en"/>
        </w:rPr>
        <w:t xml:space="preserve">. </w:t>
      </w:r>
    </w:p>
    <w:p w14:paraId="43E7E68F" w14:textId="77777777" w:rsidR="00875049" w:rsidRPr="00875049" w:rsidRDefault="00875049" w:rsidP="00875049">
      <w:pPr>
        <w:pStyle w:val="PlainLink1"/>
        <w:spacing w:after="0"/>
        <w:ind w:left="360" w:hanging="360"/>
        <w:rPr>
          <w:rFonts w:ascii="Aptos" w:hAnsi="Aptos" w:cs="Arial"/>
          <w:color w:val="000000" w:themeColor="text1"/>
          <w:sz w:val="20"/>
          <w:szCs w:val="20"/>
          <w:lang w:val="en"/>
        </w:rPr>
      </w:pPr>
    </w:p>
    <w:p w14:paraId="0097C0F7" w14:textId="2F52DC33" w:rsidR="0025111D" w:rsidRDefault="0025111D" w:rsidP="00875049">
      <w:pPr>
        <w:pStyle w:val="PlainLink1"/>
        <w:spacing w:after="0"/>
        <w:ind w:left="360" w:hanging="360"/>
        <w:rPr>
          <w:rFonts w:ascii="Aptos" w:hAnsi="Aptos" w:cs="Arial"/>
          <w:color w:val="000000" w:themeColor="text1"/>
          <w:sz w:val="20"/>
          <w:szCs w:val="20"/>
          <w:lang w:val="en"/>
        </w:rPr>
      </w:pPr>
      <w:r w:rsidRPr="00875049">
        <w:rPr>
          <w:rFonts w:ascii="Aptos" w:hAnsi="Aptos" w:cs="Arial"/>
          <w:color w:val="000000" w:themeColor="text1"/>
          <w:sz w:val="20"/>
          <w:szCs w:val="20"/>
          <w:lang w:val="en"/>
        </w:rPr>
        <w:t xml:space="preserve">Reisman, Dillon, Jason Schultz, Kate Crawford, and Meredith Whittaker. 2018. </w:t>
      </w:r>
      <w:r w:rsidR="00B52A87" w:rsidRPr="00875049">
        <w:rPr>
          <w:rFonts w:ascii="Aptos" w:hAnsi="Aptos" w:cs="Arial"/>
          <w:color w:val="000000" w:themeColor="text1"/>
          <w:sz w:val="20"/>
          <w:szCs w:val="20"/>
          <w:lang w:val="en"/>
        </w:rPr>
        <w:t xml:space="preserve">AI Now 9, </w:t>
      </w:r>
      <w:hyperlink r:id="rId79" w:history="1">
        <w:r w:rsidRPr="00875049">
          <w:rPr>
            <w:rStyle w:val="Hyperlink"/>
            <w:rFonts w:ascii="Aptos" w:hAnsi="Aptos" w:cs="Arial"/>
            <w:sz w:val="20"/>
            <w:szCs w:val="20"/>
            <w:lang w:val="en"/>
          </w:rPr>
          <w:t>Algorithmic Impact Assessments: A Practical Framework for Public Agency</w:t>
        </w:r>
      </w:hyperlink>
      <w:r w:rsidRPr="00875049">
        <w:rPr>
          <w:rFonts w:ascii="Aptos" w:hAnsi="Aptos" w:cs="Arial"/>
          <w:color w:val="000000" w:themeColor="text1"/>
          <w:sz w:val="20"/>
          <w:szCs w:val="20"/>
          <w:lang w:val="en"/>
        </w:rPr>
        <w:t>.</w:t>
      </w:r>
    </w:p>
    <w:p w14:paraId="2DFECD10" w14:textId="77777777" w:rsidR="00875049" w:rsidRPr="00875049" w:rsidRDefault="00875049" w:rsidP="00875049">
      <w:pPr>
        <w:pStyle w:val="PlainLink1"/>
        <w:spacing w:after="0"/>
        <w:ind w:left="360" w:hanging="360"/>
        <w:rPr>
          <w:rFonts w:ascii="Aptos" w:hAnsi="Aptos" w:cs="Arial"/>
          <w:color w:val="000000" w:themeColor="text1"/>
          <w:sz w:val="20"/>
          <w:szCs w:val="20"/>
          <w:lang w:val="en"/>
        </w:rPr>
      </w:pPr>
    </w:p>
    <w:p w14:paraId="58D26EBD" w14:textId="5BF19292" w:rsidR="0025111D" w:rsidRDefault="0025111D" w:rsidP="00875049">
      <w:pPr>
        <w:pStyle w:val="PlainLink1"/>
        <w:spacing w:after="0"/>
        <w:ind w:left="360" w:hanging="360"/>
        <w:rPr>
          <w:rFonts w:ascii="Aptos" w:hAnsi="Aptos" w:cs="Arial"/>
          <w:color w:val="000000" w:themeColor="text1"/>
          <w:sz w:val="20"/>
          <w:szCs w:val="20"/>
          <w:lang w:val="en"/>
        </w:rPr>
      </w:pPr>
      <w:r w:rsidRPr="00875049">
        <w:rPr>
          <w:rFonts w:ascii="Aptos" w:hAnsi="Aptos" w:cs="Arial"/>
          <w:color w:val="000000" w:themeColor="text1"/>
          <w:sz w:val="20"/>
          <w:szCs w:val="20"/>
          <w:lang w:val="en"/>
        </w:rPr>
        <w:t xml:space="preserve">Schwartz, Reva, Apostol Vassilev, Kristen Greene, Lori Perine, Andrew Burt, and Patrick Hall. 2022. </w:t>
      </w:r>
      <w:r w:rsidR="00157BB4" w:rsidRPr="00875049">
        <w:rPr>
          <w:rFonts w:ascii="Aptos" w:hAnsi="Aptos" w:cs="Arial"/>
          <w:color w:val="000000" w:themeColor="text1"/>
          <w:sz w:val="20"/>
          <w:szCs w:val="20"/>
          <w:lang w:val="en"/>
        </w:rPr>
        <w:t>NIST Special Publication 1270,</w:t>
      </w:r>
      <w:hyperlink r:id="rId80" w:history="1">
        <w:r w:rsidR="00157BB4" w:rsidRPr="00875049">
          <w:rPr>
            <w:rFonts w:ascii="Aptos" w:hAnsi="Aptos"/>
            <w:color w:val="000000" w:themeColor="text1"/>
            <w:sz w:val="20"/>
            <w:szCs w:val="20"/>
            <w:lang w:val="en"/>
          </w:rPr>
          <w:t xml:space="preserve"> </w:t>
        </w:r>
      </w:hyperlink>
      <w:hyperlink r:id="rId81" w:history="1">
        <w:r w:rsidRPr="00875049">
          <w:rPr>
            <w:rStyle w:val="Hyperlink"/>
            <w:rFonts w:ascii="Aptos" w:hAnsi="Aptos" w:cs="Arial"/>
            <w:sz w:val="20"/>
            <w:szCs w:val="20"/>
            <w:lang w:val="en"/>
          </w:rPr>
          <w:t>Towards a Standard for Identifying and Managing Bias in Artificial Intelligence</w:t>
        </w:r>
      </w:hyperlink>
      <w:r w:rsidRPr="00875049">
        <w:rPr>
          <w:rFonts w:ascii="Aptos" w:hAnsi="Aptos" w:cs="Arial"/>
          <w:color w:val="000000" w:themeColor="text1"/>
          <w:sz w:val="20"/>
          <w:szCs w:val="20"/>
          <w:lang w:val="en"/>
        </w:rPr>
        <w:t xml:space="preserve">. </w:t>
      </w:r>
    </w:p>
    <w:p w14:paraId="5F9FD9C7" w14:textId="77777777" w:rsidR="00875049" w:rsidRPr="00875049" w:rsidRDefault="00875049" w:rsidP="00875049">
      <w:pPr>
        <w:pStyle w:val="PlainLink1"/>
        <w:spacing w:after="0"/>
        <w:ind w:left="360" w:hanging="360"/>
        <w:rPr>
          <w:rFonts w:ascii="Aptos" w:hAnsi="Aptos" w:cs="Arial"/>
          <w:color w:val="000000" w:themeColor="text1"/>
          <w:sz w:val="20"/>
          <w:szCs w:val="20"/>
          <w:lang w:val="en"/>
        </w:rPr>
      </w:pPr>
    </w:p>
    <w:p w14:paraId="17A78362" w14:textId="17A75DBB" w:rsidR="00BA1233" w:rsidRPr="00875049" w:rsidRDefault="00BA1233" w:rsidP="00875049">
      <w:pPr>
        <w:pStyle w:val="PlainLink1"/>
        <w:spacing w:after="0"/>
        <w:ind w:left="360" w:hanging="360"/>
        <w:rPr>
          <w:rFonts w:ascii="Aptos" w:hAnsi="Aptos" w:cs="Arial"/>
          <w:color w:val="000000" w:themeColor="text1"/>
          <w:sz w:val="20"/>
          <w:szCs w:val="20"/>
          <w:lang w:val="en"/>
        </w:rPr>
      </w:pPr>
      <w:r w:rsidRPr="00875049">
        <w:rPr>
          <w:rFonts w:ascii="Aptos" w:hAnsi="Aptos" w:cs="Arial"/>
          <w:color w:val="000000" w:themeColor="text1"/>
          <w:sz w:val="20"/>
          <w:szCs w:val="20"/>
          <w:lang w:val="en"/>
        </w:rPr>
        <w:t xml:space="preserve">Sudjianto, Agus, Aijun Zhang, Srinivas Neppalli, Tarun Joshi, and Michal Malohlava. 2024. </w:t>
      </w:r>
      <w:hyperlink r:id="rId82" w:history="1">
        <w:r w:rsidRPr="00875049">
          <w:rPr>
            <w:rStyle w:val="Hyperlink"/>
            <w:rFonts w:ascii="Aptos" w:hAnsi="Aptos" w:cs="Arial"/>
            <w:sz w:val="20"/>
            <w:szCs w:val="20"/>
            <w:lang w:val="en"/>
          </w:rPr>
          <w:t>Human-Calibrated Automated Testing and Validation of Generative Language Models</w:t>
        </w:r>
      </w:hyperlink>
      <w:r w:rsidRPr="00875049">
        <w:rPr>
          <w:rFonts w:ascii="Aptos" w:hAnsi="Aptos" w:cs="Arial"/>
          <w:color w:val="000000" w:themeColor="text1"/>
          <w:sz w:val="20"/>
          <w:szCs w:val="20"/>
          <w:lang w:val="en"/>
        </w:rPr>
        <w:t>.</w:t>
      </w:r>
    </w:p>
    <w:p w14:paraId="7CBF04D0" w14:textId="77777777" w:rsidR="00BA1233" w:rsidRPr="00A77161" w:rsidRDefault="00BA1233" w:rsidP="009C55E2">
      <w:pPr>
        <w:pStyle w:val="PlainLink1"/>
        <w:spacing w:after="160" w:line="269" w:lineRule="auto"/>
        <w:ind w:left="360" w:hanging="360"/>
        <w:rPr>
          <w:rFonts w:ascii="Aptos" w:hAnsi="Aptos" w:cs="Arial"/>
          <w:color w:val="000000" w:themeColor="text1"/>
          <w:szCs w:val="22"/>
          <w:lang w:val="en"/>
        </w:rPr>
      </w:pPr>
    </w:p>
    <w:sectPr w:rsidR="00BA1233" w:rsidRPr="00A77161" w:rsidSect="00232CC7">
      <w:headerReference w:type="default" r:id="rId83"/>
      <w:footerReference w:type="even" r:id="rId84"/>
      <w:footerReference w:type="default" r:id="rId85"/>
      <w:headerReference w:type="first" r:id="rId86"/>
      <w:pgSz w:w="12240" w:h="15840" w:code="1"/>
      <w:pgMar w:top="1987" w:right="1080" w:bottom="1296" w:left="1080" w:header="0" w:footer="1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02256B" w14:textId="77777777" w:rsidR="00912235" w:rsidRDefault="00912235" w:rsidP="004F2A9E">
      <w:r>
        <w:separator/>
      </w:r>
    </w:p>
  </w:endnote>
  <w:endnote w:type="continuationSeparator" w:id="0">
    <w:p w14:paraId="5A46E06A" w14:textId="77777777" w:rsidR="00912235" w:rsidRDefault="00912235" w:rsidP="004F2A9E">
      <w:r>
        <w:continuationSeparator/>
      </w:r>
    </w:p>
  </w:endnote>
  <w:endnote w:type="continuationNotice" w:id="1">
    <w:p w14:paraId="0CFF9970" w14:textId="77777777" w:rsidR="00912235" w:rsidRDefault="009122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Times New Roman (Headings CS)">
    <w:altName w:val="Times New Roman"/>
    <w:charset w:val="00"/>
    <w:family w:val="roman"/>
    <w:pitch w:val="variable"/>
    <w:sig w:usb0="E0002AEF" w:usb1="C0007841" w:usb2="00000009" w:usb3="00000000" w:csb0="000001FF" w:csb1="00000000"/>
  </w:font>
  <w:font w:name="Montserrat">
    <w:charset w:val="00"/>
    <w:family w:val="auto"/>
    <w:pitch w:val="variable"/>
    <w:sig w:usb0="2000020F" w:usb1="00000003" w:usb2="00000000" w:usb3="00000000" w:csb0="00000197" w:csb1="00000000"/>
  </w:font>
  <w:font w:name="MS PGothic">
    <w:altName w:val="ＭＳ Ｐゴシック"/>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C0B1F" w14:textId="77777777" w:rsidR="00586F89" w:rsidRDefault="00586F89" w:rsidP="004F2A9E">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p w14:paraId="1BD37F74" w14:textId="77777777" w:rsidR="00586F89" w:rsidRDefault="00586F89" w:rsidP="004F2A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EA5C1" w14:textId="41F65E4B" w:rsidR="00586F89" w:rsidRPr="002250CA" w:rsidRDefault="00B5242A" w:rsidP="004F2A9E">
    <w:pPr>
      <w:pStyle w:val="Footer"/>
      <w:rPr>
        <w:rFonts w:ascii="Aptos" w:hAnsi="Aptos"/>
        <w:sz w:val="24"/>
        <w:szCs w:val="24"/>
      </w:rPr>
    </w:pPr>
    <w:r w:rsidRPr="002250CA">
      <w:rPr>
        <w:rFonts w:ascii="Aptos" w:hAnsi="Aptos" w:cs="Times New Roman"/>
        <w:noProof/>
        <w:sz w:val="24"/>
        <w:szCs w:val="24"/>
      </w:rPr>
      <w:drawing>
        <wp:anchor distT="0" distB="0" distL="114300" distR="114300" simplePos="0" relativeHeight="251665408" behindDoc="0" locked="0" layoutInCell="1" allowOverlap="1" wp14:anchorId="07A23C95" wp14:editId="15FA1DBB">
          <wp:simplePos x="0" y="0"/>
          <wp:positionH relativeFrom="column">
            <wp:posOffset>3253048</wp:posOffset>
          </wp:positionH>
          <wp:positionV relativeFrom="paragraph">
            <wp:posOffset>-100330</wp:posOffset>
          </wp:positionV>
          <wp:extent cx="3600614" cy="541682"/>
          <wp:effectExtent l="0" t="0" r="0" b="0"/>
          <wp:wrapNone/>
          <wp:docPr id="1001595667" name="Picture 1001595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00614" cy="541682"/>
                  </a:xfrm>
                  <a:prstGeom prst="rect">
                    <a:avLst/>
                  </a:prstGeom>
                  <a:noFill/>
                </pic:spPr>
              </pic:pic>
            </a:graphicData>
          </a:graphic>
          <wp14:sizeRelH relativeFrom="page">
            <wp14:pctWidth>0</wp14:pctWidth>
          </wp14:sizeRelH>
          <wp14:sizeRelV relativeFrom="page">
            <wp14:pctHeight>0</wp14:pctHeight>
          </wp14:sizeRelV>
        </wp:anchor>
      </w:drawing>
    </w:r>
    <w:r w:rsidR="00586F89" w:rsidRPr="002250CA">
      <w:rPr>
        <w:rStyle w:val="PageNumber"/>
        <w:rFonts w:ascii="Aptos" w:hAnsi="Aptos"/>
        <w:b/>
        <w:bCs w:val="0"/>
        <w:szCs w:val="24"/>
      </w:rPr>
      <w:t xml:space="preserve"> </w:t>
    </w:r>
    <w:r w:rsidR="00586F89" w:rsidRPr="002250CA">
      <w:rPr>
        <w:rStyle w:val="PageNumber"/>
        <w:rFonts w:ascii="Aptos" w:hAnsi="Aptos"/>
        <w:b/>
        <w:bCs w:val="0"/>
        <w:color w:val="B31E3E" w:themeColor="accent1"/>
      </w:rPr>
      <w:fldChar w:fldCharType="begin"/>
    </w:r>
    <w:r w:rsidR="00586F89" w:rsidRPr="002250CA">
      <w:rPr>
        <w:rStyle w:val="PageNumber"/>
        <w:rFonts w:ascii="Aptos" w:hAnsi="Aptos"/>
        <w:b/>
        <w:bCs w:val="0"/>
        <w:color w:val="B31E3E" w:themeColor="accent1"/>
      </w:rPr>
      <w:instrText xml:space="preserve"> PAGE </w:instrText>
    </w:r>
    <w:r w:rsidR="00586F89" w:rsidRPr="002250CA">
      <w:rPr>
        <w:rStyle w:val="PageNumber"/>
        <w:rFonts w:ascii="Aptos" w:hAnsi="Aptos"/>
        <w:b/>
        <w:bCs w:val="0"/>
        <w:color w:val="B31E3E" w:themeColor="accent1"/>
      </w:rPr>
      <w:fldChar w:fldCharType="separate"/>
    </w:r>
    <w:r w:rsidR="00586F89" w:rsidRPr="002250CA">
      <w:rPr>
        <w:rStyle w:val="PageNumber"/>
        <w:rFonts w:ascii="Aptos" w:hAnsi="Aptos"/>
        <w:b/>
        <w:bCs w:val="0"/>
        <w:noProof/>
        <w:color w:val="B31E3E" w:themeColor="accent1"/>
      </w:rPr>
      <w:t>4</w:t>
    </w:r>
    <w:r w:rsidR="00586F89" w:rsidRPr="002250CA">
      <w:rPr>
        <w:rStyle w:val="PageNumber"/>
        <w:rFonts w:ascii="Aptos" w:hAnsi="Aptos"/>
        <w:b/>
        <w:bCs w:val="0"/>
        <w:color w:val="B31E3E" w:themeColor="accent1"/>
      </w:rPr>
      <w:fldChar w:fldCharType="end"/>
    </w:r>
    <w:r w:rsidR="00586F89" w:rsidRPr="002250CA">
      <w:rPr>
        <w:rStyle w:val="PageNumber"/>
        <w:rFonts w:ascii="Aptos" w:hAnsi="Aptos"/>
        <w:color w:val="B31E3E" w:themeColor="accent1"/>
      </w:rPr>
      <w:t xml:space="preserve">   </w:t>
    </w:r>
    <w:r w:rsidR="009F34F5" w:rsidRPr="002250CA">
      <w:rPr>
        <w:rStyle w:val="PageNumber"/>
        <w:rFonts w:ascii="Aptos" w:hAnsi="Aptos"/>
        <w:szCs w:val="24"/>
      </w:rPr>
      <w:t xml:space="preserve">FS AI RMF </w:t>
    </w:r>
    <w:r w:rsidR="00A6131C" w:rsidRPr="002250CA">
      <w:rPr>
        <w:rStyle w:val="PageNumber"/>
        <w:rFonts w:ascii="Aptos" w:hAnsi="Aptos"/>
        <w:szCs w:val="24"/>
      </w:rPr>
      <w:t>Guide</w:t>
    </w:r>
    <w:r w:rsidR="00586F89" w:rsidRPr="002250CA">
      <w:rPr>
        <w:rStyle w:val="PageNumber"/>
        <w:rFonts w:ascii="Aptos" w:hAnsi="Aptos"/>
        <w:szCs w:val="24"/>
      </w:rPr>
      <w:t xml:space="preserve">book | </w:t>
    </w:r>
    <w:r w:rsidR="003543AD">
      <w:rPr>
        <w:rStyle w:val="PageNumber"/>
        <w:rFonts w:ascii="Aptos" w:hAnsi="Aptos"/>
        <w:szCs w:val="24"/>
      </w:rPr>
      <w:t>February</w:t>
    </w:r>
    <w:r w:rsidR="00C47615" w:rsidRPr="002250CA">
      <w:rPr>
        <w:rStyle w:val="PageNumber"/>
        <w:rFonts w:ascii="Aptos" w:hAnsi="Aptos"/>
        <w:szCs w:val="24"/>
      </w:rPr>
      <w:t xml:space="preserve"> 202</w:t>
    </w:r>
    <w:r w:rsidR="003543AD">
      <w:rPr>
        <w:rStyle w:val="PageNumber"/>
        <w:rFonts w:ascii="Aptos" w:hAnsi="Aptos"/>
        <w:szCs w:val="24"/>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0EABB6" w14:textId="77777777" w:rsidR="00912235" w:rsidRDefault="00912235" w:rsidP="004F2A9E">
      <w:r>
        <w:separator/>
      </w:r>
    </w:p>
  </w:footnote>
  <w:footnote w:type="continuationSeparator" w:id="0">
    <w:p w14:paraId="2054C75D" w14:textId="77777777" w:rsidR="00912235" w:rsidRDefault="00912235" w:rsidP="004F2A9E">
      <w:r>
        <w:continuationSeparator/>
      </w:r>
    </w:p>
  </w:footnote>
  <w:footnote w:type="continuationNotice" w:id="1">
    <w:p w14:paraId="5F763834" w14:textId="77777777" w:rsidR="00912235" w:rsidRDefault="00912235"/>
  </w:footnote>
  <w:footnote w:id="2">
    <w:p w14:paraId="467927EC" w14:textId="6DF9FC6C" w:rsidR="00D21B14" w:rsidRPr="00772764" w:rsidRDefault="00D21B14" w:rsidP="00D21B14">
      <w:pPr>
        <w:pStyle w:val="FootnoteText"/>
        <w:spacing w:line="269" w:lineRule="auto"/>
        <w:rPr>
          <w:rFonts w:ascii="Aptos" w:hAnsi="Aptos"/>
          <w:sz w:val="18"/>
          <w:szCs w:val="18"/>
        </w:rPr>
      </w:pPr>
      <w:r w:rsidRPr="00772764">
        <w:rPr>
          <w:rStyle w:val="FootnoteReference"/>
          <w:rFonts w:ascii="Aptos" w:hAnsi="Aptos"/>
          <w:sz w:val="18"/>
          <w:szCs w:val="18"/>
        </w:rPr>
        <w:footnoteRef/>
      </w:r>
      <w:r w:rsidRPr="00772764">
        <w:rPr>
          <w:rFonts w:ascii="Aptos" w:hAnsi="Aptos"/>
          <w:sz w:val="18"/>
          <w:szCs w:val="18"/>
        </w:rPr>
        <w:t xml:space="preserve"> The </w:t>
      </w:r>
      <w:r w:rsidR="00615320" w:rsidRPr="00772764">
        <w:rPr>
          <w:rFonts w:ascii="Aptos" w:hAnsi="Aptos"/>
          <w:sz w:val="18"/>
          <w:szCs w:val="18"/>
        </w:rPr>
        <w:t>CRI</w:t>
      </w:r>
      <w:r w:rsidRPr="00772764">
        <w:rPr>
          <w:rFonts w:ascii="Aptos" w:hAnsi="Aptos"/>
          <w:sz w:val="18"/>
          <w:szCs w:val="18"/>
        </w:rPr>
        <w:t xml:space="preserve"> Profile and Cloud Profile can be found on the CRI website: </w:t>
      </w:r>
      <w:hyperlink r:id="rId1" w:history="1">
        <w:r w:rsidRPr="00772764">
          <w:rPr>
            <w:rStyle w:val="Hyperlink"/>
            <w:rFonts w:ascii="Aptos" w:hAnsi="Aptos"/>
            <w:color w:val="auto"/>
            <w:sz w:val="18"/>
            <w:szCs w:val="18"/>
          </w:rPr>
          <w:t>https://cyberriskinstitute.org/the-profile/</w:t>
        </w:r>
      </w:hyperlink>
    </w:p>
  </w:footnote>
  <w:footnote w:id="3">
    <w:p w14:paraId="30FD65CC" w14:textId="77777777" w:rsidR="00D21B14" w:rsidRPr="00772764" w:rsidRDefault="00D21B14" w:rsidP="00D21B14">
      <w:pPr>
        <w:pStyle w:val="FootnoteText"/>
        <w:spacing w:line="269" w:lineRule="auto"/>
        <w:rPr>
          <w:rFonts w:ascii="Aptos" w:hAnsi="Aptos"/>
          <w:sz w:val="18"/>
          <w:szCs w:val="18"/>
        </w:rPr>
      </w:pPr>
      <w:r w:rsidRPr="00772764">
        <w:rPr>
          <w:rStyle w:val="FootnoteReference"/>
          <w:rFonts w:ascii="Aptos" w:hAnsi="Aptos"/>
          <w:sz w:val="18"/>
          <w:szCs w:val="18"/>
        </w:rPr>
        <w:footnoteRef/>
      </w:r>
      <w:r w:rsidRPr="00772764">
        <w:rPr>
          <w:rFonts w:ascii="Aptos" w:hAnsi="Aptos"/>
          <w:sz w:val="18"/>
          <w:szCs w:val="18"/>
        </w:rPr>
        <w:t xml:space="preserve"> The FS AI RMF can be found and downloaded at no cost on the CRI website: </w:t>
      </w:r>
      <w:hyperlink r:id="rId2" w:history="1">
        <w:r w:rsidRPr="00772764">
          <w:rPr>
            <w:rStyle w:val="Hyperlink"/>
            <w:rFonts w:ascii="Aptos" w:hAnsi="Aptos"/>
            <w:color w:val="auto"/>
            <w:sz w:val="18"/>
            <w:szCs w:val="18"/>
          </w:rPr>
          <w:t>www.cyberriskinstitute.org</w:t>
        </w:r>
      </w:hyperlink>
      <w:r w:rsidRPr="00772764">
        <w:rPr>
          <w:rFonts w:ascii="Aptos" w:hAnsi="Aptos"/>
          <w:sz w:val="18"/>
          <w:szCs w:val="18"/>
        </w:rPr>
        <w:t xml:space="preserve">. </w:t>
      </w:r>
    </w:p>
  </w:footnote>
  <w:footnote w:id="4">
    <w:p w14:paraId="7F34DC87" w14:textId="24348845" w:rsidR="00D7772E" w:rsidRDefault="00D7772E">
      <w:pPr>
        <w:pStyle w:val="FootnoteText"/>
      </w:pPr>
      <w:r w:rsidRPr="00772764">
        <w:rPr>
          <w:rStyle w:val="FootnoteReference"/>
          <w:rFonts w:ascii="Aptos" w:hAnsi="Aptos"/>
          <w:sz w:val="18"/>
          <w:szCs w:val="18"/>
        </w:rPr>
        <w:footnoteRef/>
      </w:r>
      <w:r w:rsidRPr="00772764">
        <w:rPr>
          <w:rFonts w:ascii="Aptos" w:hAnsi="Aptos"/>
          <w:sz w:val="18"/>
          <w:szCs w:val="18"/>
        </w:rPr>
        <w:t xml:space="preserve"> No part of the FS AI RMF is consider</w:t>
      </w:r>
      <w:r w:rsidR="00772764" w:rsidRPr="00772764">
        <w:rPr>
          <w:rFonts w:ascii="Aptos" w:hAnsi="Aptos"/>
          <w:sz w:val="18"/>
          <w:szCs w:val="18"/>
        </w:rPr>
        <w:t>ed itself a risk assessment o</w:t>
      </w:r>
      <w:r w:rsidR="0026122E">
        <w:rPr>
          <w:rFonts w:ascii="Aptos" w:hAnsi="Aptos"/>
          <w:sz w:val="18"/>
          <w:szCs w:val="18"/>
        </w:rPr>
        <w:t>r</w:t>
      </w:r>
      <w:r w:rsidR="00772764" w:rsidRPr="00772764">
        <w:rPr>
          <w:rFonts w:ascii="Aptos" w:hAnsi="Aptos"/>
          <w:sz w:val="18"/>
          <w:szCs w:val="18"/>
        </w:rPr>
        <w:t xml:space="preserve"> the basis of a risk assessment.</w:t>
      </w:r>
      <w:r w:rsidR="00772764">
        <w:t xml:space="preserve"> </w:t>
      </w:r>
    </w:p>
  </w:footnote>
  <w:footnote w:id="5">
    <w:p w14:paraId="18EE33D5" w14:textId="407E470E" w:rsidR="007445A1" w:rsidRDefault="007445A1" w:rsidP="007445A1">
      <w:pPr>
        <w:pStyle w:val="FootnoteText"/>
        <w:spacing w:line="269" w:lineRule="auto"/>
      </w:pPr>
      <w:r w:rsidRPr="00251849">
        <w:rPr>
          <w:rStyle w:val="FootnoteReference"/>
          <w:rFonts w:ascii="Aptos" w:hAnsi="Aptos"/>
          <w:sz w:val="18"/>
          <w:szCs w:val="18"/>
        </w:rPr>
        <w:footnoteRef/>
      </w:r>
      <w:r w:rsidRPr="00251849">
        <w:rPr>
          <w:rFonts w:ascii="Aptos" w:hAnsi="Aptos"/>
          <w:sz w:val="18"/>
          <w:szCs w:val="18"/>
        </w:rPr>
        <w:t xml:space="preserve"> For a complete list of primary and secondary sources, please </w:t>
      </w:r>
      <w:r w:rsidRPr="00BF30BB">
        <w:rPr>
          <w:rFonts w:ascii="Aptos" w:hAnsi="Aptos"/>
          <w:sz w:val="18"/>
          <w:szCs w:val="18"/>
        </w:rPr>
        <w:t xml:space="preserve">see Appendix </w:t>
      </w:r>
      <w:r w:rsidR="00896079" w:rsidRPr="00BF30BB">
        <w:rPr>
          <w:rFonts w:ascii="Aptos" w:hAnsi="Aptos"/>
          <w:sz w:val="18"/>
          <w:szCs w:val="18"/>
        </w:rPr>
        <w:t>D</w:t>
      </w:r>
      <w:r w:rsidRPr="00BF30BB">
        <w:rPr>
          <w:rFonts w:ascii="Aptos" w:hAnsi="Aptos"/>
          <w:sz w:val="18"/>
          <w:szCs w:val="18"/>
        </w:rPr>
        <w:t>.</w:t>
      </w:r>
      <w:r w:rsidRPr="00567D84">
        <w:t xml:space="preserve"> </w:t>
      </w:r>
    </w:p>
  </w:footnote>
  <w:footnote w:id="6">
    <w:p w14:paraId="2FA0D002" w14:textId="489E4C6F" w:rsidR="00DF4BD5" w:rsidRPr="002C662E" w:rsidRDefault="008D12C0">
      <w:pPr>
        <w:pStyle w:val="FootnoteText"/>
        <w:rPr>
          <w:rFonts w:ascii="Aptos" w:hAnsi="Aptos"/>
          <w:sz w:val="18"/>
          <w:szCs w:val="18"/>
        </w:rPr>
      </w:pPr>
      <w:r w:rsidRPr="002C662E">
        <w:rPr>
          <w:rStyle w:val="FootnoteReference"/>
          <w:rFonts w:ascii="Aptos" w:hAnsi="Aptos"/>
          <w:sz w:val="18"/>
          <w:szCs w:val="18"/>
        </w:rPr>
        <w:footnoteRef/>
      </w:r>
      <w:r w:rsidRPr="002C662E">
        <w:rPr>
          <w:rFonts w:ascii="Aptos" w:hAnsi="Aptos"/>
          <w:sz w:val="18"/>
          <w:szCs w:val="18"/>
        </w:rPr>
        <w:t xml:space="preserve"> </w:t>
      </w:r>
      <w:r w:rsidR="00585945" w:rsidRPr="002C662E">
        <w:rPr>
          <w:rFonts w:ascii="Aptos" w:hAnsi="Aptos"/>
          <w:sz w:val="18"/>
          <w:szCs w:val="18"/>
        </w:rPr>
        <w:t xml:space="preserve">U.S. Department of the Treasury Report on the Uses, Opportunities, and Risks of Artificial Intelligence in Financial Services: </w:t>
      </w:r>
      <w:hyperlink r:id="rId3" w:history="1">
        <w:r w:rsidR="00DF4BD5" w:rsidRPr="002C662E">
          <w:rPr>
            <w:rStyle w:val="Hyperlink"/>
            <w:rFonts w:ascii="Aptos" w:hAnsi="Aptos"/>
            <w:sz w:val="18"/>
            <w:szCs w:val="18"/>
          </w:rPr>
          <w:t>https://home.treasury.gov/news/press-releases/jy2760</w:t>
        </w:r>
      </w:hyperlink>
    </w:p>
  </w:footnote>
  <w:footnote w:id="7">
    <w:p w14:paraId="04BF266D" w14:textId="77777777" w:rsidR="008E7103" w:rsidRPr="00010975" w:rsidRDefault="008E7103" w:rsidP="008E7103">
      <w:pPr>
        <w:pStyle w:val="FootnoteText"/>
      </w:pPr>
      <w:r>
        <w:rPr>
          <w:rStyle w:val="FootnoteReference"/>
        </w:rPr>
        <w:footnoteRef/>
      </w:r>
      <w:r w:rsidRPr="00010975">
        <w:t xml:space="preserve"> </w:t>
      </w:r>
      <w:r w:rsidRPr="00010975">
        <w:rPr>
          <w:rFonts w:ascii="Aptos" w:hAnsi="Aptos"/>
          <w:sz w:val="18"/>
          <w:szCs w:val="18"/>
        </w:rPr>
        <w:t>For more information on the NIST AI Trustworthy Principles please see: https://airc.nist.gov/airmf-resources/airmf/3-sec-characteristics/#:~:text=Characteristics%20of%20trustworthy%20AI%20systems,fair%20with%20harmful%20bias%20managed.</w:t>
      </w:r>
    </w:p>
  </w:footnote>
  <w:footnote w:id="8">
    <w:p w14:paraId="428ABE0B" w14:textId="77777777" w:rsidR="001D1277" w:rsidRPr="001D1481" w:rsidRDefault="001D1277" w:rsidP="00686CF5">
      <w:pPr>
        <w:pStyle w:val="FootnoteText"/>
        <w:spacing w:line="269" w:lineRule="auto"/>
        <w:rPr>
          <w:rFonts w:ascii="Aptos" w:hAnsi="Aptos"/>
          <w:sz w:val="18"/>
          <w:szCs w:val="18"/>
        </w:rPr>
      </w:pPr>
      <w:r w:rsidRPr="001D1481">
        <w:rPr>
          <w:rStyle w:val="FootnoteReference"/>
          <w:rFonts w:ascii="Aptos" w:hAnsi="Aptos"/>
          <w:sz w:val="18"/>
          <w:szCs w:val="18"/>
        </w:rPr>
        <w:footnoteRef/>
      </w:r>
      <w:r w:rsidRPr="001D1481">
        <w:rPr>
          <w:rFonts w:ascii="Aptos" w:hAnsi="Aptos"/>
          <w:sz w:val="18"/>
          <w:szCs w:val="18"/>
        </w:rPr>
        <w:t xml:space="preserve"> </w:t>
      </w:r>
      <w:hyperlink r:id="rId4" w:history="1">
        <w:r w:rsidRPr="001D1481">
          <w:rPr>
            <w:rStyle w:val="Hyperlink"/>
            <w:rFonts w:ascii="Aptos" w:hAnsi="Aptos"/>
            <w:sz w:val="18"/>
            <w:szCs w:val="18"/>
          </w:rPr>
          <w:t>https://nvlpubs.nist.gov/nistpubs/ai/NIST.AI.100-2e2025.pdf</w:t>
        </w:r>
      </w:hyperlink>
      <w:r w:rsidRPr="001D1481">
        <w:rPr>
          <w:rFonts w:ascii="Aptos" w:hAnsi="Aptos"/>
          <w:sz w:val="18"/>
          <w:szCs w:val="18"/>
        </w:rPr>
        <w:t xml:space="preserve"> </w:t>
      </w:r>
    </w:p>
  </w:footnote>
  <w:footnote w:id="9">
    <w:p w14:paraId="5FA982E9" w14:textId="77777777" w:rsidR="001D1277" w:rsidRPr="001D1481" w:rsidRDefault="001D1277" w:rsidP="00686CF5">
      <w:pPr>
        <w:pStyle w:val="FootnoteText"/>
        <w:spacing w:line="269" w:lineRule="auto"/>
        <w:rPr>
          <w:rFonts w:ascii="Aptos" w:hAnsi="Aptos"/>
          <w:sz w:val="18"/>
          <w:szCs w:val="18"/>
        </w:rPr>
      </w:pPr>
      <w:r w:rsidRPr="001D1481">
        <w:rPr>
          <w:rStyle w:val="FootnoteReference"/>
          <w:rFonts w:ascii="Aptos" w:hAnsi="Aptos"/>
          <w:sz w:val="18"/>
          <w:szCs w:val="18"/>
        </w:rPr>
        <w:footnoteRef/>
      </w:r>
      <w:r w:rsidRPr="001D1481">
        <w:rPr>
          <w:rFonts w:ascii="Aptos" w:hAnsi="Aptos"/>
          <w:sz w:val="18"/>
          <w:szCs w:val="18"/>
        </w:rPr>
        <w:t xml:space="preserve"> </w:t>
      </w:r>
      <w:hyperlink r:id="rId5" w:history="1">
        <w:r w:rsidRPr="001D1481">
          <w:rPr>
            <w:rStyle w:val="Hyperlink"/>
            <w:rFonts w:ascii="Aptos" w:hAnsi="Aptos"/>
            <w:sz w:val="18"/>
            <w:szCs w:val="18"/>
          </w:rPr>
          <w:t>https://www.nccoe.nist.gov/ai/adversarial-machine-learning</w:t>
        </w:r>
      </w:hyperlink>
      <w:r w:rsidRPr="001D1481">
        <w:rPr>
          <w:rFonts w:ascii="Aptos" w:hAnsi="Aptos"/>
          <w:sz w:val="18"/>
          <w:szCs w:val="18"/>
        </w:rPr>
        <w:t xml:space="preserve"> </w:t>
      </w:r>
    </w:p>
  </w:footnote>
  <w:footnote w:id="10">
    <w:p w14:paraId="05101976" w14:textId="77777777" w:rsidR="001D1277" w:rsidRPr="001D1481" w:rsidRDefault="001D1277" w:rsidP="00686CF5">
      <w:pPr>
        <w:pStyle w:val="FootnoteText"/>
        <w:spacing w:line="269" w:lineRule="auto"/>
        <w:rPr>
          <w:rFonts w:ascii="Aptos" w:hAnsi="Aptos"/>
          <w:sz w:val="18"/>
          <w:szCs w:val="18"/>
        </w:rPr>
      </w:pPr>
      <w:r w:rsidRPr="001D1481">
        <w:rPr>
          <w:rStyle w:val="FootnoteReference"/>
          <w:rFonts w:ascii="Aptos" w:hAnsi="Aptos"/>
          <w:sz w:val="18"/>
          <w:szCs w:val="18"/>
        </w:rPr>
        <w:footnoteRef/>
      </w:r>
      <w:r w:rsidRPr="001D1481">
        <w:rPr>
          <w:rFonts w:ascii="Aptos" w:hAnsi="Aptos"/>
          <w:sz w:val="18"/>
          <w:szCs w:val="18"/>
        </w:rPr>
        <w:t xml:space="preserve"> </w:t>
      </w:r>
      <w:hyperlink r:id="rId6" w:history="1">
        <w:r w:rsidRPr="001D1481">
          <w:rPr>
            <w:rStyle w:val="Hyperlink"/>
            <w:rFonts w:ascii="Aptos" w:hAnsi="Aptos"/>
            <w:sz w:val="18"/>
            <w:szCs w:val="18"/>
          </w:rPr>
          <w:t>https://doi.org/10.1016/j.array.2025.100399</w:t>
        </w:r>
      </w:hyperlink>
      <w:r w:rsidRPr="001D1481">
        <w:rPr>
          <w:rFonts w:ascii="Aptos" w:hAnsi="Aptos"/>
          <w:sz w:val="18"/>
          <w:szCs w:val="18"/>
        </w:rPr>
        <w:t xml:space="preserve"> </w:t>
      </w:r>
    </w:p>
  </w:footnote>
  <w:footnote w:id="11">
    <w:p w14:paraId="55AD7E29" w14:textId="77777777" w:rsidR="001D1277" w:rsidRPr="001D1481" w:rsidRDefault="001D1277" w:rsidP="00686CF5">
      <w:pPr>
        <w:pStyle w:val="FootnoteText"/>
        <w:spacing w:line="269" w:lineRule="auto"/>
        <w:rPr>
          <w:rFonts w:ascii="Aptos" w:hAnsi="Aptos"/>
          <w:sz w:val="18"/>
          <w:szCs w:val="18"/>
        </w:rPr>
      </w:pPr>
      <w:r w:rsidRPr="001D1481">
        <w:rPr>
          <w:rStyle w:val="FootnoteReference"/>
          <w:rFonts w:ascii="Aptos" w:hAnsi="Aptos"/>
          <w:sz w:val="18"/>
          <w:szCs w:val="18"/>
        </w:rPr>
        <w:footnoteRef/>
      </w:r>
      <w:r w:rsidRPr="001D1481">
        <w:rPr>
          <w:rFonts w:ascii="Aptos" w:hAnsi="Aptos"/>
          <w:sz w:val="18"/>
          <w:szCs w:val="18"/>
        </w:rPr>
        <w:t xml:space="preserve"> </w:t>
      </w:r>
      <w:hyperlink r:id="rId7" w:history="1">
        <w:r w:rsidRPr="001D1481">
          <w:rPr>
            <w:rStyle w:val="Hyperlink"/>
            <w:rFonts w:ascii="Aptos" w:hAnsi="Aptos"/>
            <w:sz w:val="18"/>
            <w:szCs w:val="18"/>
          </w:rPr>
          <w:t>https://www.ibm.com/think/topics/ai-agents</w:t>
        </w:r>
      </w:hyperlink>
      <w:r w:rsidRPr="001D1481">
        <w:rPr>
          <w:rFonts w:ascii="Aptos" w:hAnsi="Aptos"/>
          <w:sz w:val="18"/>
          <w:szCs w:val="18"/>
        </w:rPr>
        <w:t xml:space="preserve"> </w:t>
      </w:r>
    </w:p>
  </w:footnote>
  <w:footnote w:id="12">
    <w:p w14:paraId="7BCDD0DE" w14:textId="77777777" w:rsidR="001D1277" w:rsidRPr="001D1481" w:rsidRDefault="001D1277" w:rsidP="00686CF5">
      <w:pPr>
        <w:pStyle w:val="FootnoteText"/>
        <w:spacing w:line="269" w:lineRule="auto"/>
        <w:rPr>
          <w:rFonts w:ascii="Aptos" w:hAnsi="Aptos"/>
          <w:sz w:val="18"/>
          <w:szCs w:val="18"/>
        </w:rPr>
      </w:pPr>
      <w:r w:rsidRPr="001D1481">
        <w:rPr>
          <w:rStyle w:val="FootnoteReference"/>
          <w:rFonts w:ascii="Aptos" w:hAnsi="Aptos"/>
          <w:sz w:val="18"/>
          <w:szCs w:val="18"/>
        </w:rPr>
        <w:footnoteRef/>
      </w:r>
      <w:r w:rsidRPr="001D1481">
        <w:rPr>
          <w:rFonts w:ascii="Aptos" w:hAnsi="Aptos"/>
          <w:sz w:val="18"/>
          <w:szCs w:val="18"/>
        </w:rPr>
        <w:t xml:space="preserve"> </w:t>
      </w:r>
      <w:hyperlink r:id="rId8" w:anchor="iso:std:iso-iec:22989:dis:ed-1:v1:en" w:history="1">
        <w:r w:rsidRPr="001D1481">
          <w:rPr>
            <w:rStyle w:val="Hyperlink"/>
            <w:rFonts w:ascii="Aptos" w:hAnsi="Aptos"/>
            <w:sz w:val="18"/>
            <w:szCs w:val="18"/>
          </w:rPr>
          <w:t>ISO/IEC DIS 22989(en), Information technology — Artificial intelligence — Artificial intelligence concepts and terminology</w:t>
        </w:r>
      </w:hyperlink>
    </w:p>
  </w:footnote>
  <w:footnote w:id="13">
    <w:p w14:paraId="21D2DD05" w14:textId="77777777" w:rsidR="001D1277" w:rsidRPr="001D1481" w:rsidRDefault="001D1277" w:rsidP="00686CF5">
      <w:pPr>
        <w:pStyle w:val="FootnoteText"/>
        <w:spacing w:line="269" w:lineRule="auto"/>
        <w:rPr>
          <w:rFonts w:ascii="Aptos" w:hAnsi="Aptos"/>
          <w:sz w:val="18"/>
          <w:szCs w:val="18"/>
        </w:rPr>
      </w:pPr>
      <w:r w:rsidRPr="001D1481">
        <w:rPr>
          <w:rStyle w:val="FootnoteReference"/>
          <w:rFonts w:ascii="Aptos" w:hAnsi="Aptos"/>
          <w:sz w:val="18"/>
          <w:szCs w:val="18"/>
        </w:rPr>
        <w:footnoteRef/>
      </w:r>
      <w:r w:rsidRPr="001D1481">
        <w:rPr>
          <w:rFonts w:ascii="Aptos" w:hAnsi="Aptos"/>
          <w:sz w:val="18"/>
          <w:szCs w:val="18"/>
        </w:rPr>
        <w:t xml:space="preserve"> </w:t>
      </w:r>
      <w:hyperlink r:id="rId9" w:anchor=":~:text=Definitions:,HEADQUARTERS" w:history="1">
        <w:r w:rsidRPr="001D1481">
          <w:rPr>
            <w:rStyle w:val="Hyperlink"/>
            <w:rFonts w:ascii="Aptos" w:hAnsi="Aptos"/>
            <w:sz w:val="18"/>
            <w:szCs w:val="18"/>
          </w:rPr>
          <w:t>https://csrc.nist.gov/glossary/term/artificial_intelligence_model#:~:text=Definitions:,HEADQUARTERS</w:t>
        </w:r>
      </w:hyperlink>
      <w:r w:rsidRPr="001D1481">
        <w:rPr>
          <w:rFonts w:ascii="Aptos" w:hAnsi="Aptos"/>
          <w:sz w:val="18"/>
          <w:szCs w:val="18"/>
        </w:rPr>
        <w:t xml:space="preserve"> </w:t>
      </w:r>
    </w:p>
  </w:footnote>
  <w:footnote w:id="14">
    <w:p w14:paraId="3175D2C6" w14:textId="77777777" w:rsidR="001D1277" w:rsidRPr="001D1481" w:rsidRDefault="001D1277" w:rsidP="00686CF5">
      <w:pPr>
        <w:pStyle w:val="FootnoteText"/>
        <w:spacing w:line="269" w:lineRule="auto"/>
        <w:rPr>
          <w:rFonts w:ascii="Aptos" w:hAnsi="Aptos"/>
          <w:sz w:val="18"/>
          <w:szCs w:val="18"/>
        </w:rPr>
      </w:pPr>
      <w:r w:rsidRPr="001D1481">
        <w:rPr>
          <w:rStyle w:val="FootnoteReference"/>
          <w:rFonts w:ascii="Aptos" w:hAnsi="Aptos"/>
          <w:sz w:val="18"/>
          <w:szCs w:val="18"/>
        </w:rPr>
        <w:footnoteRef/>
      </w:r>
      <w:r w:rsidRPr="001D1481">
        <w:rPr>
          <w:rFonts w:ascii="Aptos" w:hAnsi="Aptos"/>
          <w:sz w:val="18"/>
          <w:szCs w:val="18"/>
        </w:rPr>
        <w:t xml:space="preserve"> </w:t>
      </w:r>
      <w:hyperlink r:id="rId10" w:history="1">
        <w:r w:rsidRPr="001D1481">
          <w:rPr>
            <w:rStyle w:val="Hyperlink"/>
            <w:rFonts w:ascii="Aptos" w:hAnsi="Aptos"/>
            <w:sz w:val="18"/>
            <w:szCs w:val="18"/>
          </w:rPr>
          <w:t>https://www.ibm.com/think/topics/model-drift</w:t>
        </w:r>
      </w:hyperlink>
      <w:r w:rsidRPr="001D1481">
        <w:rPr>
          <w:rFonts w:ascii="Aptos" w:hAnsi="Aptos"/>
          <w:sz w:val="18"/>
          <w:szCs w:val="18"/>
        </w:rPr>
        <w:t xml:space="preserve"> </w:t>
      </w:r>
    </w:p>
  </w:footnote>
  <w:footnote w:id="15">
    <w:p w14:paraId="1023B420" w14:textId="77777777" w:rsidR="001D1277" w:rsidRPr="001D1481" w:rsidRDefault="001D1277" w:rsidP="00686CF5">
      <w:pPr>
        <w:pStyle w:val="FootnoteText"/>
        <w:spacing w:line="269" w:lineRule="auto"/>
        <w:rPr>
          <w:rFonts w:ascii="Aptos" w:hAnsi="Aptos"/>
          <w:sz w:val="18"/>
          <w:szCs w:val="18"/>
        </w:rPr>
      </w:pPr>
      <w:r w:rsidRPr="001D1481">
        <w:rPr>
          <w:rStyle w:val="FootnoteReference"/>
          <w:rFonts w:ascii="Aptos" w:hAnsi="Aptos"/>
          <w:sz w:val="18"/>
          <w:szCs w:val="18"/>
        </w:rPr>
        <w:footnoteRef/>
      </w:r>
      <w:r w:rsidRPr="001D1481">
        <w:rPr>
          <w:rFonts w:ascii="Aptos" w:hAnsi="Aptos"/>
          <w:sz w:val="18"/>
          <w:szCs w:val="18"/>
        </w:rPr>
        <w:t xml:space="preserve"> </w:t>
      </w:r>
      <w:hyperlink r:id="rId11" w:history="1">
        <w:r w:rsidRPr="001D1481">
          <w:rPr>
            <w:rStyle w:val="Hyperlink"/>
            <w:rFonts w:ascii="Aptos" w:hAnsi="Aptos"/>
            <w:sz w:val="18"/>
            <w:szCs w:val="18"/>
          </w:rPr>
          <w:t>http://www.ibm.com/think/topics/model-drift</w:t>
        </w:r>
      </w:hyperlink>
      <w:r w:rsidRPr="001D1481">
        <w:rPr>
          <w:rFonts w:ascii="Aptos" w:hAnsi="Aptos"/>
          <w:sz w:val="18"/>
          <w:szCs w:val="18"/>
        </w:rPr>
        <w:t xml:space="preserve"> </w:t>
      </w:r>
    </w:p>
  </w:footnote>
  <w:footnote w:id="16">
    <w:p w14:paraId="44C1D9F6" w14:textId="77777777" w:rsidR="001D1277" w:rsidRPr="001D1481" w:rsidRDefault="001D1277" w:rsidP="00686CF5">
      <w:pPr>
        <w:pStyle w:val="FootnoteText"/>
        <w:spacing w:line="269" w:lineRule="auto"/>
        <w:rPr>
          <w:rFonts w:ascii="Aptos" w:hAnsi="Aptos"/>
          <w:sz w:val="18"/>
          <w:szCs w:val="18"/>
        </w:rPr>
      </w:pPr>
      <w:r w:rsidRPr="001D1481">
        <w:rPr>
          <w:rStyle w:val="FootnoteReference"/>
          <w:rFonts w:ascii="Aptos" w:hAnsi="Aptos"/>
          <w:sz w:val="18"/>
          <w:szCs w:val="18"/>
        </w:rPr>
        <w:footnoteRef/>
      </w:r>
      <w:r w:rsidRPr="001D1481">
        <w:rPr>
          <w:rFonts w:ascii="Aptos" w:hAnsi="Aptos"/>
          <w:sz w:val="18"/>
          <w:szCs w:val="18"/>
        </w:rPr>
        <w:t xml:space="preserve"> </w:t>
      </w:r>
      <w:hyperlink r:id="rId12" w:history="1">
        <w:r w:rsidRPr="001D1481">
          <w:rPr>
            <w:rStyle w:val="Hyperlink"/>
            <w:rFonts w:ascii="Aptos" w:hAnsi="Aptos"/>
            <w:sz w:val="18"/>
            <w:szCs w:val="18"/>
          </w:rPr>
          <w:t>https://www.belfercenter.org/publication/AttackingAI</w:t>
        </w:r>
      </w:hyperlink>
      <w:r w:rsidRPr="001D1481">
        <w:rPr>
          <w:rFonts w:ascii="Aptos" w:hAnsi="Aptos"/>
          <w:sz w:val="18"/>
          <w:szCs w:val="18"/>
        </w:rPr>
        <w:t xml:space="preserve"> </w:t>
      </w:r>
    </w:p>
  </w:footnote>
  <w:footnote w:id="17">
    <w:p w14:paraId="5BD37DE5" w14:textId="77777777" w:rsidR="001D1277" w:rsidRPr="001D1481" w:rsidRDefault="001D1277" w:rsidP="00686CF5">
      <w:pPr>
        <w:pStyle w:val="FootnoteText"/>
        <w:spacing w:line="269" w:lineRule="auto"/>
        <w:rPr>
          <w:rFonts w:ascii="Aptos" w:hAnsi="Aptos"/>
          <w:sz w:val="18"/>
          <w:szCs w:val="18"/>
        </w:rPr>
      </w:pPr>
      <w:r w:rsidRPr="001D1481">
        <w:rPr>
          <w:rStyle w:val="FootnoteReference"/>
          <w:rFonts w:ascii="Aptos" w:hAnsi="Aptos"/>
          <w:sz w:val="18"/>
          <w:szCs w:val="18"/>
        </w:rPr>
        <w:footnoteRef/>
      </w:r>
      <w:r w:rsidRPr="001D1481">
        <w:rPr>
          <w:rFonts w:ascii="Aptos" w:hAnsi="Aptos"/>
          <w:sz w:val="18"/>
          <w:szCs w:val="18"/>
        </w:rPr>
        <w:t xml:space="preserve"> </w:t>
      </w:r>
      <w:hyperlink r:id="rId13" w:history="1">
        <w:r w:rsidRPr="001D1481">
          <w:rPr>
            <w:rStyle w:val="Hyperlink"/>
            <w:rFonts w:ascii="Aptos" w:hAnsi="Aptos"/>
            <w:sz w:val="18"/>
            <w:szCs w:val="18"/>
          </w:rPr>
          <w:t>Terms and definitions | Voluntary AI Safety Standard | Department of Industry Science and Resources</w:t>
        </w:r>
      </w:hyperlink>
    </w:p>
  </w:footnote>
  <w:footnote w:id="18">
    <w:p w14:paraId="7B72C25E" w14:textId="77777777" w:rsidR="001D1277" w:rsidRPr="001D1481" w:rsidRDefault="001D1277" w:rsidP="00686CF5">
      <w:pPr>
        <w:pStyle w:val="FootnoteText"/>
        <w:spacing w:line="269" w:lineRule="auto"/>
        <w:rPr>
          <w:rFonts w:ascii="Aptos" w:hAnsi="Aptos"/>
          <w:sz w:val="18"/>
          <w:szCs w:val="18"/>
        </w:rPr>
      </w:pPr>
      <w:r w:rsidRPr="001D1481">
        <w:rPr>
          <w:rStyle w:val="FootnoteReference"/>
          <w:rFonts w:ascii="Aptos" w:hAnsi="Aptos"/>
          <w:sz w:val="18"/>
          <w:szCs w:val="18"/>
        </w:rPr>
        <w:footnoteRef/>
      </w:r>
      <w:r w:rsidRPr="001D1481">
        <w:rPr>
          <w:rFonts w:ascii="Aptos" w:hAnsi="Aptos"/>
          <w:sz w:val="18"/>
          <w:szCs w:val="18"/>
        </w:rPr>
        <w:t xml:space="preserve"> </w:t>
      </w:r>
      <w:hyperlink r:id="rId14" w:history="1">
        <w:r w:rsidRPr="001D1481">
          <w:rPr>
            <w:rStyle w:val="Hyperlink"/>
            <w:rFonts w:ascii="Aptos" w:hAnsi="Aptos"/>
            <w:sz w:val="18"/>
            <w:szCs w:val="18"/>
          </w:rPr>
          <w:t>Glossary - AIRC</w:t>
        </w:r>
      </w:hyperlink>
    </w:p>
  </w:footnote>
  <w:footnote w:id="19">
    <w:p w14:paraId="7C9789E7" w14:textId="77777777" w:rsidR="001D1277" w:rsidRPr="001D1481" w:rsidRDefault="001D1277" w:rsidP="00686CF5">
      <w:pPr>
        <w:pStyle w:val="FootnoteText"/>
        <w:spacing w:line="269" w:lineRule="auto"/>
        <w:rPr>
          <w:rFonts w:ascii="Aptos" w:hAnsi="Aptos"/>
          <w:sz w:val="18"/>
          <w:szCs w:val="18"/>
        </w:rPr>
      </w:pPr>
      <w:r w:rsidRPr="001D1481">
        <w:rPr>
          <w:rStyle w:val="FootnoteReference"/>
          <w:rFonts w:ascii="Aptos" w:hAnsi="Aptos"/>
          <w:sz w:val="18"/>
          <w:szCs w:val="18"/>
        </w:rPr>
        <w:footnoteRef/>
      </w:r>
      <w:r w:rsidRPr="001D1481">
        <w:rPr>
          <w:rFonts w:ascii="Aptos" w:hAnsi="Aptos"/>
          <w:sz w:val="18"/>
          <w:szCs w:val="18"/>
        </w:rPr>
        <w:t xml:space="preserve"> </w:t>
      </w:r>
      <w:hyperlink r:id="rId15" w:history="1">
        <w:r w:rsidRPr="001D1481">
          <w:rPr>
            <w:rStyle w:val="Hyperlink"/>
            <w:rFonts w:ascii="Aptos" w:hAnsi="Aptos"/>
            <w:sz w:val="18"/>
            <w:szCs w:val="18"/>
          </w:rPr>
          <w:t>https://nvlpubs.nist.gov/nistpubs/Legacy/SP/nistspecialpublication800-107r1.pdf</w:t>
        </w:r>
      </w:hyperlink>
      <w:r w:rsidRPr="001D1481">
        <w:rPr>
          <w:rFonts w:ascii="Aptos" w:hAnsi="Aptos"/>
          <w:sz w:val="18"/>
          <w:szCs w:val="18"/>
        </w:rPr>
        <w:t xml:space="preserve"> </w:t>
      </w:r>
    </w:p>
  </w:footnote>
  <w:footnote w:id="20">
    <w:p w14:paraId="5C926990" w14:textId="77777777" w:rsidR="001D1277" w:rsidRPr="00686CF5" w:rsidRDefault="001D1277" w:rsidP="00686CF5">
      <w:pPr>
        <w:pStyle w:val="FootnoteText"/>
        <w:spacing w:line="269" w:lineRule="auto"/>
        <w:rPr>
          <w:rFonts w:ascii="Aptos" w:hAnsi="Aptos"/>
          <w:sz w:val="18"/>
          <w:szCs w:val="18"/>
        </w:rPr>
      </w:pPr>
      <w:r w:rsidRPr="001D1481">
        <w:rPr>
          <w:rStyle w:val="FootnoteReference"/>
          <w:rFonts w:ascii="Aptos" w:hAnsi="Aptos"/>
          <w:sz w:val="18"/>
          <w:szCs w:val="18"/>
        </w:rPr>
        <w:footnoteRef/>
      </w:r>
      <w:r w:rsidRPr="001D1481">
        <w:rPr>
          <w:rFonts w:ascii="Aptos" w:hAnsi="Aptos"/>
          <w:sz w:val="18"/>
          <w:szCs w:val="18"/>
        </w:rPr>
        <w:t xml:space="preserve"> </w:t>
      </w:r>
      <w:hyperlink r:id="rId16" w:history="1">
        <w:r w:rsidRPr="001D1481">
          <w:rPr>
            <w:rStyle w:val="Hyperlink"/>
            <w:rFonts w:ascii="Aptos" w:hAnsi="Aptos"/>
            <w:sz w:val="18"/>
            <w:szCs w:val="18"/>
          </w:rPr>
          <w:t>nvlpubs.nist.gov/nistpubs/SpecialPublications/NIST.SP.1270.pdf</w:t>
        </w:r>
      </w:hyperlink>
      <w:r w:rsidRPr="00686CF5">
        <w:rPr>
          <w:rFonts w:ascii="Aptos" w:hAnsi="Aptos"/>
          <w:sz w:val="18"/>
          <w:szCs w:val="18"/>
        </w:rPr>
        <w:t xml:space="preserve"> </w:t>
      </w:r>
    </w:p>
  </w:footnote>
  <w:footnote w:id="21">
    <w:p w14:paraId="32BDB5AF" w14:textId="77777777" w:rsidR="001D1277" w:rsidRPr="001D1481" w:rsidRDefault="001D1277" w:rsidP="00686CF5">
      <w:pPr>
        <w:pStyle w:val="FootnoteText"/>
        <w:spacing w:line="269" w:lineRule="auto"/>
        <w:rPr>
          <w:rFonts w:ascii="Aptos" w:hAnsi="Aptos"/>
          <w:sz w:val="18"/>
          <w:szCs w:val="18"/>
        </w:rPr>
      </w:pPr>
      <w:r w:rsidRPr="001D1481">
        <w:rPr>
          <w:rStyle w:val="FootnoteReference"/>
          <w:rFonts w:ascii="Aptos" w:hAnsi="Aptos"/>
          <w:sz w:val="18"/>
          <w:szCs w:val="18"/>
        </w:rPr>
        <w:footnoteRef/>
      </w:r>
      <w:r w:rsidRPr="001D1481">
        <w:rPr>
          <w:rFonts w:ascii="Aptos" w:hAnsi="Aptos"/>
          <w:sz w:val="18"/>
          <w:szCs w:val="18"/>
        </w:rPr>
        <w:t xml:space="preserve"> </w:t>
      </w:r>
      <w:hyperlink r:id="rId17" w:history="1">
        <w:r w:rsidRPr="001D1481">
          <w:rPr>
            <w:rFonts w:ascii="Aptos" w:hAnsi="Aptos"/>
            <w:color w:val="000000" w:themeColor="text1"/>
            <w:sz w:val="18"/>
            <w:szCs w:val="18"/>
            <w:u w:val="single"/>
          </w:rPr>
          <w:t>NIST SP 800-160v1r1</w:t>
        </w:r>
      </w:hyperlink>
      <w:r w:rsidRPr="001D1481">
        <w:rPr>
          <w:rFonts w:ascii="Aptos" w:hAnsi="Aptos"/>
          <w:color w:val="000000" w:themeColor="text1"/>
          <w:sz w:val="18"/>
          <w:szCs w:val="18"/>
          <w:shd w:val="clear" w:color="auto" w:fill="FFFFFF"/>
        </w:rPr>
        <w:t> from </w:t>
      </w:r>
      <w:hyperlink r:id="rId18" w:history="1">
        <w:r w:rsidRPr="001D1481">
          <w:rPr>
            <w:rFonts w:ascii="Aptos" w:hAnsi="Aptos"/>
            <w:color w:val="000000" w:themeColor="text1"/>
            <w:sz w:val="18"/>
            <w:szCs w:val="18"/>
            <w:u w:val="single"/>
          </w:rPr>
          <w:t>ISO/IEC/IEEE 24765:2017</w:t>
        </w:r>
      </w:hyperlink>
    </w:p>
  </w:footnote>
  <w:footnote w:id="22">
    <w:p w14:paraId="32EFBE89" w14:textId="77777777" w:rsidR="001D1277" w:rsidRPr="001D1481" w:rsidRDefault="001D1277" w:rsidP="00686CF5">
      <w:pPr>
        <w:pStyle w:val="FootnoteText"/>
        <w:spacing w:line="269" w:lineRule="auto"/>
        <w:rPr>
          <w:rFonts w:ascii="Aptos" w:hAnsi="Aptos"/>
          <w:sz w:val="18"/>
          <w:szCs w:val="18"/>
        </w:rPr>
      </w:pPr>
      <w:r w:rsidRPr="001D1481">
        <w:rPr>
          <w:rStyle w:val="FootnoteReference"/>
          <w:rFonts w:ascii="Aptos" w:hAnsi="Aptos"/>
          <w:sz w:val="18"/>
          <w:szCs w:val="18"/>
        </w:rPr>
        <w:footnoteRef/>
      </w:r>
      <w:r w:rsidRPr="001D1481">
        <w:rPr>
          <w:rFonts w:ascii="Aptos" w:hAnsi="Aptos"/>
          <w:sz w:val="18"/>
          <w:szCs w:val="18"/>
        </w:rPr>
        <w:t xml:space="preserve"> </w:t>
      </w:r>
      <w:hyperlink r:id="rId19" w:history="1">
        <w:r w:rsidRPr="001D1481">
          <w:rPr>
            <w:rFonts w:ascii="Aptos" w:hAnsi="Aptos"/>
            <w:color w:val="000000" w:themeColor="text1"/>
            <w:sz w:val="18"/>
            <w:szCs w:val="18"/>
            <w:u w:val="single"/>
          </w:rPr>
          <w:t>NIST SP 800-37 Rev. 2</w:t>
        </w:r>
      </w:hyperlink>
      <w:r w:rsidRPr="001D1481">
        <w:rPr>
          <w:rFonts w:ascii="Aptos" w:hAnsi="Aptos"/>
          <w:color w:val="000000" w:themeColor="text1"/>
          <w:sz w:val="18"/>
          <w:szCs w:val="18"/>
          <w:shd w:val="clear" w:color="auto" w:fill="FFFFFF"/>
        </w:rPr>
        <w:t> under detect (CSF function) from </w:t>
      </w:r>
      <w:hyperlink r:id="rId20" w:history="1">
        <w:r w:rsidRPr="001D1481">
          <w:rPr>
            <w:rFonts w:ascii="Aptos" w:hAnsi="Aptos"/>
            <w:color w:val="000000" w:themeColor="text1"/>
            <w:sz w:val="18"/>
            <w:szCs w:val="18"/>
            <w:u w:val="single"/>
          </w:rPr>
          <w:t>NIST Cybersecurity Framework Version 1.1</w:t>
        </w:r>
      </w:hyperlink>
    </w:p>
  </w:footnote>
  <w:footnote w:id="23">
    <w:p w14:paraId="326D5DF2" w14:textId="77777777" w:rsidR="001D1277" w:rsidRPr="001D1481" w:rsidRDefault="001D1277" w:rsidP="00686CF5">
      <w:pPr>
        <w:pStyle w:val="FootnoteText"/>
        <w:spacing w:line="269" w:lineRule="auto"/>
        <w:rPr>
          <w:rFonts w:ascii="Aptos" w:hAnsi="Aptos"/>
          <w:sz w:val="18"/>
          <w:szCs w:val="18"/>
        </w:rPr>
      </w:pPr>
      <w:r w:rsidRPr="001D1481">
        <w:rPr>
          <w:rStyle w:val="FootnoteReference"/>
          <w:rFonts w:ascii="Aptos" w:hAnsi="Aptos"/>
          <w:sz w:val="18"/>
          <w:szCs w:val="18"/>
        </w:rPr>
        <w:footnoteRef/>
      </w:r>
      <w:r w:rsidRPr="001D1481">
        <w:rPr>
          <w:rFonts w:ascii="Aptos" w:hAnsi="Aptos"/>
          <w:sz w:val="18"/>
          <w:szCs w:val="18"/>
        </w:rPr>
        <w:t xml:space="preserve"> </w:t>
      </w:r>
      <w:hyperlink r:id="rId21" w:history="1">
        <w:r w:rsidRPr="001D1481">
          <w:rPr>
            <w:rStyle w:val="Hyperlink"/>
            <w:rFonts w:ascii="Aptos" w:hAnsi="Aptos"/>
            <w:sz w:val="18"/>
            <w:szCs w:val="18"/>
          </w:rPr>
          <w:t>https://cloud.google.com/discover/what-is-artificial-general-intelligence</w:t>
        </w:r>
      </w:hyperlink>
      <w:r w:rsidRPr="001D1481">
        <w:rPr>
          <w:rFonts w:ascii="Aptos" w:hAnsi="Aptos"/>
          <w:sz w:val="18"/>
          <w:szCs w:val="18"/>
        </w:rPr>
        <w:t xml:space="preserve"> </w:t>
      </w:r>
    </w:p>
  </w:footnote>
  <w:footnote w:id="24">
    <w:p w14:paraId="28B9CE07" w14:textId="77777777" w:rsidR="001D1277" w:rsidRPr="001D1481" w:rsidRDefault="001D1277" w:rsidP="00686CF5">
      <w:pPr>
        <w:pStyle w:val="FootnoteText"/>
        <w:spacing w:line="269" w:lineRule="auto"/>
        <w:rPr>
          <w:rFonts w:ascii="Aptos" w:hAnsi="Aptos"/>
          <w:sz w:val="18"/>
          <w:szCs w:val="18"/>
        </w:rPr>
      </w:pPr>
      <w:r w:rsidRPr="001D1481">
        <w:rPr>
          <w:rStyle w:val="FootnoteReference"/>
          <w:rFonts w:ascii="Aptos" w:hAnsi="Aptos"/>
          <w:sz w:val="18"/>
          <w:szCs w:val="18"/>
        </w:rPr>
        <w:footnoteRef/>
      </w:r>
      <w:r w:rsidRPr="001D1481">
        <w:rPr>
          <w:rFonts w:ascii="Aptos" w:hAnsi="Aptos"/>
          <w:sz w:val="18"/>
          <w:szCs w:val="18"/>
        </w:rPr>
        <w:t xml:space="preserve"> </w:t>
      </w:r>
      <w:hyperlink r:id="rId22" w:history="1">
        <w:r w:rsidRPr="001D1481">
          <w:rPr>
            <w:rStyle w:val="Hyperlink"/>
            <w:rFonts w:ascii="Aptos" w:hAnsi="Aptos"/>
            <w:sz w:val="18"/>
            <w:szCs w:val="18"/>
          </w:rPr>
          <w:t>15 USC 9401: Definitions</w:t>
        </w:r>
      </w:hyperlink>
    </w:p>
  </w:footnote>
  <w:footnote w:id="25">
    <w:p w14:paraId="7B21B676" w14:textId="77777777" w:rsidR="001D1277" w:rsidRPr="001D1481" w:rsidRDefault="001D1277" w:rsidP="00686CF5">
      <w:pPr>
        <w:pStyle w:val="FootnoteText"/>
        <w:spacing w:line="269" w:lineRule="auto"/>
        <w:rPr>
          <w:rFonts w:ascii="Aptos" w:hAnsi="Aptos"/>
          <w:sz w:val="18"/>
          <w:szCs w:val="18"/>
        </w:rPr>
      </w:pPr>
      <w:r w:rsidRPr="001D1481">
        <w:rPr>
          <w:rStyle w:val="FootnoteReference"/>
          <w:rFonts w:ascii="Aptos" w:hAnsi="Aptos"/>
          <w:sz w:val="18"/>
          <w:szCs w:val="18"/>
        </w:rPr>
        <w:footnoteRef/>
      </w:r>
      <w:r w:rsidRPr="001D1481">
        <w:rPr>
          <w:rFonts w:ascii="Aptos" w:hAnsi="Aptos"/>
          <w:sz w:val="18"/>
          <w:szCs w:val="18"/>
        </w:rPr>
        <w:t xml:space="preserve"> </w:t>
      </w:r>
      <w:hyperlink r:id="rId23" w:history="1">
        <w:r w:rsidRPr="001D1481">
          <w:rPr>
            <w:rStyle w:val="Hyperlink"/>
            <w:rFonts w:ascii="Aptos" w:hAnsi="Aptos"/>
            <w:sz w:val="18"/>
            <w:szCs w:val="18"/>
          </w:rPr>
          <w:t>Model Risk Management, Comptroller's Handbook</w:t>
        </w:r>
      </w:hyperlink>
    </w:p>
  </w:footnote>
  <w:footnote w:id="26">
    <w:p w14:paraId="5761B77D" w14:textId="77777777" w:rsidR="001D1277" w:rsidRPr="001D1481" w:rsidRDefault="001D1277" w:rsidP="00686CF5">
      <w:pPr>
        <w:pStyle w:val="FootnoteText"/>
        <w:spacing w:line="269" w:lineRule="auto"/>
        <w:rPr>
          <w:rFonts w:ascii="Aptos" w:hAnsi="Aptos"/>
          <w:sz w:val="18"/>
          <w:szCs w:val="18"/>
        </w:rPr>
      </w:pPr>
      <w:r w:rsidRPr="001D1481">
        <w:rPr>
          <w:rStyle w:val="FootnoteReference"/>
          <w:rFonts w:ascii="Aptos" w:hAnsi="Aptos"/>
          <w:sz w:val="18"/>
          <w:szCs w:val="18"/>
        </w:rPr>
        <w:footnoteRef/>
      </w:r>
      <w:r w:rsidRPr="001D1481">
        <w:rPr>
          <w:rFonts w:ascii="Aptos" w:hAnsi="Aptos"/>
          <w:sz w:val="18"/>
          <w:szCs w:val="18"/>
        </w:rPr>
        <w:t xml:space="preserve"> </w:t>
      </w:r>
      <w:hyperlink r:id="rId24" w:history="1">
        <w:r w:rsidRPr="001D1481">
          <w:rPr>
            <w:rStyle w:val="Hyperlink"/>
            <w:rFonts w:ascii="Aptos" w:hAnsi="Aptos"/>
            <w:sz w:val="18"/>
            <w:szCs w:val="18"/>
          </w:rPr>
          <w:t>What Is Black Box AI and How Does It Work? | IBM</w:t>
        </w:r>
      </w:hyperlink>
    </w:p>
  </w:footnote>
  <w:footnote w:id="27">
    <w:p w14:paraId="5AC92288" w14:textId="77777777" w:rsidR="001D1277" w:rsidRPr="001D1481" w:rsidRDefault="001D1277" w:rsidP="00686CF5">
      <w:pPr>
        <w:pStyle w:val="FootnoteText"/>
        <w:spacing w:line="269" w:lineRule="auto"/>
        <w:rPr>
          <w:rFonts w:ascii="Aptos" w:hAnsi="Aptos"/>
          <w:sz w:val="18"/>
          <w:szCs w:val="18"/>
        </w:rPr>
      </w:pPr>
      <w:r w:rsidRPr="001D1481">
        <w:rPr>
          <w:rStyle w:val="FootnoteReference"/>
          <w:rFonts w:ascii="Aptos" w:hAnsi="Aptos"/>
          <w:sz w:val="18"/>
          <w:szCs w:val="18"/>
        </w:rPr>
        <w:footnoteRef/>
      </w:r>
      <w:r w:rsidRPr="001D1481">
        <w:rPr>
          <w:rFonts w:ascii="Aptos" w:hAnsi="Aptos"/>
          <w:sz w:val="18"/>
          <w:szCs w:val="18"/>
        </w:rPr>
        <w:t xml:space="preserve"> </w:t>
      </w:r>
      <w:hyperlink r:id="rId25" w:history="1">
        <w:r w:rsidRPr="001D1481">
          <w:rPr>
            <w:rStyle w:val="Hyperlink"/>
            <w:rFonts w:ascii="Aptos" w:hAnsi="Aptos"/>
            <w:sz w:val="18"/>
            <w:szCs w:val="18"/>
          </w:rPr>
          <w:t>Terms and definitions | Voluntary AI Safety Standard | Department of Industry Science and Resources</w:t>
        </w:r>
      </w:hyperlink>
    </w:p>
  </w:footnote>
  <w:footnote w:id="28">
    <w:p w14:paraId="3A48FE67" w14:textId="77777777" w:rsidR="001D1277" w:rsidRPr="001D1481" w:rsidRDefault="001D1277" w:rsidP="00686CF5">
      <w:pPr>
        <w:pStyle w:val="FootnoteText"/>
        <w:spacing w:line="269" w:lineRule="auto"/>
        <w:rPr>
          <w:rFonts w:ascii="Aptos" w:hAnsi="Aptos"/>
          <w:sz w:val="18"/>
          <w:szCs w:val="18"/>
        </w:rPr>
      </w:pPr>
      <w:r w:rsidRPr="001D1481">
        <w:rPr>
          <w:rStyle w:val="FootnoteReference"/>
          <w:rFonts w:ascii="Aptos" w:hAnsi="Aptos"/>
          <w:sz w:val="18"/>
          <w:szCs w:val="18"/>
        </w:rPr>
        <w:footnoteRef/>
      </w:r>
      <w:r w:rsidRPr="001D1481">
        <w:rPr>
          <w:rFonts w:ascii="Aptos" w:hAnsi="Aptos"/>
          <w:sz w:val="18"/>
          <w:szCs w:val="18"/>
        </w:rPr>
        <w:t xml:space="preserve"> https://nvlpubs.nist.gov/nistpubs/CSWP/NIST.CSWP.01162020.pdf</w:t>
      </w:r>
    </w:p>
  </w:footnote>
  <w:footnote w:id="29">
    <w:p w14:paraId="1D5478DB" w14:textId="77777777" w:rsidR="001D1277" w:rsidRPr="001D1481" w:rsidRDefault="001D1277" w:rsidP="00686CF5">
      <w:pPr>
        <w:pStyle w:val="FootnoteText"/>
        <w:spacing w:line="269" w:lineRule="auto"/>
        <w:rPr>
          <w:rFonts w:ascii="Aptos" w:hAnsi="Aptos"/>
          <w:sz w:val="18"/>
          <w:szCs w:val="18"/>
        </w:rPr>
      </w:pPr>
      <w:r w:rsidRPr="001D1481">
        <w:rPr>
          <w:rStyle w:val="FootnoteReference"/>
          <w:rFonts w:ascii="Aptos" w:hAnsi="Aptos"/>
          <w:sz w:val="18"/>
          <w:szCs w:val="18"/>
        </w:rPr>
        <w:footnoteRef/>
      </w:r>
      <w:r w:rsidRPr="001D1481">
        <w:rPr>
          <w:rFonts w:ascii="Aptos" w:hAnsi="Aptos"/>
          <w:sz w:val="18"/>
          <w:szCs w:val="18"/>
        </w:rPr>
        <w:t xml:space="preserve"> </w:t>
      </w:r>
      <w:hyperlink r:id="rId26" w:history="1">
        <w:r w:rsidRPr="001D1481">
          <w:rPr>
            <w:rStyle w:val="Hyperlink"/>
            <w:rFonts w:ascii="Aptos" w:hAnsi="Aptos"/>
            <w:sz w:val="18"/>
            <w:szCs w:val="18"/>
          </w:rPr>
          <w:t>https://www.bis.org/fsi/publ/insights63.pdf</w:t>
        </w:r>
      </w:hyperlink>
      <w:r w:rsidRPr="001D1481">
        <w:rPr>
          <w:rFonts w:ascii="Aptos" w:hAnsi="Aptos"/>
          <w:sz w:val="18"/>
          <w:szCs w:val="18"/>
        </w:rPr>
        <w:t xml:space="preserve"> </w:t>
      </w:r>
    </w:p>
  </w:footnote>
  <w:footnote w:id="30">
    <w:p w14:paraId="4CAD2F51" w14:textId="77777777" w:rsidR="001D1277" w:rsidRPr="001D1481" w:rsidRDefault="001D1277" w:rsidP="00686CF5">
      <w:pPr>
        <w:pStyle w:val="FootnoteText"/>
        <w:spacing w:line="269" w:lineRule="auto"/>
        <w:rPr>
          <w:rFonts w:ascii="Aptos" w:hAnsi="Aptos"/>
          <w:sz w:val="18"/>
          <w:szCs w:val="18"/>
        </w:rPr>
      </w:pPr>
      <w:r w:rsidRPr="001D1481">
        <w:rPr>
          <w:rStyle w:val="FootnoteReference"/>
          <w:rFonts w:ascii="Aptos" w:hAnsi="Aptos"/>
          <w:sz w:val="18"/>
          <w:szCs w:val="18"/>
        </w:rPr>
        <w:footnoteRef/>
      </w:r>
      <w:r w:rsidRPr="001D1481">
        <w:rPr>
          <w:rFonts w:ascii="Aptos" w:hAnsi="Aptos"/>
          <w:sz w:val="18"/>
          <w:szCs w:val="18"/>
        </w:rPr>
        <w:t xml:space="preserve"> </w:t>
      </w:r>
      <w:hyperlink r:id="rId27" w:history="1">
        <w:r w:rsidRPr="001D1481">
          <w:rPr>
            <w:rStyle w:val="Hyperlink"/>
            <w:rFonts w:ascii="Aptos" w:hAnsi="Aptos"/>
            <w:sz w:val="18"/>
            <w:szCs w:val="18"/>
          </w:rPr>
          <w:t>NIST Big Data Interoperability Framework: Volume 4, Security and Privacy</w:t>
        </w:r>
      </w:hyperlink>
      <w:r w:rsidRPr="001D1481">
        <w:rPr>
          <w:rFonts w:ascii="Aptos" w:hAnsi="Aptos"/>
          <w:sz w:val="18"/>
          <w:szCs w:val="18"/>
        </w:rPr>
        <w:t xml:space="preserve"> </w:t>
      </w:r>
    </w:p>
  </w:footnote>
  <w:footnote w:id="31">
    <w:p w14:paraId="4A03EB43" w14:textId="77777777" w:rsidR="001D1277" w:rsidRPr="00686CF5" w:rsidRDefault="001D1277" w:rsidP="00686CF5">
      <w:pPr>
        <w:pStyle w:val="FootnoteText"/>
        <w:spacing w:line="269" w:lineRule="auto"/>
        <w:rPr>
          <w:rFonts w:ascii="Aptos" w:hAnsi="Aptos"/>
          <w:sz w:val="18"/>
          <w:szCs w:val="18"/>
        </w:rPr>
      </w:pPr>
      <w:r w:rsidRPr="001D1481">
        <w:rPr>
          <w:rStyle w:val="FootnoteReference"/>
          <w:rFonts w:ascii="Aptos" w:hAnsi="Aptos"/>
          <w:sz w:val="18"/>
          <w:szCs w:val="18"/>
        </w:rPr>
        <w:footnoteRef/>
      </w:r>
      <w:r w:rsidRPr="001D1481">
        <w:rPr>
          <w:rFonts w:ascii="Aptos" w:hAnsi="Aptos"/>
          <w:sz w:val="18"/>
          <w:szCs w:val="18"/>
        </w:rPr>
        <w:t xml:space="preserve"> </w:t>
      </w:r>
      <w:hyperlink r:id="rId28" w:history="1">
        <w:r w:rsidRPr="001D1481">
          <w:rPr>
            <w:rStyle w:val="Hyperlink"/>
            <w:rFonts w:ascii="Aptos" w:hAnsi="Aptos"/>
            <w:sz w:val="18"/>
            <w:szCs w:val="18"/>
          </w:rPr>
          <w:t>Glossary - AIRC</w:t>
        </w:r>
      </w:hyperlink>
    </w:p>
  </w:footnote>
  <w:footnote w:id="32">
    <w:p w14:paraId="01883783" w14:textId="77777777" w:rsidR="001D1277" w:rsidRPr="001D1481" w:rsidRDefault="001D1277" w:rsidP="00686CF5">
      <w:pPr>
        <w:pStyle w:val="FootnoteText"/>
        <w:spacing w:line="269" w:lineRule="auto"/>
        <w:rPr>
          <w:rFonts w:ascii="Aptos" w:hAnsi="Aptos"/>
          <w:sz w:val="18"/>
          <w:szCs w:val="18"/>
        </w:rPr>
      </w:pPr>
      <w:r w:rsidRPr="001D1481">
        <w:rPr>
          <w:rStyle w:val="FootnoteReference"/>
          <w:rFonts w:ascii="Aptos" w:hAnsi="Aptos"/>
          <w:sz w:val="18"/>
          <w:szCs w:val="18"/>
        </w:rPr>
        <w:footnoteRef/>
      </w:r>
      <w:r w:rsidRPr="001D1481">
        <w:rPr>
          <w:rFonts w:ascii="Aptos" w:hAnsi="Aptos"/>
          <w:sz w:val="18"/>
          <w:szCs w:val="18"/>
        </w:rPr>
        <w:t xml:space="preserve"> Adapted from, </w:t>
      </w:r>
      <w:hyperlink r:id="rId29" w:history="1">
        <w:r w:rsidRPr="001D1481">
          <w:rPr>
            <w:rStyle w:val="Hyperlink"/>
            <w:rFonts w:ascii="Aptos" w:hAnsi="Aptos"/>
            <w:sz w:val="18"/>
            <w:szCs w:val="18"/>
          </w:rPr>
          <w:t>Model Risk Management, Comptroller's Handbook</w:t>
        </w:r>
      </w:hyperlink>
      <w:r w:rsidRPr="001D1481">
        <w:rPr>
          <w:rFonts w:ascii="Aptos" w:hAnsi="Aptos"/>
          <w:sz w:val="18"/>
          <w:szCs w:val="18"/>
        </w:rPr>
        <w:t xml:space="preserve">, p. 103 </w:t>
      </w:r>
    </w:p>
  </w:footnote>
  <w:footnote w:id="33">
    <w:p w14:paraId="1E3C8A49" w14:textId="77777777" w:rsidR="001D1277" w:rsidRPr="001D1481" w:rsidRDefault="001D1277" w:rsidP="00686CF5">
      <w:pPr>
        <w:pStyle w:val="FootnoteText"/>
        <w:spacing w:line="269" w:lineRule="auto"/>
        <w:rPr>
          <w:rFonts w:ascii="Aptos" w:hAnsi="Aptos"/>
          <w:sz w:val="18"/>
          <w:szCs w:val="18"/>
        </w:rPr>
      </w:pPr>
      <w:r w:rsidRPr="001D1481">
        <w:rPr>
          <w:rStyle w:val="FootnoteReference"/>
          <w:rFonts w:ascii="Aptos" w:hAnsi="Aptos"/>
          <w:sz w:val="18"/>
          <w:szCs w:val="18"/>
        </w:rPr>
        <w:footnoteRef/>
      </w:r>
      <w:r w:rsidRPr="001D1481">
        <w:rPr>
          <w:rFonts w:ascii="Aptos" w:hAnsi="Aptos"/>
          <w:sz w:val="18"/>
          <w:szCs w:val="18"/>
        </w:rPr>
        <w:t xml:space="preserve"> Adapted from, </w:t>
      </w:r>
      <w:hyperlink r:id="rId30" w:history="1">
        <w:r w:rsidRPr="001D1481">
          <w:rPr>
            <w:rStyle w:val="Hyperlink"/>
            <w:rFonts w:ascii="Aptos" w:hAnsi="Aptos"/>
            <w:sz w:val="18"/>
            <w:szCs w:val="18"/>
          </w:rPr>
          <w:t>https://www.bis.org/fsi/publ/insights63.pdf</w:t>
        </w:r>
      </w:hyperlink>
      <w:r w:rsidRPr="001D1481">
        <w:rPr>
          <w:rFonts w:ascii="Aptos" w:hAnsi="Aptos"/>
          <w:sz w:val="18"/>
          <w:szCs w:val="18"/>
        </w:rPr>
        <w:t xml:space="preserve"> </w:t>
      </w:r>
    </w:p>
  </w:footnote>
  <w:footnote w:id="34">
    <w:p w14:paraId="1391DD4D" w14:textId="77777777" w:rsidR="001D1277" w:rsidRPr="001D1481" w:rsidRDefault="001D1277" w:rsidP="00686CF5">
      <w:pPr>
        <w:pStyle w:val="FootnoteText"/>
        <w:spacing w:line="269" w:lineRule="auto"/>
        <w:rPr>
          <w:rFonts w:ascii="Aptos" w:hAnsi="Aptos"/>
          <w:sz w:val="18"/>
          <w:szCs w:val="18"/>
        </w:rPr>
      </w:pPr>
      <w:r w:rsidRPr="001D1481">
        <w:rPr>
          <w:rStyle w:val="FootnoteReference"/>
          <w:rFonts w:ascii="Aptos" w:hAnsi="Aptos"/>
          <w:sz w:val="18"/>
          <w:szCs w:val="18"/>
        </w:rPr>
        <w:footnoteRef/>
      </w:r>
      <w:r w:rsidRPr="001D1481">
        <w:rPr>
          <w:rFonts w:ascii="Aptos" w:hAnsi="Aptos"/>
          <w:sz w:val="18"/>
          <w:szCs w:val="18"/>
        </w:rPr>
        <w:t xml:space="preserve"> </w:t>
      </w:r>
      <w:hyperlink r:id="rId31" w:history="1">
        <w:r w:rsidRPr="001D1481">
          <w:rPr>
            <w:rStyle w:val="Hyperlink"/>
            <w:rFonts w:ascii="Aptos" w:hAnsi="Aptos"/>
            <w:sz w:val="18"/>
            <w:szCs w:val="18"/>
          </w:rPr>
          <w:t>USCODE-2023-title15-chap119-sec9401.pdf</w:t>
        </w:r>
      </w:hyperlink>
    </w:p>
  </w:footnote>
  <w:footnote w:id="35">
    <w:p w14:paraId="5DE39116" w14:textId="77777777" w:rsidR="001D1277" w:rsidRPr="001D1481" w:rsidRDefault="001D1277" w:rsidP="00686CF5">
      <w:pPr>
        <w:pStyle w:val="FootnoteText"/>
        <w:spacing w:line="269" w:lineRule="auto"/>
        <w:rPr>
          <w:rFonts w:ascii="Aptos" w:hAnsi="Aptos"/>
          <w:sz w:val="18"/>
          <w:szCs w:val="18"/>
        </w:rPr>
      </w:pPr>
      <w:r w:rsidRPr="001D1481">
        <w:rPr>
          <w:rStyle w:val="FootnoteReference"/>
          <w:rFonts w:ascii="Aptos" w:hAnsi="Aptos"/>
          <w:sz w:val="18"/>
          <w:szCs w:val="18"/>
        </w:rPr>
        <w:footnoteRef/>
      </w:r>
      <w:r w:rsidRPr="001D1481">
        <w:rPr>
          <w:rFonts w:ascii="Aptos" w:hAnsi="Aptos"/>
          <w:sz w:val="18"/>
          <w:szCs w:val="18"/>
        </w:rPr>
        <w:t xml:space="preserve"> </w:t>
      </w:r>
      <w:hyperlink r:id="rId32" w:history="1">
        <w:r w:rsidRPr="001D1481">
          <w:rPr>
            <w:rStyle w:val="Hyperlink"/>
            <w:rFonts w:ascii="Aptos" w:hAnsi="Aptos"/>
            <w:sz w:val="18"/>
            <w:szCs w:val="18"/>
          </w:rPr>
          <w:t>What Are AI Guardrails? Ensuring Safe and Ethical Generative AI - Mindgard</w:t>
        </w:r>
      </w:hyperlink>
      <w:r w:rsidRPr="001D1481">
        <w:rPr>
          <w:rFonts w:ascii="Aptos" w:hAnsi="Aptos"/>
          <w:sz w:val="18"/>
          <w:szCs w:val="18"/>
        </w:rPr>
        <w:t xml:space="preserve"> </w:t>
      </w:r>
    </w:p>
  </w:footnote>
  <w:footnote w:id="36">
    <w:p w14:paraId="7E41E915" w14:textId="1A822044" w:rsidR="001D1277" w:rsidRPr="001D1481" w:rsidRDefault="001D1277" w:rsidP="00686CF5">
      <w:pPr>
        <w:pStyle w:val="FootnoteText"/>
        <w:spacing w:line="269" w:lineRule="auto"/>
        <w:rPr>
          <w:rFonts w:ascii="Aptos" w:hAnsi="Aptos"/>
          <w:sz w:val="18"/>
          <w:szCs w:val="18"/>
        </w:rPr>
      </w:pPr>
      <w:r w:rsidRPr="001D1481">
        <w:rPr>
          <w:rStyle w:val="FootnoteReference"/>
          <w:rFonts w:ascii="Aptos" w:hAnsi="Aptos"/>
          <w:sz w:val="18"/>
          <w:szCs w:val="18"/>
        </w:rPr>
        <w:footnoteRef/>
      </w:r>
      <w:r w:rsidRPr="001D1481">
        <w:rPr>
          <w:rFonts w:ascii="Aptos" w:hAnsi="Aptos"/>
          <w:sz w:val="18"/>
          <w:szCs w:val="18"/>
        </w:rPr>
        <w:t xml:space="preserve"> Adapted from </w:t>
      </w:r>
      <w:hyperlink r:id="rId33" w:history="1">
        <w:r w:rsidRPr="001D1481">
          <w:rPr>
            <w:rStyle w:val="Hyperlink"/>
            <w:rFonts w:ascii="Aptos" w:hAnsi="Aptos"/>
            <w:sz w:val="18"/>
            <w:szCs w:val="18"/>
          </w:rPr>
          <w:t>https://home.treasury.gov/system/files/261/FSOC2023AnnualReport.pdf</w:t>
        </w:r>
      </w:hyperlink>
      <w:r w:rsidRPr="001D1481">
        <w:rPr>
          <w:rFonts w:ascii="Aptos" w:hAnsi="Aptos"/>
          <w:sz w:val="18"/>
          <w:szCs w:val="18"/>
        </w:rPr>
        <w:t xml:space="preserve"> and </w:t>
      </w:r>
      <w:hyperlink r:id="rId34" w:history="1">
        <w:r w:rsidRPr="001D1481">
          <w:rPr>
            <w:rStyle w:val="Hyperlink"/>
            <w:rFonts w:ascii="Aptos" w:hAnsi="Aptos"/>
            <w:sz w:val="18"/>
            <w:szCs w:val="18"/>
          </w:rPr>
          <w:t>https://home.treasury.gov/system/files/261/FSOC2024AnnualReport.pdf</w:t>
        </w:r>
      </w:hyperlink>
    </w:p>
  </w:footnote>
  <w:footnote w:id="37">
    <w:p w14:paraId="75C630B6" w14:textId="77777777" w:rsidR="001D1277" w:rsidRPr="001D1481" w:rsidRDefault="001D1277" w:rsidP="00686CF5">
      <w:pPr>
        <w:pStyle w:val="FootnoteText"/>
        <w:spacing w:line="269" w:lineRule="auto"/>
        <w:rPr>
          <w:rFonts w:ascii="Aptos" w:hAnsi="Aptos"/>
          <w:sz w:val="18"/>
          <w:szCs w:val="18"/>
        </w:rPr>
      </w:pPr>
      <w:r w:rsidRPr="001D1481">
        <w:rPr>
          <w:rStyle w:val="FootnoteReference"/>
          <w:rFonts w:ascii="Aptos" w:hAnsi="Aptos"/>
          <w:sz w:val="18"/>
          <w:szCs w:val="18"/>
        </w:rPr>
        <w:footnoteRef/>
      </w:r>
      <w:r w:rsidRPr="001D1481">
        <w:rPr>
          <w:rFonts w:ascii="Aptos" w:hAnsi="Aptos"/>
          <w:sz w:val="18"/>
          <w:szCs w:val="18"/>
        </w:rPr>
        <w:t xml:space="preserve"> Adapted from, </w:t>
      </w:r>
      <w:hyperlink r:id="rId35" w:history="1">
        <w:r w:rsidRPr="001D1481">
          <w:rPr>
            <w:rStyle w:val="Hyperlink"/>
            <w:rFonts w:ascii="Aptos" w:hAnsi="Aptos"/>
            <w:sz w:val="18"/>
            <w:szCs w:val="18"/>
          </w:rPr>
          <w:t>https://nvlpubs.nist.gov/nistpubs/ai/NIST.AI.100-1.pdf</w:t>
        </w:r>
      </w:hyperlink>
      <w:r w:rsidRPr="001D1481">
        <w:rPr>
          <w:rFonts w:ascii="Aptos" w:hAnsi="Aptos"/>
          <w:sz w:val="18"/>
          <w:szCs w:val="18"/>
        </w:rPr>
        <w:t xml:space="preserve"> </w:t>
      </w:r>
    </w:p>
  </w:footnote>
  <w:footnote w:id="38">
    <w:p w14:paraId="0BE5683A" w14:textId="77777777" w:rsidR="001D1277" w:rsidRPr="001D1481" w:rsidRDefault="001D1277" w:rsidP="00686CF5">
      <w:pPr>
        <w:pStyle w:val="FootnoteText"/>
        <w:spacing w:line="269" w:lineRule="auto"/>
        <w:rPr>
          <w:rFonts w:ascii="Aptos" w:hAnsi="Aptos"/>
          <w:sz w:val="18"/>
          <w:szCs w:val="18"/>
        </w:rPr>
      </w:pPr>
      <w:r w:rsidRPr="001D1481">
        <w:rPr>
          <w:rStyle w:val="FootnoteReference"/>
          <w:rFonts w:ascii="Aptos" w:hAnsi="Aptos"/>
          <w:sz w:val="18"/>
          <w:szCs w:val="18"/>
        </w:rPr>
        <w:footnoteRef/>
      </w:r>
      <w:r w:rsidRPr="001D1481">
        <w:rPr>
          <w:rFonts w:ascii="Aptos" w:hAnsi="Aptos"/>
          <w:sz w:val="18"/>
          <w:szCs w:val="18"/>
        </w:rPr>
        <w:t xml:space="preserve"> Adapted from, </w:t>
      </w:r>
      <w:hyperlink r:id="rId36" w:history="1">
        <w:r w:rsidRPr="001D1481">
          <w:rPr>
            <w:rStyle w:val="Hyperlink"/>
            <w:rFonts w:ascii="Aptos" w:hAnsi="Aptos"/>
            <w:sz w:val="18"/>
            <w:szCs w:val="18"/>
          </w:rPr>
          <w:t>https://nvlpubs.nist.gov/nistpubs/ai/NIST.AI.100-1.pdf</w:t>
        </w:r>
      </w:hyperlink>
      <w:r w:rsidRPr="001D1481">
        <w:rPr>
          <w:rFonts w:ascii="Aptos" w:hAnsi="Aptos"/>
          <w:sz w:val="18"/>
          <w:szCs w:val="18"/>
        </w:rPr>
        <w:t xml:space="preserve"> </w:t>
      </w:r>
    </w:p>
  </w:footnote>
  <w:footnote w:id="39">
    <w:p w14:paraId="7ADC3F5A" w14:textId="77777777" w:rsidR="001D1277" w:rsidRPr="001D1481" w:rsidRDefault="001D1277" w:rsidP="00686CF5">
      <w:pPr>
        <w:pStyle w:val="FootnoteText"/>
        <w:spacing w:line="269" w:lineRule="auto"/>
        <w:rPr>
          <w:rFonts w:ascii="Aptos" w:hAnsi="Aptos"/>
          <w:sz w:val="18"/>
          <w:szCs w:val="18"/>
        </w:rPr>
      </w:pPr>
      <w:r w:rsidRPr="001D1481">
        <w:rPr>
          <w:rStyle w:val="FootnoteReference"/>
          <w:rFonts w:ascii="Aptos" w:hAnsi="Aptos"/>
          <w:sz w:val="18"/>
          <w:szCs w:val="18"/>
        </w:rPr>
        <w:footnoteRef/>
      </w:r>
      <w:r w:rsidRPr="001D1481">
        <w:rPr>
          <w:rFonts w:ascii="Aptos" w:hAnsi="Aptos"/>
          <w:sz w:val="18"/>
          <w:szCs w:val="18"/>
        </w:rPr>
        <w:t xml:space="preserve"> </w:t>
      </w:r>
      <w:hyperlink r:id="rId37" w:history="1">
        <w:r w:rsidRPr="001D1481">
          <w:rPr>
            <w:rStyle w:val="Hyperlink"/>
            <w:rFonts w:ascii="Aptos" w:hAnsi="Aptos"/>
            <w:sz w:val="18"/>
            <w:szCs w:val="18"/>
          </w:rPr>
          <w:t>https://home.treasury.gov/system/files/261/FSOC2024AnnualReport.pdf</w:t>
        </w:r>
      </w:hyperlink>
      <w:r w:rsidRPr="001D1481">
        <w:rPr>
          <w:rFonts w:ascii="Aptos" w:hAnsi="Aptos"/>
          <w:sz w:val="18"/>
          <w:szCs w:val="18"/>
        </w:rPr>
        <w:t xml:space="preserve"> </w:t>
      </w:r>
    </w:p>
  </w:footnote>
  <w:footnote w:id="40">
    <w:p w14:paraId="6E774811" w14:textId="77777777" w:rsidR="001D1277" w:rsidRPr="001D1481" w:rsidRDefault="001D1277" w:rsidP="00686CF5">
      <w:pPr>
        <w:pStyle w:val="FootnoteText"/>
        <w:spacing w:line="269" w:lineRule="auto"/>
        <w:rPr>
          <w:rFonts w:ascii="Aptos" w:hAnsi="Aptos"/>
          <w:sz w:val="18"/>
          <w:szCs w:val="18"/>
        </w:rPr>
      </w:pPr>
      <w:r w:rsidRPr="001D1481">
        <w:rPr>
          <w:rStyle w:val="FootnoteReference"/>
          <w:rFonts w:ascii="Aptos" w:hAnsi="Aptos"/>
          <w:sz w:val="18"/>
          <w:szCs w:val="18"/>
        </w:rPr>
        <w:footnoteRef/>
      </w:r>
      <w:r w:rsidRPr="001D1481">
        <w:rPr>
          <w:rFonts w:ascii="Aptos" w:hAnsi="Aptos"/>
          <w:sz w:val="18"/>
          <w:szCs w:val="18"/>
        </w:rPr>
        <w:t xml:space="preserve"> Adapted from, </w:t>
      </w:r>
      <w:hyperlink r:id="rId38" w:history="1">
        <w:r w:rsidRPr="001D1481">
          <w:rPr>
            <w:rStyle w:val="Hyperlink"/>
            <w:rFonts w:ascii="Aptos" w:hAnsi="Aptos"/>
            <w:sz w:val="18"/>
            <w:szCs w:val="18"/>
          </w:rPr>
          <w:t>https://www.fsb.org/uploads/P011117.pdf</w:t>
        </w:r>
      </w:hyperlink>
      <w:r w:rsidRPr="001D1481">
        <w:rPr>
          <w:rFonts w:ascii="Aptos" w:hAnsi="Aptos"/>
          <w:sz w:val="18"/>
          <w:szCs w:val="18"/>
        </w:rPr>
        <w:t xml:space="preserve"> and </w:t>
      </w:r>
      <w:hyperlink r:id="rId39" w:history="1">
        <w:r w:rsidRPr="001D1481">
          <w:rPr>
            <w:rStyle w:val="Hyperlink"/>
            <w:rFonts w:ascii="Aptos" w:hAnsi="Aptos"/>
            <w:sz w:val="18"/>
            <w:szCs w:val="18"/>
          </w:rPr>
          <w:t>https://home.treasury.gov/system/files/261/FSOC2023AnnualReport.pdf</w:t>
        </w:r>
      </w:hyperlink>
    </w:p>
  </w:footnote>
  <w:footnote w:id="41">
    <w:p w14:paraId="7114B56D" w14:textId="77777777" w:rsidR="001D1277" w:rsidRPr="00686CF5" w:rsidRDefault="001D1277" w:rsidP="00686CF5">
      <w:pPr>
        <w:pStyle w:val="FootnoteText"/>
        <w:spacing w:line="269" w:lineRule="auto"/>
        <w:rPr>
          <w:rFonts w:ascii="Aptos" w:hAnsi="Aptos"/>
          <w:sz w:val="18"/>
          <w:szCs w:val="18"/>
        </w:rPr>
      </w:pPr>
      <w:r w:rsidRPr="001D1481">
        <w:rPr>
          <w:rStyle w:val="FootnoteReference"/>
          <w:rFonts w:ascii="Aptos" w:hAnsi="Aptos"/>
          <w:sz w:val="18"/>
          <w:szCs w:val="18"/>
        </w:rPr>
        <w:footnoteRef/>
      </w:r>
      <w:r w:rsidRPr="001D1481">
        <w:rPr>
          <w:rFonts w:ascii="Aptos" w:hAnsi="Aptos"/>
          <w:sz w:val="18"/>
          <w:szCs w:val="18"/>
        </w:rPr>
        <w:t xml:space="preserve"> </w:t>
      </w:r>
      <w:hyperlink r:id="rId40" w:history="1">
        <w:r w:rsidRPr="001D1481">
          <w:rPr>
            <w:rStyle w:val="Hyperlink"/>
            <w:rFonts w:ascii="Aptos" w:hAnsi="Aptos"/>
            <w:sz w:val="18"/>
            <w:szCs w:val="18"/>
          </w:rPr>
          <w:t>https://www.occ.treas.gov/publications-and-resources/publications/comptrollers-handbook/files/model-risk-management/pub-ch-model-risk.pdf</w:t>
        </w:r>
      </w:hyperlink>
      <w:r w:rsidRPr="00686CF5">
        <w:rPr>
          <w:rFonts w:ascii="Aptos" w:hAnsi="Aptos"/>
          <w:sz w:val="18"/>
          <w:szCs w:val="18"/>
        </w:rPr>
        <w:t xml:space="preserve"> </w:t>
      </w:r>
    </w:p>
  </w:footnote>
  <w:footnote w:id="42">
    <w:p w14:paraId="4280FD2D" w14:textId="77777777" w:rsidR="001D1277" w:rsidRPr="001D1481" w:rsidRDefault="001D1277" w:rsidP="00686CF5">
      <w:pPr>
        <w:pStyle w:val="FootnoteText"/>
        <w:spacing w:line="269" w:lineRule="auto"/>
        <w:rPr>
          <w:rFonts w:ascii="Aptos" w:hAnsi="Aptos"/>
          <w:sz w:val="18"/>
          <w:szCs w:val="18"/>
        </w:rPr>
      </w:pPr>
      <w:r w:rsidRPr="001D1481">
        <w:rPr>
          <w:rStyle w:val="FootnoteReference"/>
          <w:rFonts w:ascii="Aptos" w:hAnsi="Aptos"/>
          <w:sz w:val="18"/>
          <w:szCs w:val="18"/>
        </w:rPr>
        <w:footnoteRef/>
      </w:r>
      <w:r w:rsidRPr="001D1481">
        <w:rPr>
          <w:rFonts w:ascii="Aptos" w:hAnsi="Aptos"/>
          <w:sz w:val="18"/>
          <w:szCs w:val="18"/>
        </w:rPr>
        <w:t xml:space="preserve"> </w:t>
      </w:r>
      <w:hyperlink r:id="rId41" w:history="1">
        <w:r w:rsidRPr="001D1481">
          <w:rPr>
            <w:rStyle w:val="Hyperlink"/>
            <w:rFonts w:ascii="Aptos" w:hAnsi="Aptos"/>
            <w:sz w:val="18"/>
            <w:szCs w:val="18"/>
          </w:rPr>
          <w:t>https://www.openriskmanual.org/wiki/Model_Documentation</w:t>
        </w:r>
      </w:hyperlink>
      <w:r w:rsidRPr="001D1481">
        <w:rPr>
          <w:rFonts w:ascii="Aptos" w:hAnsi="Aptos"/>
          <w:sz w:val="18"/>
          <w:szCs w:val="18"/>
        </w:rPr>
        <w:t xml:space="preserve"> </w:t>
      </w:r>
    </w:p>
  </w:footnote>
  <w:footnote w:id="43">
    <w:p w14:paraId="697D7472" w14:textId="77777777" w:rsidR="001D1277" w:rsidRPr="001D1481" w:rsidRDefault="001D1277" w:rsidP="00686CF5">
      <w:pPr>
        <w:pStyle w:val="FootnoteText"/>
        <w:spacing w:line="269" w:lineRule="auto"/>
        <w:rPr>
          <w:rFonts w:ascii="Aptos" w:hAnsi="Aptos"/>
          <w:sz w:val="18"/>
          <w:szCs w:val="18"/>
        </w:rPr>
      </w:pPr>
      <w:r w:rsidRPr="001D1481">
        <w:rPr>
          <w:rStyle w:val="FootnoteReference"/>
          <w:rFonts w:ascii="Aptos" w:hAnsi="Aptos"/>
          <w:sz w:val="18"/>
          <w:szCs w:val="18"/>
        </w:rPr>
        <w:footnoteRef/>
      </w:r>
      <w:r w:rsidRPr="001D1481">
        <w:rPr>
          <w:rFonts w:ascii="Aptos" w:hAnsi="Aptos"/>
          <w:sz w:val="18"/>
          <w:szCs w:val="18"/>
        </w:rPr>
        <w:t xml:space="preserve"> </w:t>
      </w:r>
      <w:hyperlink r:id="rId42" w:history="1">
        <w:r w:rsidRPr="001D1481">
          <w:rPr>
            <w:rStyle w:val="Hyperlink"/>
            <w:rFonts w:ascii="Aptos" w:hAnsi="Aptos"/>
            <w:sz w:val="18"/>
            <w:szCs w:val="18"/>
          </w:rPr>
          <w:t>What Is Model Governance? | IBM</w:t>
        </w:r>
      </w:hyperlink>
    </w:p>
  </w:footnote>
  <w:footnote w:id="44">
    <w:p w14:paraId="0CE93619" w14:textId="77777777" w:rsidR="001D1277" w:rsidRPr="001D1481" w:rsidRDefault="001D1277" w:rsidP="00686CF5">
      <w:pPr>
        <w:pStyle w:val="FootnoteText"/>
        <w:spacing w:line="269" w:lineRule="auto"/>
        <w:rPr>
          <w:rFonts w:ascii="Aptos" w:hAnsi="Aptos"/>
          <w:sz w:val="18"/>
          <w:szCs w:val="18"/>
        </w:rPr>
      </w:pPr>
      <w:r w:rsidRPr="001D1481">
        <w:rPr>
          <w:rStyle w:val="FootnoteReference"/>
          <w:rFonts w:ascii="Aptos" w:hAnsi="Aptos"/>
          <w:sz w:val="18"/>
          <w:szCs w:val="18"/>
        </w:rPr>
        <w:footnoteRef/>
      </w:r>
      <w:r w:rsidRPr="001D1481">
        <w:rPr>
          <w:rFonts w:ascii="Aptos" w:hAnsi="Aptos"/>
          <w:sz w:val="18"/>
          <w:szCs w:val="18"/>
        </w:rPr>
        <w:t xml:space="preserve"> </w:t>
      </w:r>
      <w:hyperlink r:id="rId43" w:history="1">
        <w:r w:rsidRPr="001D1481">
          <w:rPr>
            <w:rStyle w:val="Hyperlink"/>
            <w:rFonts w:ascii="Aptos" w:hAnsi="Aptos"/>
            <w:sz w:val="18"/>
            <w:szCs w:val="18"/>
          </w:rPr>
          <w:t>https://www.nccoe.nist.gov/publication/1800-25/VolA/index.html</w:t>
        </w:r>
      </w:hyperlink>
      <w:r w:rsidRPr="001D1481">
        <w:rPr>
          <w:rFonts w:ascii="Aptos" w:hAnsi="Aptos"/>
          <w:sz w:val="18"/>
          <w:szCs w:val="18"/>
        </w:rPr>
        <w:t xml:space="preserve"> </w:t>
      </w:r>
    </w:p>
  </w:footnote>
  <w:footnote w:id="45">
    <w:p w14:paraId="69CD1A25" w14:textId="77777777" w:rsidR="001D1277" w:rsidRPr="001D1481" w:rsidRDefault="001D1277" w:rsidP="00686CF5">
      <w:pPr>
        <w:pStyle w:val="FootnoteText"/>
        <w:spacing w:line="269" w:lineRule="auto"/>
        <w:rPr>
          <w:rFonts w:ascii="Aptos" w:hAnsi="Aptos"/>
          <w:sz w:val="18"/>
          <w:szCs w:val="18"/>
        </w:rPr>
      </w:pPr>
      <w:r w:rsidRPr="001D1481">
        <w:rPr>
          <w:rStyle w:val="FootnoteReference"/>
          <w:rFonts w:ascii="Aptos" w:hAnsi="Aptos"/>
          <w:sz w:val="18"/>
          <w:szCs w:val="18"/>
        </w:rPr>
        <w:footnoteRef/>
      </w:r>
      <w:r w:rsidRPr="001D1481">
        <w:rPr>
          <w:rFonts w:ascii="Aptos" w:hAnsi="Aptos"/>
          <w:sz w:val="18"/>
          <w:szCs w:val="18"/>
        </w:rPr>
        <w:t xml:space="preserve"> </w:t>
      </w:r>
      <w:hyperlink r:id="rId44" w:history="1">
        <w:r w:rsidRPr="001D1481">
          <w:rPr>
            <w:rStyle w:val="Hyperlink"/>
            <w:rFonts w:ascii="Aptos" w:hAnsi="Aptos"/>
            <w:sz w:val="18"/>
            <w:szCs w:val="18"/>
          </w:rPr>
          <w:t>Small Business Information Security: the Fundamentals</w:t>
        </w:r>
      </w:hyperlink>
      <w:r w:rsidRPr="001D1481">
        <w:rPr>
          <w:rFonts w:ascii="Aptos" w:hAnsi="Aptos"/>
          <w:sz w:val="18"/>
          <w:szCs w:val="18"/>
        </w:rPr>
        <w:t xml:space="preserve"> </w:t>
      </w:r>
    </w:p>
  </w:footnote>
  <w:footnote w:id="46">
    <w:p w14:paraId="15F61229" w14:textId="77777777" w:rsidR="001D1277" w:rsidRPr="001D1481" w:rsidRDefault="001D1277" w:rsidP="00686CF5">
      <w:pPr>
        <w:pStyle w:val="FootnoteText"/>
        <w:spacing w:line="269" w:lineRule="auto"/>
        <w:rPr>
          <w:rFonts w:ascii="Aptos" w:hAnsi="Aptos"/>
          <w:sz w:val="18"/>
          <w:szCs w:val="18"/>
        </w:rPr>
      </w:pPr>
      <w:r w:rsidRPr="001D1481">
        <w:rPr>
          <w:rStyle w:val="FootnoteReference"/>
          <w:rFonts w:ascii="Aptos" w:hAnsi="Aptos"/>
          <w:sz w:val="18"/>
          <w:szCs w:val="18"/>
        </w:rPr>
        <w:footnoteRef/>
      </w:r>
      <w:r w:rsidRPr="001D1481">
        <w:rPr>
          <w:rFonts w:ascii="Aptos" w:hAnsi="Aptos"/>
          <w:sz w:val="18"/>
          <w:szCs w:val="18"/>
        </w:rPr>
        <w:t xml:space="preserve"> </w:t>
      </w:r>
      <w:hyperlink r:id="rId45" w:history="1">
        <w:r w:rsidRPr="001D1481">
          <w:rPr>
            <w:rStyle w:val="Hyperlink"/>
            <w:rFonts w:ascii="Aptos" w:hAnsi="Aptos"/>
            <w:sz w:val="18"/>
            <w:szCs w:val="18"/>
          </w:rPr>
          <w:t>Model Risk Management, Comptroller's Handbook</w:t>
        </w:r>
      </w:hyperlink>
    </w:p>
  </w:footnote>
  <w:footnote w:id="47">
    <w:p w14:paraId="1436EB8D" w14:textId="77777777" w:rsidR="001D1277" w:rsidRPr="001D1481" w:rsidRDefault="001D1277" w:rsidP="00686CF5">
      <w:pPr>
        <w:pStyle w:val="FootnoteText"/>
        <w:spacing w:line="269" w:lineRule="auto"/>
        <w:rPr>
          <w:rFonts w:ascii="Aptos" w:hAnsi="Aptos"/>
          <w:sz w:val="18"/>
          <w:szCs w:val="18"/>
        </w:rPr>
      </w:pPr>
      <w:r w:rsidRPr="001D1481">
        <w:rPr>
          <w:rStyle w:val="FootnoteReference"/>
          <w:rFonts w:ascii="Aptos" w:hAnsi="Aptos"/>
          <w:sz w:val="18"/>
          <w:szCs w:val="18"/>
        </w:rPr>
        <w:footnoteRef/>
      </w:r>
      <w:r w:rsidRPr="001D1481">
        <w:rPr>
          <w:rFonts w:ascii="Aptos" w:hAnsi="Aptos"/>
          <w:sz w:val="18"/>
          <w:szCs w:val="18"/>
        </w:rPr>
        <w:t xml:space="preserve"> </w:t>
      </w:r>
      <w:hyperlink r:id="rId46" w:history="1">
        <w:r w:rsidRPr="001D1481">
          <w:rPr>
            <w:rStyle w:val="Hyperlink"/>
            <w:rFonts w:ascii="Aptos" w:hAnsi="Aptos"/>
            <w:sz w:val="18"/>
            <w:szCs w:val="18"/>
          </w:rPr>
          <w:t>Summary Report: Standards Requirements Gathering Workshop for Natural Language Analysis</w:t>
        </w:r>
      </w:hyperlink>
    </w:p>
  </w:footnote>
  <w:footnote w:id="48">
    <w:p w14:paraId="3A453A2F" w14:textId="77777777" w:rsidR="001D1277" w:rsidRPr="001D1481" w:rsidRDefault="001D1277" w:rsidP="00686CF5">
      <w:pPr>
        <w:pStyle w:val="FootnoteText"/>
        <w:spacing w:line="269" w:lineRule="auto"/>
        <w:rPr>
          <w:rFonts w:ascii="Aptos" w:hAnsi="Aptos"/>
          <w:sz w:val="18"/>
          <w:szCs w:val="18"/>
        </w:rPr>
      </w:pPr>
      <w:r w:rsidRPr="001D1481">
        <w:rPr>
          <w:rStyle w:val="FootnoteReference"/>
          <w:rFonts w:ascii="Aptos" w:hAnsi="Aptos"/>
          <w:sz w:val="18"/>
          <w:szCs w:val="18"/>
        </w:rPr>
        <w:footnoteRef/>
      </w:r>
      <w:r w:rsidRPr="001D1481">
        <w:rPr>
          <w:rFonts w:ascii="Aptos" w:hAnsi="Aptos"/>
          <w:sz w:val="18"/>
          <w:szCs w:val="18"/>
        </w:rPr>
        <w:t xml:space="preserve"> </w:t>
      </w:r>
      <w:hyperlink r:id="rId47" w:history="1">
        <w:r w:rsidRPr="001D1481">
          <w:rPr>
            <w:rStyle w:val="Hyperlink"/>
            <w:rFonts w:ascii="Aptos" w:hAnsi="Aptos"/>
            <w:sz w:val="18"/>
            <w:szCs w:val="18"/>
          </w:rPr>
          <w:t>Model Risk Management, Comptroller's Handbook</w:t>
        </w:r>
      </w:hyperlink>
    </w:p>
  </w:footnote>
  <w:footnote w:id="49">
    <w:p w14:paraId="0CD5F7AA" w14:textId="77777777" w:rsidR="001D1277" w:rsidRPr="001D1481" w:rsidRDefault="001D1277" w:rsidP="00686CF5">
      <w:pPr>
        <w:pStyle w:val="FootnoteText"/>
        <w:spacing w:line="269" w:lineRule="auto"/>
        <w:rPr>
          <w:rFonts w:ascii="Aptos" w:hAnsi="Aptos"/>
          <w:sz w:val="18"/>
          <w:szCs w:val="18"/>
        </w:rPr>
      </w:pPr>
      <w:r w:rsidRPr="001D1481">
        <w:rPr>
          <w:rStyle w:val="FootnoteReference"/>
          <w:rFonts w:ascii="Aptos" w:hAnsi="Aptos"/>
          <w:sz w:val="18"/>
          <w:szCs w:val="18"/>
        </w:rPr>
        <w:footnoteRef/>
      </w:r>
      <w:r w:rsidRPr="001D1481">
        <w:rPr>
          <w:rFonts w:ascii="Aptos" w:hAnsi="Aptos"/>
          <w:sz w:val="18"/>
          <w:szCs w:val="18"/>
        </w:rPr>
        <w:t xml:space="preserve"> Adapted from, </w:t>
      </w:r>
      <w:hyperlink r:id="rId48" w:history="1">
        <w:r w:rsidRPr="001D1481">
          <w:rPr>
            <w:rStyle w:val="Hyperlink"/>
            <w:rFonts w:ascii="Aptos" w:hAnsi="Aptos"/>
            <w:sz w:val="18"/>
            <w:szCs w:val="18"/>
          </w:rPr>
          <w:t>AI Test, Evaluation, Validation and Verification (TEVV) | NIST</w:t>
        </w:r>
      </w:hyperlink>
    </w:p>
  </w:footnote>
  <w:footnote w:id="50">
    <w:p w14:paraId="7A744F81" w14:textId="77777777" w:rsidR="001D1277" w:rsidRPr="001D1481" w:rsidRDefault="001D1277" w:rsidP="00686CF5">
      <w:pPr>
        <w:pStyle w:val="FootnoteText"/>
        <w:spacing w:line="269" w:lineRule="auto"/>
        <w:rPr>
          <w:rFonts w:ascii="Aptos" w:hAnsi="Aptos"/>
          <w:sz w:val="18"/>
          <w:szCs w:val="18"/>
        </w:rPr>
      </w:pPr>
      <w:r w:rsidRPr="001D1481">
        <w:rPr>
          <w:rStyle w:val="FootnoteReference"/>
          <w:rFonts w:ascii="Aptos" w:hAnsi="Aptos"/>
          <w:sz w:val="18"/>
          <w:szCs w:val="18"/>
        </w:rPr>
        <w:footnoteRef/>
      </w:r>
      <w:r w:rsidRPr="001D1481">
        <w:rPr>
          <w:rFonts w:ascii="Aptos" w:hAnsi="Aptos"/>
          <w:sz w:val="18"/>
          <w:szCs w:val="18"/>
        </w:rPr>
        <w:t xml:space="preserve"> </w:t>
      </w:r>
      <w:hyperlink r:id="rId49">
        <w:r w:rsidRPr="001D1481">
          <w:rPr>
            <w:rStyle w:val="Hyperlink"/>
            <w:rFonts w:ascii="Aptos" w:hAnsi="Aptos"/>
            <w:sz w:val="18"/>
            <w:szCs w:val="18"/>
          </w:rPr>
          <w:t>Artificial Intelligence Risk Management Framework (AI RMF 1.0)</w:t>
        </w:r>
      </w:hyperlink>
    </w:p>
  </w:footnote>
  <w:footnote w:id="51">
    <w:p w14:paraId="5B1B0032" w14:textId="77777777" w:rsidR="001D1277" w:rsidRPr="001D1481" w:rsidRDefault="001D1277" w:rsidP="00686CF5">
      <w:pPr>
        <w:pStyle w:val="FootnoteText"/>
        <w:spacing w:line="269" w:lineRule="auto"/>
        <w:rPr>
          <w:rFonts w:ascii="Aptos" w:hAnsi="Aptos"/>
          <w:sz w:val="18"/>
          <w:szCs w:val="18"/>
        </w:rPr>
      </w:pPr>
      <w:r w:rsidRPr="001D1481">
        <w:rPr>
          <w:rStyle w:val="FootnoteReference"/>
          <w:rFonts w:ascii="Aptos" w:hAnsi="Aptos"/>
          <w:sz w:val="18"/>
          <w:szCs w:val="18"/>
        </w:rPr>
        <w:footnoteRef/>
      </w:r>
      <w:r w:rsidRPr="001D1481">
        <w:rPr>
          <w:rFonts w:ascii="Aptos" w:hAnsi="Aptos"/>
          <w:sz w:val="18"/>
          <w:szCs w:val="18"/>
        </w:rPr>
        <w:t xml:space="preserve"> </w:t>
      </w:r>
      <w:hyperlink r:id="rId50" w:history="1">
        <w:r w:rsidRPr="001D1481">
          <w:rPr>
            <w:rStyle w:val="Hyperlink"/>
            <w:rFonts w:ascii="Aptos" w:hAnsi="Aptos"/>
            <w:sz w:val="18"/>
            <w:szCs w:val="18"/>
          </w:rPr>
          <w:t>Model Risk Management, Comptroller's Handbook</w:t>
        </w:r>
      </w:hyperlink>
      <w:r w:rsidRPr="001D1481">
        <w:rPr>
          <w:rFonts w:ascii="Aptos" w:hAnsi="Aptos"/>
          <w:sz w:val="18"/>
          <w:szCs w:val="18"/>
        </w:rPr>
        <w:t xml:space="preserve"> </w:t>
      </w:r>
    </w:p>
  </w:footnote>
  <w:footnote w:id="52">
    <w:p w14:paraId="30449A6D" w14:textId="77777777" w:rsidR="001D1277" w:rsidRPr="001D1481" w:rsidRDefault="001D1277" w:rsidP="00686CF5">
      <w:pPr>
        <w:pStyle w:val="FootnoteText"/>
        <w:spacing w:line="269" w:lineRule="auto"/>
        <w:rPr>
          <w:rFonts w:ascii="Aptos" w:hAnsi="Aptos"/>
          <w:sz w:val="18"/>
          <w:szCs w:val="18"/>
        </w:rPr>
      </w:pPr>
      <w:r w:rsidRPr="001D1481">
        <w:rPr>
          <w:rStyle w:val="FootnoteReference"/>
          <w:rFonts w:ascii="Aptos" w:hAnsi="Aptos"/>
          <w:sz w:val="18"/>
          <w:szCs w:val="18"/>
        </w:rPr>
        <w:footnoteRef/>
      </w:r>
      <w:r w:rsidRPr="001D1481">
        <w:rPr>
          <w:rFonts w:ascii="Aptos" w:hAnsi="Aptos"/>
          <w:sz w:val="18"/>
          <w:szCs w:val="18"/>
        </w:rPr>
        <w:t xml:space="preserve"> </w:t>
      </w:r>
      <w:hyperlink r:id="rId51" w:history="1">
        <w:r w:rsidRPr="001D1481">
          <w:rPr>
            <w:rStyle w:val="Hyperlink"/>
            <w:rFonts w:ascii="Aptos" w:hAnsi="Aptos"/>
            <w:sz w:val="18"/>
            <w:szCs w:val="18"/>
          </w:rPr>
          <w:t>Managing Artificial Intelligence-Specific Cybersecurity Risks in the Financial Services Sector</w:t>
        </w:r>
      </w:hyperlink>
    </w:p>
  </w:footnote>
  <w:footnote w:id="53">
    <w:p w14:paraId="52E50650" w14:textId="77777777" w:rsidR="001D1277" w:rsidRPr="001D1481" w:rsidRDefault="001D1277" w:rsidP="00686CF5">
      <w:pPr>
        <w:pStyle w:val="FootnoteText"/>
        <w:spacing w:line="269" w:lineRule="auto"/>
        <w:rPr>
          <w:rFonts w:ascii="Aptos" w:hAnsi="Aptos"/>
          <w:sz w:val="18"/>
          <w:szCs w:val="18"/>
        </w:rPr>
      </w:pPr>
      <w:r w:rsidRPr="001D1481">
        <w:rPr>
          <w:rStyle w:val="FootnoteReference"/>
          <w:rFonts w:ascii="Aptos" w:hAnsi="Aptos"/>
          <w:sz w:val="18"/>
          <w:szCs w:val="18"/>
        </w:rPr>
        <w:footnoteRef/>
      </w:r>
      <w:r w:rsidRPr="001D1481">
        <w:rPr>
          <w:rFonts w:ascii="Aptos" w:hAnsi="Aptos"/>
          <w:sz w:val="18"/>
          <w:szCs w:val="18"/>
        </w:rPr>
        <w:t xml:space="preserve"> Adapted from, </w:t>
      </w:r>
      <w:hyperlink r:id="rId52" w:history="1">
        <w:r w:rsidRPr="001D1481">
          <w:rPr>
            <w:rStyle w:val="Hyperlink"/>
            <w:rFonts w:ascii="Aptos" w:hAnsi="Aptos"/>
            <w:sz w:val="18"/>
            <w:szCs w:val="18"/>
          </w:rPr>
          <w:t>direct prompting attack - Glossary | CSRC</w:t>
        </w:r>
      </w:hyperlink>
      <w:r w:rsidRPr="001D1481">
        <w:rPr>
          <w:rFonts w:ascii="Aptos" w:hAnsi="Aptos"/>
          <w:sz w:val="18"/>
          <w:szCs w:val="18"/>
        </w:rPr>
        <w:t xml:space="preserve"> </w:t>
      </w:r>
    </w:p>
  </w:footnote>
  <w:footnote w:id="54">
    <w:p w14:paraId="20EE590D" w14:textId="77777777" w:rsidR="001D1277" w:rsidRPr="00686CF5" w:rsidRDefault="001D1277" w:rsidP="00686CF5">
      <w:pPr>
        <w:pStyle w:val="FootnoteText"/>
        <w:spacing w:line="269" w:lineRule="auto"/>
        <w:rPr>
          <w:rFonts w:ascii="Aptos" w:hAnsi="Aptos"/>
          <w:sz w:val="18"/>
          <w:szCs w:val="18"/>
        </w:rPr>
      </w:pPr>
      <w:r w:rsidRPr="001D1481">
        <w:rPr>
          <w:rStyle w:val="FootnoteReference"/>
          <w:rFonts w:ascii="Aptos" w:hAnsi="Aptos"/>
          <w:sz w:val="18"/>
          <w:szCs w:val="18"/>
        </w:rPr>
        <w:footnoteRef/>
      </w:r>
      <w:hyperlink r:id="rId53" w:history="1">
        <w:r w:rsidRPr="001D1481">
          <w:rPr>
            <w:rStyle w:val="Hyperlink"/>
            <w:rFonts w:ascii="Aptos" w:hAnsi="Aptos"/>
            <w:sz w:val="18"/>
            <w:szCs w:val="18"/>
          </w:rPr>
          <w:t>Artificial Intelligence Risk Management Framework (AI RMF 1.0)</w:t>
        </w:r>
      </w:hyperlink>
    </w:p>
  </w:footnote>
  <w:footnote w:id="55">
    <w:p w14:paraId="72DB1B44" w14:textId="77777777" w:rsidR="001D1277" w:rsidRPr="001D1481" w:rsidRDefault="001D1277" w:rsidP="00686CF5">
      <w:pPr>
        <w:pStyle w:val="FootnoteText"/>
        <w:spacing w:line="269" w:lineRule="auto"/>
        <w:rPr>
          <w:rFonts w:ascii="Aptos" w:hAnsi="Aptos"/>
          <w:sz w:val="18"/>
          <w:szCs w:val="18"/>
        </w:rPr>
      </w:pPr>
      <w:r w:rsidRPr="001D1481">
        <w:rPr>
          <w:rStyle w:val="FootnoteReference"/>
          <w:rFonts w:ascii="Aptos" w:hAnsi="Aptos"/>
          <w:sz w:val="18"/>
          <w:szCs w:val="18"/>
        </w:rPr>
        <w:footnoteRef/>
      </w:r>
      <w:r w:rsidRPr="001D1481">
        <w:rPr>
          <w:rFonts w:ascii="Aptos" w:hAnsi="Aptos"/>
          <w:sz w:val="18"/>
          <w:szCs w:val="18"/>
        </w:rPr>
        <w:t xml:space="preserve"> </w:t>
      </w:r>
      <w:hyperlink r:id="rId54" w:history="1">
        <w:r w:rsidRPr="001D1481">
          <w:rPr>
            <w:rStyle w:val="Hyperlink"/>
            <w:rFonts w:ascii="Aptos" w:hAnsi="Aptos"/>
            <w:sz w:val="18"/>
            <w:szCs w:val="18"/>
          </w:rPr>
          <w:t>What is RAG? - Retrieval-Augmented Generation AI Explained - AWS</w:t>
        </w:r>
      </w:hyperlink>
    </w:p>
  </w:footnote>
  <w:footnote w:id="56">
    <w:p w14:paraId="5AB1EDD9" w14:textId="77777777" w:rsidR="001D1277" w:rsidRPr="001D1481" w:rsidRDefault="001D1277" w:rsidP="00686CF5">
      <w:pPr>
        <w:pStyle w:val="FootnoteText"/>
        <w:spacing w:line="269" w:lineRule="auto"/>
        <w:rPr>
          <w:rFonts w:ascii="Aptos" w:hAnsi="Aptos"/>
          <w:sz w:val="18"/>
          <w:szCs w:val="18"/>
        </w:rPr>
      </w:pPr>
      <w:r w:rsidRPr="001D1481">
        <w:rPr>
          <w:rStyle w:val="FootnoteReference"/>
          <w:rFonts w:ascii="Aptos" w:hAnsi="Aptos"/>
          <w:sz w:val="18"/>
          <w:szCs w:val="18"/>
        </w:rPr>
        <w:footnoteRef/>
      </w:r>
      <w:r w:rsidRPr="001D1481">
        <w:rPr>
          <w:rFonts w:ascii="Aptos" w:hAnsi="Aptos"/>
          <w:sz w:val="18"/>
          <w:szCs w:val="18"/>
        </w:rPr>
        <w:t xml:space="preserve"> </w:t>
      </w:r>
      <w:hyperlink r:id="rId55" w:history="1">
        <w:r w:rsidRPr="001D1481">
          <w:rPr>
            <w:rStyle w:val="Hyperlink"/>
            <w:rFonts w:ascii="Aptos" w:hAnsi="Aptos"/>
            <w:sz w:val="18"/>
            <w:szCs w:val="18"/>
          </w:rPr>
          <w:t>CNSSI 4009</w:t>
        </w:r>
      </w:hyperlink>
      <w:r w:rsidRPr="001D1481">
        <w:rPr>
          <w:rFonts w:ascii="Aptos" w:hAnsi="Aptos"/>
          <w:sz w:val="18"/>
          <w:szCs w:val="18"/>
        </w:rPr>
        <w:t>, p.184</w:t>
      </w:r>
    </w:p>
  </w:footnote>
  <w:footnote w:id="57">
    <w:p w14:paraId="3981CE32" w14:textId="77777777" w:rsidR="001D1277" w:rsidRPr="001D1481" w:rsidRDefault="001D1277" w:rsidP="00686CF5">
      <w:pPr>
        <w:pStyle w:val="FootnoteText"/>
        <w:spacing w:line="269" w:lineRule="auto"/>
        <w:rPr>
          <w:rFonts w:ascii="Aptos" w:hAnsi="Aptos"/>
          <w:sz w:val="18"/>
          <w:szCs w:val="18"/>
        </w:rPr>
      </w:pPr>
      <w:r w:rsidRPr="001D1481">
        <w:rPr>
          <w:rStyle w:val="FootnoteReference"/>
          <w:rFonts w:ascii="Aptos" w:hAnsi="Aptos"/>
          <w:sz w:val="18"/>
          <w:szCs w:val="18"/>
        </w:rPr>
        <w:footnoteRef/>
      </w:r>
      <w:r w:rsidRPr="001D1481">
        <w:rPr>
          <w:rFonts w:ascii="Aptos" w:hAnsi="Aptos"/>
          <w:sz w:val="18"/>
          <w:szCs w:val="18"/>
        </w:rPr>
        <w:t xml:space="preserve"> </w:t>
      </w:r>
      <w:hyperlink r:id="rId56" w:history="1">
        <w:r w:rsidRPr="001D1481">
          <w:rPr>
            <w:rStyle w:val="Hyperlink"/>
            <w:rFonts w:ascii="Aptos" w:hAnsi="Aptos"/>
            <w:sz w:val="18"/>
            <w:szCs w:val="18"/>
          </w:rPr>
          <w:t>6250_PA_Glossary_AI_Terms</w:t>
        </w:r>
      </w:hyperlink>
      <w:r w:rsidRPr="001D1481">
        <w:rPr>
          <w:rFonts w:ascii="Aptos" w:hAnsi="Aptos"/>
          <w:sz w:val="18"/>
          <w:szCs w:val="18"/>
        </w:rPr>
        <w:t xml:space="preserve"> </w:t>
      </w:r>
    </w:p>
  </w:footnote>
  <w:footnote w:id="58">
    <w:p w14:paraId="6F07FFB6" w14:textId="77777777" w:rsidR="001D1277" w:rsidRPr="001D1481" w:rsidRDefault="001D1277" w:rsidP="00686CF5">
      <w:pPr>
        <w:pStyle w:val="FootnoteText"/>
        <w:spacing w:line="269" w:lineRule="auto"/>
        <w:rPr>
          <w:rFonts w:ascii="Aptos" w:hAnsi="Aptos"/>
          <w:sz w:val="18"/>
          <w:szCs w:val="18"/>
        </w:rPr>
      </w:pPr>
      <w:r w:rsidRPr="001D1481">
        <w:rPr>
          <w:rStyle w:val="FootnoteReference"/>
          <w:rFonts w:ascii="Aptos" w:hAnsi="Aptos"/>
          <w:sz w:val="18"/>
          <w:szCs w:val="18"/>
        </w:rPr>
        <w:footnoteRef/>
      </w:r>
      <w:r w:rsidRPr="001D1481">
        <w:rPr>
          <w:rFonts w:ascii="Aptos" w:hAnsi="Aptos"/>
          <w:sz w:val="18"/>
          <w:szCs w:val="18"/>
        </w:rPr>
        <w:t xml:space="preserve"> </w:t>
      </w:r>
      <w:hyperlink r:id="rId57" w:history="1">
        <w:r w:rsidRPr="001D1481">
          <w:rPr>
            <w:rStyle w:val="Hyperlink"/>
            <w:rFonts w:ascii="Aptos" w:hAnsi="Aptos"/>
            <w:sz w:val="18"/>
            <w:szCs w:val="18"/>
          </w:rPr>
          <w:t>https://www.uschamber.com/co/run/technology/traditional-ai-vs-generative-ai</w:t>
        </w:r>
      </w:hyperlink>
      <w:r w:rsidRPr="001D1481">
        <w:rPr>
          <w:rFonts w:ascii="Aptos" w:hAnsi="Aptos"/>
          <w:sz w:val="18"/>
          <w:szCs w:val="18"/>
        </w:rPr>
        <w:t xml:space="preserve"> </w:t>
      </w:r>
    </w:p>
  </w:footnote>
  <w:footnote w:id="59">
    <w:p w14:paraId="20E9D64A" w14:textId="77777777" w:rsidR="001D1277" w:rsidRPr="001D1481" w:rsidRDefault="001D1277" w:rsidP="00686CF5">
      <w:pPr>
        <w:pStyle w:val="FootnoteText"/>
        <w:spacing w:line="269" w:lineRule="auto"/>
        <w:rPr>
          <w:rFonts w:ascii="Aptos" w:hAnsi="Aptos"/>
          <w:sz w:val="18"/>
          <w:szCs w:val="18"/>
        </w:rPr>
      </w:pPr>
      <w:r w:rsidRPr="001D1481">
        <w:rPr>
          <w:rStyle w:val="FootnoteReference"/>
          <w:rFonts w:ascii="Aptos" w:hAnsi="Aptos"/>
          <w:sz w:val="18"/>
          <w:szCs w:val="18"/>
        </w:rPr>
        <w:footnoteRef/>
      </w:r>
      <w:r w:rsidRPr="001D1481">
        <w:rPr>
          <w:rFonts w:ascii="Aptos" w:hAnsi="Aptos"/>
          <w:sz w:val="18"/>
          <w:szCs w:val="18"/>
        </w:rPr>
        <w:t xml:space="preserve"> </w:t>
      </w:r>
      <w:hyperlink r:id="rId58" w:anchor="iso:std:iso-iec:22989:dis:ed-1:v1:en" w:history="1">
        <w:r w:rsidRPr="001D1481">
          <w:rPr>
            <w:rFonts w:ascii="Aptos" w:eastAsia="Times New Roman" w:hAnsi="Aptos" w:cs="Calibri"/>
            <w:color w:val="0563C1"/>
            <w:sz w:val="18"/>
            <w:szCs w:val="18"/>
            <w:u w:val="single"/>
          </w:rPr>
          <w:t>ISO/IEC DIS 22989(en), Information technology — Artificial intelligence — Artificial intelligence concepts and terminology</w:t>
        </w:r>
      </w:hyperlink>
    </w:p>
  </w:footnote>
  <w:footnote w:id="60">
    <w:p w14:paraId="231217E7" w14:textId="77777777" w:rsidR="001D1277" w:rsidRPr="001D1481" w:rsidRDefault="001D1277" w:rsidP="004C15D6">
      <w:pPr>
        <w:pStyle w:val="FootnoteText"/>
        <w:spacing w:line="269" w:lineRule="auto"/>
        <w:rPr>
          <w:rFonts w:ascii="Aptos" w:hAnsi="Aptos"/>
          <w:sz w:val="18"/>
          <w:szCs w:val="18"/>
        </w:rPr>
      </w:pPr>
      <w:r w:rsidRPr="001D1481">
        <w:rPr>
          <w:rStyle w:val="FootnoteReference"/>
          <w:rFonts w:ascii="Aptos" w:hAnsi="Aptos"/>
          <w:sz w:val="18"/>
          <w:szCs w:val="18"/>
        </w:rPr>
        <w:footnoteRef/>
      </w:r>
      <w:r w:rsidRPr="001D1481">
        <w:rPr>
          <w:rFonts w:ascii="Aptos" w:hAnsi="Aptos"/>
          <w:sz w:val="18"/>
          <w:szCs w:val="18"/>
        </w:rPr>
        <w:t xml:space="preserve"> </w:t>
      </w:r>
      <w:hyperlink r:id="rId59" w:history="1">
        <w:r w:rsidRPr="001D1481">
          <w:rPr>
            <w:rStyle w:val="Hyperlink"/>
            <w:rFonts w:ascii="Aptos" w:hAnsi="Aptos"/>
            <w:sz w:val="18"/>
            <w:szCs w:val="18"/>
          </w:rPr>
          <w:t>Glossary: Unstructured Data | resources.data.gov</w:t>
        </w:r>
      </w:hyperlink>
      <w:r w:rsidRPr="001D1481">
        <w:rPr>
          <w:rFonts w:ascii="Aptos" w:hAnsi="Aptos"/>
          <w:sz w:val="18"/>
          <w:szCs w:val="18"/>
        </w:rPr>
        <w:t xml:space="preserve"> </w:t>
      </w:r>
    </w:p>
  </w:footnote>
  <w:footnote w:id="61">
    <w:p w14:paraId="0F226920" w14:textId="77777777" w:rsidR="001D1277" w:rsidRPr="001D1481" w:rsidRDefault="001D1277" w:rsidP="004C15D6">
      <w:pPr>
        <w:pStyle w:val="FootnoteText"/>
        <w:spacing w:line="269" w:lineRule="auto"/>
        <w:rPr>
          <w:rFonts w:ascii="Aptos" w:hAnsi="Aptos"/>
          <w:sz w:val="18"/>
          <w:szCs w:val="18"/>
        </w:rPr>
      </w:pPr>
      <w:r w:rsidRPr="001D1481">
        <w:rPr>
          <w:rStyle w:val="FootnoteReference"/>
          <w:rFonts w:ascii="Aptos" w:hAnsi="Aptos"/>
          <w:sz w:val="18"/>
          <w:szCs w:val="18"/>
        </w:rPr>
        <w:footnoteRef/>
      </w:r>
      <w:r w:rsidRPr="001D1481">
        <w:rPr>
          <w:rFonts w:ascii="Aptos" w:hAnsi="Aptos"/>
          <w:sz w:val="18"/>
          <w:szCs w:val="18"/>
        </w:rPr>
        <w:t xml:space="preserve"> </w:t>
      </w:r>
      <w:hyperlink r:id="rId60" w:history="1">
        <w:r w:rsidRPr="001D1481">
          <w:rPr>
            <w:rStyle w:val="Hyperlink"/>
            <w:rFonts w:ascii="Aptos" w:hAnsi="Aptos"/>
            <w:sz w:val="18"/>
            <w:szCs w:val="18"/>
          </w:rPr>
          <w:t>https://www.iso.org/standard/45481.html</w:t>
        </w:r>
      </w:hyperlink>
      <w:r w:rsidRPr="001D1481">
        <w:rPr>
          <w:rFonts w:ascii="Aptos" w:hAnsi="Aptos"/>
          <w:sz w:val="18"/>
          <w:szCs w:val="18"/>
        </w:rPr>
        <w:t xml:space="preserve"> </w:t>
      </w:r>
    </w:p>
  </w:footnote>
  <w:footnote w:id="62">
    <w:p w14:paraId="3627A30D" w14:textId="77777777" w:rsidR="001D1277" w:rsidRDefault="001D1277" w:rsidP="004C15D6">
      <w:pPr>
        <w:pStyle w:val="FootnoteText"/>
        <w:spacing w:line="269" w:lineRule="auto"/>
      </w:pPr>
      <w:r w:rsidRPr="001D1481">
        <w:rPr>
          <w:rStyle w:val="FootnoteReference"/>
          <w:rFonts w:ascii="Aptos" w:hAnsi="Aptos"/>
          <w:sz w:val="18"/>
          <w:szCs w:val="18"/>
        </w:rPr>
        <w:footnoteRef/>
      </w:r>
      <w:r w:rsidRPr="001D1481">
        <w:rPr>
          <w:rFonts w:ascii="Aptos" w:hAnsi="Aptos"/>
          <w:sz w:val="18"/>
          <w:szCs w:val="18"/>
        </w:rPr>
        <w:t xml:space="preserve"> Adapted from, </w:t>
      </w:r>
      <w:hyperlink r:id="rId61" w:history="1">
        <w:r w:rsidRPr="001D1481">
          <w:rPr>
            <w:rStyle w:val="Hyperlink"/>
            <w:rFonts w:ascii="Aptos" w:hAnsi="Aptos"/>
            <w:sz w:val="18"/>
            <w:szCs w:val="18"/>
          </w:rPr>
          <w:t>Artificial Intelligence Risk Management Framework (AI RMF 1.0)</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958AF" w14:textId="123A69B6" w:rsidR="00586F89" w:rsidRDefault="00586F89" w:rsidP="00301CA3">
    <w:pPr>
      <w:pStyle w:val="CoverBodyGrey"/>
    </w:pPr>
    <w:r w:rsidRPr="00E92D0A">
      <w:rPr>
        <w:noProof/>
      </w:rPr>
      <w:drawing>
        <wp:anchor distT="0" distB="0" distL="114300" distR="114300" simplePos="0" relativeHeight="251658242" behindDoc="1" locked="0" layoutInCell="1" allowOverlap="1" wp14:anchorId="23A06F10" wp14:editId="60F0DF2B">
          <wp:simplePos x="0" y="0"/>
          <wp:positionH relativeFrom="column">
            <wp:posOffset>-9727</wp:posOffset>
          </wp:positionH>
          <wp:positionV relativeFrom="paragraph">
            <wp:posOffset>583660</wp:posOffset>
          </wp:positionV>
          <wp:extent cx="2188724" cy="442402"/>
          <wp:effectExtent l="0" t="0" r="0" b="2540"/>
          <wp:wrapNone/>
          <wp:docPr id="1346215951" name="Picture 1346215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88724" cy="44240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F7F77" w14:textId="6C5295C9" w:rsidR="00586F89" w:rsidRDefault="00737E19" w:rsidP="00617728">
    <w:pPr>
      <w:pStyle w:val="Header"/>
    </w:pPr>
    <w:r w:rsidRPr="00E92D0A">
      <w:rPr>
        <w:noProof/>
      </w:rPr>
      <w:drawing>
        <wp:anchor distT="0" distB="0" distL="114300" distR="114300" simplePos="0" relativeHeight="251658240" behindDoc="1" locked="0" layoutInCell="1" allowOverlap="1" wp14:anchorId="32218AA0" wp14:editId="1E5B4B0D">
          <wp:simplePos x="0" y="0"/>
          <wp:positionH relativeFrom="column">
            <wp:posOffset>-84667</wp:posOffset>
          </wp:positionH>
          <wp:positionV relativeFrom="paragraph">
            <wp:posOffset>457200</wp:posOffset>
          </wp:positionV>
          <wp:extent cx="2954867" cy="597260"/>
          <wp:effectExtent l="0" t="0" r="4445" b="0"/>
          <wp:wrapNone/>
          <wp:docPr id="1732863543" name="Picture 1732863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043949" cy="61526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BAF61F3E"/>
    <w:lvl w:ilvl="0">
      <w:start w:val="1"/>
      <w:numFmt w:val="bullet"/>
      <w:pStyle w:val="ListBullet4"/>
      <w:lvlText w:val=""/>
      <w:lvlJc w:val="left"/>
      <w:pPr>
        <w:tabs>
          <w:tab w:val="num" w:pos="1440"/>
        </w:tabs>
        <w:ind w:left="1440" w:hanging="360"/>
      </w:pPr>
      <w:rPr>
        <w:rFonts w:ascii="Symbol" w:hAnsi="Symbol" w:hint="default"/>
      </w:rPr>
    </w:lvl>
  </w:abstractNum>
  <w:abstractNum w:abstractNumId="1" w15:restartNumberingAfterBreak="0">
    <w:nsid w:val="FFFFFF82"/>
    <w:multiLevelType w:val="singleLevel"/>
    <w:tmpl w:val="EBDE2A58"/>
    <w:lvl w:ilvl="0">
      <w:start w:val="1"/>
      <w:numFmt w:val="bullet"/>
      <w:pStyle w:val="ListBullet3"/>
      <w:lvlText w:val="o"/>
      <w:lvlJc w:val="left"/>
      <w:pPr>
        <w:ind w:left="1152" w:hanging="360"/>
      </w:pPr>
      <w:rPr>
        <w:rFonts w:ascii="Courier New" w:hAnsi="Courier New" w:cs="Courier New" w:hint="default"/>
      </w:rPr>
    </w:lvl>
  </w:abstractNum>
  <w:abstractNum w:abstractNumId="2" w15:restartNumberingAfterBreak="0">
    <w:nsid w:val="FFFFFF83"/>
    <w:multiLevelType w:val="singleLevel"/>
    <w:tmpl w:val="AEE87472"/>
    <w:lvl w:ilvl="0">
      <w:start w:val="1"/>
      <w:numFmt w:val="bullet"/>
      <w:pStyle w:val="ListBullet2"/>
      <w:lvlText w:val=""/>
      <w:lvlJc w:val="left"/>
      <w:pPr>
        <w:tabs>
          <w:tab w:val="num" w:pos="720"/>
        </w:tabs>
        <w:ind w:left="720" w:hanging="360"/>
      </w:pPr>
      <w:rPr>
        <w:rFonts w:ascii="Symbol" w:hAnsi="Symbol" w:hint="default"/>
      </w:rPr>
    </w:lvl>
  </w:abstractNum>
  <w:abstractNum w:abstractNumId="3" w15:restartNumberingAfterBreak="0">
    <w:nsid w:val="FFFFFF89"/>
    <w:multiLevelType w:val="singleLevel"/>
    <w:tmpl w:val="A5BEEEC8"/>
    <w:lvl w:ilvl="0">
      <w:start w:val="1"/>
      <w:numFmt w:val="bullet"/>
      <w:pStyle w:val="ListBullet"/>
      <w:lvlText w:val=""/>
      <w:lvlJc w:val="left"/>
      <w:pPr>
        <w:ind w:left="504" w:hanging="288"/>
      </w:pPr>
      <w:rPr>
        <w:rFonts w:ascii="Symbol" w:hAnsi="Symbol" w:hint="default"/>
        <w:color w:val="B31E3E" w:themeColor="accent1"/>
      </w:rPr>
    </w:lvl>
  </w:abstractNum>
  <w:abstractNum w:abstractNumId="4" w15:restartNumberingAfterBreak="0">
    <w:nsid w:val="09813D3A"/>
    <w:multiLevelType w:val="hybridMultilevel"/>
    <w:tmpl w:val="39A6F454"/>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0C14BF"/>
    <w:multiLevelType w:val="hybridMultilevel"/>
    <w:tmpl w:val="78FCC09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888430D"/>
    <w:multiLevelType w:val="hybridMultilevel"/>
    <w:tmpl w:val="33440DBA"/>
    <w:lvl w:ilvl="0" w:tplc="FFFFFFF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1902542"/>
    <w:multiLevelType w:val="hybridMultilevel"/>
    <w:tmpl w:val="78FCC09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42D6AC7"/>
    <w:multiLevelType w:val="hybridMultilevel"/>
    <w:tmpl w:val="335819DE"/>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8AB2C44"/>
    <w:multiLevelType w:val="hybridMultilevel"/>
    <w:tmpl w:val="335819DE"/>
    <w:lvl w:ilvl="0" w:tplc="D3D64CB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B67079"/>
    <w:multiLevelType w:val="hybridMultilevel"/>
    <w:tmpl w:val="335819DE"/>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ABC5F7E"/>
    <w:multiLevelType w:val="hybridMultilevel"/>
    <w:tmpl w:val="78FCC09C"/>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0B1DC8"/>
    <w:multiLevelType w:val="hybridMultilevel"/>
    <w:tmpl w:val="ABAC93B2"/>
    <w:lvl w:ilvl="0" w:tplc="BFE0A76E">
      <w:start w:val="1"/>
      <w:numFmt w:val="bullet"/>
      <w:pStyle w:val="EEEL"/>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70F1BB6"/>
    <w:multiLevelType w:val="hybridMultilevel"/>
    <w:tmpl w:val="E340D47C"/>
    <w:lvl w:ilvl="0" w:tplc="807A6E8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C667194"/>
    <w:multiLevelType w:val="hybridMultilevel"/>
    <w:tmpl w:val="36AE275E"/>
    <w:lvl w:ilvl="0" w:tplc="8EE0B6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A03211"/>
    <w:multiLevelType w:val="hybridMultilevel"/>
    <w:tmpl w:val="39A6F45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CB769A6"/>
    <w:multiLevelType w:val="hybridMultilevel"/>
    <w:tmpl w:val="78FCC09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529759853">
    <w:abstractNumId w:val="0"/>
  </w:num>
  <w:num w:numId="2" w16cid:durableId="1944024345">
    <w:abstractNumId w:val="1"/>
  </w:num>
  <w:num w:numId="3" w16cid:durableId="94178387">
    <w:abstractNumId w:val="2"/>
  </w:num>
  <w:num w:numId="4" w16cid:durableId="1498302033">
    <w:abstractNumId w:val="3"/>
  </w:num>
  <w:num w:numId="5" w16cid:durableId="1381783222">
    <w:abstractNumId w:val="12"/>
  </w:num>
  <w:num w:numId="6" w16cid:durableId="117992977">
    <w:abstractNumId w:val="11"/>
  </w:num>
  <w:num w:numId="7" w16cid:durableId="147676961">
    <w:abstractNumId w:val="7"/>
  </w:num>
  <w:num w:numId="8" w16cid:durableId="1742672743">
    <w:abstractNumId w:val="6"/>
  </w:num>
  <w:num w:numId="9" w16cid:durableId="537089287">
    <w:abstractNumId w:val="5"/>
  </w:num>
  <w:num w:numId="10" w16cid:durableId="1578174878">
    <w:abstractNumId w:val="16"/>
  </w:num>
  <w:num w:numId="11" w16cid:durableId="2123454240">
    <w:abstractNumId w:val="9"/>
  </w:num>
  <w:num w:numId="12" w16cid:durableId="846679729">
    <w:abstractNumId w:val="10"/>
  </w:num>
  <w:num w:numId="13" w16cid:durableId="308941314">
    <w:abstractNumId w:val="8"/>
  </w:num>
  <w:num w:numId="14" w16cid:durableId="1900285158">
    <w:abstractNumId w:val="4"/>
  </w:num>
  <w:num w:numId="15" w16cid:durableId="1878811476">
    <w:abstractNumId w:val="15"/>
  </w:num>
  <w:num w:numId="16" w16cid:durableId="1958636619">
    <w:abstractNumId w:val="13"/>
  </w:num>
  <w:num w:numId="17" w16cid:durableId="1797873965">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4096" w:nlCheck="1" w:checkStyle="0"/>
  <w:activeWritingStyle w:appName="MSWord" w:lang="en-US" w:vendorID="64" w:dllVersion="0" w:nlCheck="1" w:checkStyle="0"/>
  <w:activeWritingStyle w:appName="MSWord" w:lang="en-GB" w:vendorID="64" w:dllVersion="0" w:nlCheck="1" w:checkStyle="0"/>
  <w:activeWritingStyle w:appName="MSWord" w:lang="en-US" w:vendorID="64" w:dllVersion="6" w:nlCheck="1" w:checkStyle="1"/>
  <w:activeWritingStyle w:appName="MSWord" w:lang="en-GB" w:vendorID="64" w:dllVersion="6" w:nlCheck="1" w:checkStyle="1"/>
  <w:activeWritingStyle w:appName="MSWord" w:lang="fr-CA" w:vendorID="64" w:dllVersion="0" w:nlCheck="1" w:checkStyle="0"/>
  <w:activeWritingStyle w:appName="MSWord" w:lang="es-MX" w:vendorID="64" w:dllVersion="0" w:nlCheck="1" w:checkStyle="0"/>
  <w:attachedTemplate r:id="rId1"/>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5E18"/>
    <w:rsid w:val="000001A3"/>
    <w:rsid w:val="00000AF1"/>
    <w:rsid w:val="00000B5E"/>
    <w:rsid w:val="00000C22"/>
    <w:rsid w:val="00001F03"/>
    <w:rsid w:val="0000223E"/>
    <w:rsid w:val="000022E1"/>
    <w:rsid w:val="00002328"/>
    <w:rsid w:val="000023EE"/>
    <w:rsid w:val="0000247A"/>
    <w:rsid w:val="000024C1"/>
    <w:rsid w:val="000024CB"/>
    <w:rsid w:val="00002B8E"/>
    <w:rsid w:val="0000348A"/>
    <w:rsid w:val="000037CD"/>
    <w:rsid w:val="00003D0D"/>
    <w:rsid w:val="00003E90"/>
    <w:rsid w:val="0000428D"/>
    <w:rsid w:val="000042C6"/>
    <w:rsid w:val="000042E0"/>
    <w:rsid w:val="000046F3"/>
    <w:rsid w:val="00004A70"/>
    <w:rsid w:val="00004ADD"/>
    <w:rsid w:val="00004D73"/>
    <w:rsid w:val="00005332"/>
    <w:rsid w:val="0000572E"/>
    <w:rsid w:val="00005A4A"/>
    <w:rsid w:val="00005AE8"/>
    <w:rsid w:val="00005D54"/>
    <w:rsid w:val="00005ECA"/>
    <w:rsid w:val="000062E5"/>
    <w:rsid w:val="00006351"/>
    <w:rsid w:val="000063DF"/>
    <w:rsid w:val="0000684F"/>
    <w:rsid w:val="000070EE"/>
    <w:rsid w:val="000071C5"/>
    <w:rsid w:val="00007F02"/>
    <w:rsid w:val="0001040F"/>
    <w:rsid w:val="00010447"/>
    <w:rsid w:val="000104B4"/>
    <w:rsid w:val="00010679"/>
    <w:rsid w:val="00010788"/>
    <w:rsid w:val="00010975"/>
    <w:rsid w:val="00010B81"/>
    <w:rsid w:val="000111B8"/>
    <w:rsid w:val="000113CB"/>
    <w:rsid w:val="00011542"/>
    <w:rsid w:val="00011733"/>
    <w:rsid w:val="000119D7"/>
    <w:rsid w:val="00011A61"/>
    <w:rsid w:val="00011B2E"/>
    <w:rsid w:val="00011D22"/>
    <w:rsid w:val="00011F0C"/>
    <w:rsid w:val="00011F20"/>
    <w:rsid w:val="00011FAA"/>
    <w:rsid w:val="0001237F"/>
    <w:rsid w:val="000127BB"/>
    <w:rsid w:val="00012CB4"/>
    <w:rsid w:val="00012D4B"/>
    <w:rsid w:val="00012F60"/>
    <w:rsid w:val="00012F9C"/>
    <w:rsid w:val="0001301A"/>
    <w:rsid w:val="000134E6"/>
    <w:rsid w:val="000139BA"/>
    <w:rsid w:val="00013C5C"/>
    <w:rsid w:val="00013D33"/>
    <w:rsid w:val="00014175"/>
    <w:rsid w:val="0001419C"/>
    <w:rsid w:val="000149C3"/>
    <w:rsid w:val="00014FB9"/>
    <w:rsid w:val="00015264"/>
    <w:rsid w:val="00015846"/>
    <w:rsid w:val="0001589E"/>
    <w:rsid w:val="0001592F"/>
    <w:rsid w:val="000159A1"/>
    <w:rsid w:val="00015B2D"/>
    <w:rsid w:val="00016580"/>
    <w:rsid w:val="00016770"/>
    <w:rsid w:val="000169AA"/>
    <w:rsid w:val="00016A00"/>
    <w:rsid w:val="00016B06"/>
    <w:rsid w:val="000170E0"/>
    <w:rsid w:val="0001714E"/>
    <w:rsid w:val="000174BC"/>
    <w:rsid w:val="00017913"/>
    <w:rsid w:val="00017922"/>
    <w:rsid w:val="000179FD"/>
    <w:rsid w:val="00017D88"/>
    <w:rsid w:val="00017DFF"/>
    <w:rsid w:val="000200FA"/>
    <w:rsid w:val="00020147"/>
    <w:rsid w:val="0002016F"/>
    <w:rsid w:val="000203E6"/>
    <w:rsid w:val="0002061D"/>
    <w:rsid w:val="0002062B"/>
    <w:rsid w:val="00020848"/>
    <w:rsid w:val="000208A5"/>
    <w:rsid w:val="00020D79"/>
    <w:rsid w:val="00020E6D"/>
    <w:rsid w:val="00021119"/>
    <w:rsid w:val="000211C6"/>
    <w:rsid w:val="000212CB"/>
    <w:rsid w:val="000213F4"/>
    <w:rsid w:val="00021468"/>
    <w:rsid w:val="00021DB0"/>
    <w:rsid w:val="0002257D"/>
    <w:rsid w:val="000228F1"/>
    <w:rsid w:val="00022A7F"/>
    <w:rsid w:val="0002333C"/>
    <w:rsid w:val="00023693"/>
    <w:rsid w:val="00023883"/>
    <w:rsid w:val="00023A88"/>
    <w:rsid w:val="00023CDF"/>
    <w:rsid w:val="00023FA1"/>
    <w:rsid w:val="000244C4"/>
    <w:rsid w:val="00024674"/>
    <w:rsid w:val="00024688"/>
    <w:rsid w:val="00025066"/>
    <w:rsid w:val="0002511B"/>
    <w:rsid w:val="00025380"/>
    <w:rsid w:val="00025518"/>
    <w:rsid w:val="0002576A"/>
    <w:rsid w:val="0002593C"/>
    <w:rsid w:val="00025B9A"/>
    <w:rsid w:val="000261AE"/>
    <w:rsid w:val="0002623F"/>
    <w:rsid w:val="0002639F"/>
    <w:rsid w:val="00026843"/>
    <w:rsid w:val="00026967"/>
    <w:rsid w:val="00026A0B"/>
    <w:rsid w:val="00026CAE"/>
    <w:rsid w:val="00026CDC"/>
    <w:rsid w:val="00026FAC"/>
    <w:rsid w:val="00027353"/>
    <w:rsid w:val="00027988"/>
    <w:rsid w:val="0002799B"/>
    <w:rsid w:val="00027A33"/>
    <w:rsid w:val="00027C7A"/>
    <w:rsid w:val="00030356"/>
    <w:rsid w:val="0003039B"/>
    <w:rsid w:val="0003046E"/>
    <w:rsid w:val="000307FB"/>
    <w:rsid w:val="0003099F"/>
    <w:rsid w:val="00030DFA"/>
    <w:rsid w:val="0003108C"/>
    <w:rsid w:val="000310E3"/>
    <w:rsid w:val="000313E2"/>
    <w:rsid w:val="0003150A"/>
    <w:rsid w:val="00031587"/>
    <w:rsid w:val="0003175F"/>
    <w:rsid w:val="00031B97"/>
    <w:rsid w:val="00031BAF"/>
    <w:rsid w:val="00031C15"/>
    <w:rsid w:val="00031DFA"/>
    <w:rsid w:val="000321A0"/>
    <w:rsid w:val="00032472"/>
    <w:rsid w:val="000324C0"/>
    <w:rsid w:val="0003257E"/>
    <w:rsid w:val="00032F99"/>
    <w:rsid w:val="00033103"/>
    <w:rsid w:val="0003338F"/>
    <w:rsid w:val="000334EA"/>
    <w:rsid w:val="00033BD6"/>
    <w:rsid w:val="00033BD9"/>
    <w:rsid w:val="00033E18"/>
    <w:rsid w:val="00033F5E"/>
    <w:rsid w:val="00034230"/>
    <w:rsid w:val="000343EC"/>
    <w:rsid w:val="000347C6"/>
    <w:rsid w:val="00034D9F"/>
    <w:rsid w:val="00034F4E"/>
    <w:rsid w:val="000351BF"/>
    <w:rsid w:val="0003544F"/>
    <w:rsid w:val="0003547A"/>
    <w:rsid w:val="000356AC"/>
    <w:rsid w:val="000356E4"/>
    <w:rsid w:val="000359EE"/>
    <w:rsid w:val="000365D1"/>
    <w:rsid w:val="0003672C"/>
    <w:rsid w:val="00036B7D"/>
    <w:rsid w:val="00036E2E"/>
    <w:rsid w:val="00036F36"/>
    <w:rsid w:val="00036F86"/>
    <w:rsid w:val="00037400"/>
    <w:rsid w:val="000378AB"/>
    <w:rsid w:val="00037929"/>
    <w:rsid w:val="00037ED2"/>
    <w:rsid w:val="00037F2F"/>
    <w:rsid w:val="000403A0"/>
    <w:rsid w:val="0004044E"/>
    <w:rsid w:val="00040A19"/>
    <w:rsid w:val="00040B20"/>
    <w:rsid w:val="00040CDC"/>
    <w:rsid w:val="00040D4D"/>
    <w:rsid w:val="00040D92"/>
    <w:rsid w:val="00040DC3"/>
    <w:rsid w:val="00040FC0"/>
    <w:rsid w:val="0004103F"/>
    <w:rsid w:val="00041164"/>
    <w:rsid w:val="000411FB"/>
    <w:rsid w:val="0004141D"/>
    <w:rsid w:val="00041447"/>
    <w:rsid w:val="00041C7F"/>
    <w:rsid w:val="00041D6E"/>
    <w:rsid w:val="00041D72"/>
    <w:rsid w:val="00041E26"/>
    <w:rsid w:val="00041E4E"/>
    <w:rsid w:val="00041EC7"/>
    <w:rsid w:val="00041FDC"/>
    <w:rsid w:val="000421AD"/>
    <w:rsid w:val="000427C0"/>
    <w:rsid w:val="00042968"/>
    <w:rsid w:val="00042D02"/>
    <w:rsid w:val="00042DC4"/>
    <w:rsid w:val="00042E16"/>
    <w:rsid w:val="00042FB8"/>
    <w:rsid w:val="000433D0"/>
    <w:rsid w:val="00043454"/>
    <w:rsid w:val="0004367B"/>
    <w:rsid w:val="00043820"/>
    <w:rsid w:val="00043B15"/>
    <w:rsid w:val="00043B62"/>
    <w:rsid w:val="00043DEF"/>
    <w:rsid w:val="00043E64"/>
    <w:rsid w:val="000440A7"/>
    <w:rsid w:val="000446F7"/>
    <w:rsid w:val="000447A2"/>
    <w:rsid w:val="000448FE"/>
    <w:rsid w:val="00044A5A"/>
    <w:rsid w:val="00045957"/>
    <w:rsid w:val="000462C8"/>
    <w:rsid w:val="0004653A"/>
    <w:rsid w:val="00047127"/>
    <w:rsid w:val="0004783F"/>
    <w:rsid w:val="000478AB"/>
    <w:rsid w:val="00047984"/>
    <w:rsid w:val="00047D57"/>
    <w:rsid w:val="0005014A"/>
    <w:rsid w:val="00050190"/>
    <w:rsid w:val="00050198"/>
    <w:rsid w:val="0005041C"/>
    <w:rsid w:val="0005058A"/>
    <w:rsid w:val="00050F1D"/>
    <w:rsid w:val="0005103D"/>
    <w:rsid w:val="0005133A"/>
    <w:rsid w:val="00051668"/>
    <w:rsid w:val="000517BF"/>
    <w:rsid w:val="000519B5"/>
    <w:rsid w:val="00051B10"/>
    <w:rsid w:val="00051F93"/>
    <w:rsid w:val="000521F2"/>
    <w:rsid w:val="00052331"/>
    <w:rsid w:val="00052442"/>
    <w:rsid w:val="00052968"/>
    <w:rsid w:val="00052E28"/>
    <w:rsid w:val="00053539"/>
    <w:rsid w:val="00053540"/>
    <w:rsid w:val="000537F3"/>
    <w:rsid w:val="000538E6"/>
    <w:rsid w:val="00053A70"/>
    <w:rsid w:val="00053F0B"/>
    <w:rsid w:val="0005485F"/>
    <w:rsid w:val="000549C9"/>
    <w:rsid w:val="00054A9E"/>
    <w:rsid w:val="00054ACB"/>
    <w:rsid w:val="0005504C"/>
    <w:rsid w:val="00055475"/>
    <w:rsid w:val="000554FE"/>
    <w:rsid w:val="0005589E"/>
    <w:rsid w:val="00055AE2"/>
    <w:rsid w:val="00055B20"/>
    <w:rsid w:val="00055F7C"/>
    <w:rsid w:val="0005608A"/>
    <w:rsid w:val="00056123"/>
    <w:rsid w:val="00056135"/>
    <w:rsid w:val="00056285"/>
    <w:rsid w:val="00056581"/>
    <w:rsid w:val="000569AA"/>
    <w:rsid w:val="00056AAC"/>
    <w:rsid w:val="00056F51"/>
    <w:rsid w:val="00057117"/>
    <w:rsid w:val="000573D5"/>
    <w:rsid w:val="000576F6"/>
    <w:rsid w:val="000578B1"/>
    <w:rsid w:val="000578C6"/>
    <w:rsid w:val="00057AA3"/>
    <w:rsid w:val="00057B74"/>
    <w:rsid w:val="00057C16"/>
    <w:rsid w:val="00057CBF"/>
    <w:rsid w:val="000602CE"/>
    <w:rsid w:val="000606AF"/>
    <w:rsid w:val="000606D3"/>
    <w:rsid w:val="000607E4"/>
    <w:rsid w:val="00060AFE"/>
    <w:rsid w:val="00060F4E"/>
    <w:rsid w:val="0006162E"/>
    <w:rsid w:val="00061926"/>
    <w:rsid w:val="00061A8A"/>
    <w:rsid w:val="00061B27"/>
    <w:rsid w:val="00061B98"/>
    <w:rsid w:val="00061EC6"/>
    <w:rsid w:val="00061FEF"/>
    <w:rsid w:val="00062455"/>
    <w:rsid w:val="00062956"/>
    <w:rsid w:val="00062EBC"/>
    <w:rsid w:val="0006346B"/>
    <w:rsid w:val="00063485"/>
    <w:rsid w:val="00063CA6"/>
    <w:rsid w:val="00063F50"/>
    <w:rsid w:val="000640C2"/>
    <w:rsid w:val="0006411C"/>
    <w:rsid w:val="00064DBB"/>
    <w:rsid w:val="00064E1C"/>
    <w:rsid w:val="000650C3"/>
    <w:rsid w:val="000652CF"/>
    <w:rsid w:val="00065FCF"/>
    <w:rsid w:val="000665F2"/>
    <w:rsid w:val="00066AE0"/>
    <w:rsid w:val="00066DF0"/>
    <w:rsid w:val="00067000"/>
    <w:rsid w:val="000672B1"/>
    <w:rsid w:val="0006767E"/>
    <w:rsid w:val="000678FB"/>
    <w:rsid w:val="000679A8"/>
    <w:rsid w:val="00067DA8"/>
    <w:rsid w:val="00067E01"/>
    <w:rsid w:val="00067E13"/>
    <w:rsid w:val="0007007E"/>
    <w:rsid w:val="000701FD"/>
    <w:rsid w:val="000703AA"/>
    <w:rsid w:val="000704B7"/>
    <w:rsid w:val="00070583"/>
    <w:rsid w:val="00070D10"/>
    <w:rsid w:val="000711C2"/>
    <w:rsid w:val="00071328"/>
    <w:rsid w:val="000713A2"/>
    <w:rsid w:val="000713F3"/>
    <w:rsid w:val="0007164A"/>
    <w:rsid w:val="0007168D"/>
    <w:rsid w:val="000716D3"/>
    <w:rsid w:val="00071F14"/>
    <w:rsid w:val="00071FFA"/>
    <w:rsid w:val="00072A09"/>
    <w:rsid w:val="00072B3B"/>
    <w:rsid w:val="0007338B"/>
    <w:rsid w:val="000736C1"/>
    <w:rsid w:val="00073CC6"/>
    <w:rsid w:val="00073EE0"/>
    <w:rsid w:val="0007411C"/>
    <w:rsid w:val="000743C6"/>
    <w:rsid w:val="00074692"/>
    <w:rsid w:val="000748F0"/>
    <w:rsid w:val="00074E34"/>
    <w:rsid w:val="00074FF0"/>
    <w:rsid w:val="00075204"/>
    <w:rsid w:val="0007557B"/>
    <w:rsid w:val="000764BA"/>
    <w:rsid w:val="0007682E"/>
    <w:rsid w:val="000769A2"/>
    <w:rsid w:val="00076A3D"/>
    <w:rsid w:val="00076A52"/>
    <w:rsid w:val="00076A63"/>
    <w:rsid w:val="00076EAC"/>
    <w:rsid w:val="00077529"/>
    <w:rsid w:val="00077823"/>
    <w:rsid w:val="000779C6"/>
    <w:rsid w:val="00077AFD"/>
    <w:rsid w:val="00077F42"/>
    <w:rsid w:val="00077FC7"/>
    <w:rsid w:val="000802A3"/>
    <w:rsid w:val="000802F2"/>
    <w:rsid w:val="00080563"/>
    <w:rsid w:val="00080884"/>
    <w:rsid w:val="00080CCF"/>
    <w:rsid w:val="0008124C"/>
    <w:rsid w:val="00081578"/>
    <w:rsid w:val="000815BF"/>
    <w:rsid w:val="00081B15"/>
    <w:rsid w:val="0008300C"/>
    <w:rsid w:val="00083635"/>
    <w:rsid w:val="00084203"/>
    <w:rsid w:val="000844B8"/>
    <w:rsid w:val="000845C7"/>
    <w:rsid w:val="000846F2"/>
    <w:rsid w:val="000849DC"/>
    <w:rsid w:val="00084E4F"/>
    <w:rsid w:val="00085321"/>
    <w:rsid w:val="000853A8"/>
    <w:rsid w:val="000854A0"/>
    <w:rsid w:val="000855A0"/>
    <w:rsid w:val="000855EB"/>
    <w:rsid w:val="00085835"/>
    <w:rsid w:val="0008589B"/>
    <w:rsid w:val="00085DC3"/>
    <w:rsid w:val="00085E7D"/>
    <w:rsid w:val="00085F77"/>
    <w:rsid w:val="0008616B"/>
    <w:rsid w:val="0008624B"/>
    <w:rsid w:val="00086366"/>
    <w:rsid w:val="0008693F"/>
    <w:rsid w:val="00086AAF"/>
    <w:rsid w:val="00086C7D"/>
    <w:rsid w:val="00086F62"/>
    <w:rsid w:val="0008796C"/>
    <w:rsid w:val="000879E5"/>
    <w:rsid w:val="0009002C"/>
    <w:rsid w:val="000900F7"/>
    <w:rsid w:val="00090756"/>
    <w:rsid w:val="00090B28"/>
    <w:rsid w:val="00090B9C"/>
    <w:rsid w:val="00090C62"/>
    <w:rsid w:val="00090F77"/>
    <w:rsid w:val="00091171"/>
    <w:rsid w:val="000919D8"/>
    <w:rsid w:val="00091EC2"/>
    <w:rsid w:val="0009276D"/>
    <w:rsid w:val="000927FE"/>
    <w:rsid w:val="000929C8"/>
    <w:rsid w:val="000929F2"/>
    <w:rsid w:val="000938EA"/>
    <w:rsid w:val="00093FDF"/>
    <w:rsid w:val="00094185"/>
    <w:rsid w:val="00094224"/>
    <w:rsid w:val="0009427A"/>
    <w:rsid w:val="0009464C"/>
    <w:rsid w:val="00094871"/>
    <w:rsid w:val="00094CAF"/>
    <w:rsid w:val="00094E8E"/>
    <w:rsid w:val="0009514F"/>
    <w:rsid w:val="00095B9A"/>
    <w:rsid w:val="00095BE7"/>
    <w:rsid w:val="00095DC8"/>
    <w:rsid w:val="00095E57"/>
    <w:rsid w:val="00095F77"/>
    <w:rsid w:val="000965C5"/>
    <w:rsid w:val="000966DB"/>
    <w:rsid w:val="00096A3C"/>
    <w:rsid w:val="00096E14"/>
    <w:rsid w:val="00096FA7"/>
    <w:rsid w:val="000970D9"/>
    <w:rsid w:val="0009727B"/>
    <w:rsid w:val="00097925"/>
    <w:rsid w:val="00097AFC"/>
    <w:rsid w:val="00097B84"/>
    <w:rsid w:val="00097C74"/>
    <w:rsid w:val="00097CB2"/>
    <w:rsid w:val="00097DC8"/>
    <w:rsid w:val="000A08C4"/>
    <w:rsid w:val="000A0A42"/>
    <w:rsid w:val="000A0C42"/>
    <w:rsid w:val="000A0E9C"/>
    <w:rsid w:val="000A120F"/>
    <w:rsid w:val="000A1704"/>
    <w:rsid w:val="000A197A"/>
    <w:rsid w:val="000A2088"/>
    <w:rsid w:val="000A2240"/>
    <w:rsid w:val="000A22D6"/>
    <w:rsid w:val="000A2842"/>
    <w:rsid w:val="000A28CB"/>
    <w:rsid w:val="000A2B7F"/>
    <w:rsid w:val="000A2C47"/>
    <w:rsid w:val="000A2C5A"/>
    <w:rsid w:val="000A2CBF"/>
    <w:rsid w:val="000A2CC0"/>
    <w:rsid w:val="000A2D09"/>
    <w:rsid w:val="000A30C7"/>
    <w:rsid w:val="000A34EC"/>
    <w:rsid w:val="000A3B16"/>
    <w:rsid w:val="000A3E74"/>
    <w:rsid w:val="000A3F91"/>
    <w:rsid w:val="000A401B"/>
    <w:rsid w:val="000A40D2"/>
    <w:rsid w:val="000A4166"/>
    <w:rsid w:val="000A435A"/>
    <w:rsid w:val="000A435B"/>
    <w:rsid w:val="000A4524"/>
    <w:rsid w:val="000A4564"/>
    <w:rsid w:val="000A46A0"/>
    <w:rsid w:val="000A4DA9"/>
    <w:rsid w:val="000A5450"/>
    <w:rsid w:val="000A58B7"/>
    <w:rsid w:val="000A6CCD"/>
    <w:rsid w:val="000A6F7D"/>
    <w:rsid w:val="000A7412"/>
    <w:rsid w:val="000A779E"/>
    <w:rsid w:val="000A77B3"/>
    <w:rsid w:val="000A77C4"/>
    <w:rsid w:val="000A7A14"/>
    <w:rsid w:val="000A7A6C"/>
    <w:rsid w:val="000A7C46"/>
    <w:rsid w:val="000A7D20"/>
    <w:rsid w:val="000A7DAB"/>
    <w:rsid w:val="000B02BC"/>
    <w:rsid w:val="000B04DB"/>
    <w:rsid w:val="000B056E"/>
    <w:rsid w:val="000B065E"/>
    <w:rsid w:val="000B07BE"/>
    <w:rsid w:val="000B1119"/>
    <w:rsid w:val="000B16AB"/>
    <w:rsid w:val="000B1714"/>
    <w:rsid w:val="000B18E1"/>
    <w:rsid w:val="000B1A8B"/>
    <w:rsid w:val="000B1C7E"/>
    <w:rsid w:val="000B2735"/>
    <w:rsid w:val="000B278E"/>
    <w:rsid w:val="000B27B7"/>
    <w:rsid w:val="000B29A5"/>
    <w:rsid w:val="000B2A6D"/>
    <w:rsid w:val="000B2B6C"/>
    <w:rsid w:val="000B2EB2"/>
    <w:rsid w:val="000B2F4B"/>
    <w:rsid w:val="000B3084"/>
    <w:rsid w:val="000B313C"/>
    <w:rsid w:val="000B33EE"/>
    <w:rsid w:val="000B39C5"/>
    <w:rsid w:val="000B3B66"/>
    <w:rsid w:val="000B487A"/>
    <w:rsid w:val="000B4D40"/>
    <w:rsid w:val="000B4DC3"/>
    <w:rsid w:val="000B5141"/>
    <w:rsid w:val="000B51E8"/>
    <w:rsid w:val="000B5377"/>
    <w:rsid w:val="000B5398"/>
    <w:rsid w:val="000B5C13"/>
    <w:rsid w:val="000B5F5D"/>
    <w:rsid w:val="000B6604"/>
    <w:rsid w:val="000B692F"/>
    <w:rsid w:val="000B6BC1"/>
    <w:rsid w:val="000B6D68"/>
    <w:rsid w:val="000B6F6E"/>
    <w:rsid w:val="000B76E5"/>
    <w:rsid w:val="000B776F"/>
    <w:rsid w:val="000C0072"/>
    <w:rsid w:val="000C017F"/>
    <w:rsid w:val="000C023E"/>
    <w:rsid w:val="000C028C"/>
    <w:rsid w:val="000C0473"/>
    <w:rsid w:val="000C099D"/>
    <w:rsid w:val="000C1B1E"/>
    <w:rsid w:val="000C2051"/>
    <w:rsid w:val="000C244F"/>
    <w:rsid w:val="000C2689"/>
    <w:rsid w:val="000C2B13"/>
    <w:rsid w:val="000C32BA"/>
    <w:rsid w:val="000C3442"/>
    <w:rsid w:val="000C3569"/>
    <w:rsid w:val="000C3C50"/>
    <w:rsid w:val="000C3CF1"/>
    <w:rsid w:val="000C3E91"/>
    <w:rsid w:val="000C40D0"/>
    <w:rsid w:val="000C4126"/>
    <w:rsid w:val="000C4162"/>
    <w:rsid w:val="000C432F"/>
    <w:rsid w:val="000C47C4"/>
    <w:rsid w:val="000C4D17"/>
    <w:rsid w:val="000C4DD2"/>
    <w:rsid w:val="000C4E98"/>
    <w:rsid w:val="000C4EEF"/>
    <w:rsid w:val="000C4F9A"/>
    <w:rsid w:val="000C4FEB"/>
    <w:rsid w:val="000C5065"/>
    <w:rsid w:val="000C524A"/>
    <w:rsid w:val="000C5270"/>
    <w:rsid w:val="000C5436"/>
    <w:rsid w:val="000C5611"/>
    <w:rsid w:val="000C5620"/>
    <w:rsid w:val="000C5A8B"/>
    <w:rsid w:val="000C623A"/>
    <w:rsid w:val="000C655A"/>
    <w:rsid w:val="000C671E"/>
    <w:rsid w:val="000C6916"/>
    <w:rsid w:val="000C6B2C"/>
    <w:rsid w:val="000C6C40"/>
    <w:rsid w:val="000C6F3C"/>
    <w:rsid w:val="000C701A"/>
    <w:rsid w:val="000C7099"/>
    <w:rsid w:val="000C7195"/>
    <w:rsid w:val="000C7D51"/>
    <w:rsid w:val="000D0192"/>
    <w:rsid w:val="000D03CA"/>
    <w:rsid w:val="000D05A0"/>
    <w:rsid w:val="000D0771"/>
    <w:rsid w:val="000D0AD4"/>
    <w:rsid w:val="000D0B36"/>
    <w:rsid w:val="000D0CFF"/>
    <w:rsid w:val="000D0E44"/>
    <w:rsid w:val="000D104D"/>
    <w:rsid w:val="000D1232"/>
    <w:rsid w:val="000D19DB"/>
    <w:rsid w:val="000D1CBD"/>
    <w:rsid w:val="000D219A"/>
    <w:rsid w:val="000D2276"/>
    <w:rsid w:val="000D3055"/>
    <w:rsid w:val="000D31AD"/>
    <w:rsid w:val="000D322F"/>
    <w:rsid w:val="000D33C8"/>
    <w:rsid w:val="000D347F"/>
    <w:rsid w:val="000D386D"/>
    <w:rsid w:val="000D3AEB"/>
    <w:rsid w:val="000D3C1B"/>
    <w:rsid w:val="000D3E9E"/>
    <w:rsid w:val="000D3F74"/>
    <w:rsid w:val="000D4537"/>
    <w:rsid w:val="000D489A"/>
    <w:rsid w:val="000D4D2A"/>
    <w:rsid w:val="000D4DA7"/>
    <w:rsid w:val="000D4F82"/>
    <w:rsid w:val="000D4FA3"/>
    <w:rsid w:val="000D573C"/>
    <w:rsid w:val="000D5B44"/>
    <w:rsid w:val="000D62A9"/>
    <w:rsid w:val="000D62D0"/>
    <w:rsid w:val="000D639C"/>
    <w:rsid w:val="000D662D"/>
    <w:rsid w:val="000D66E6"/>
    <w:rsid w:val="000D6EDC"/>
    <w:rsid w:val="000D6EE7"/>
    <w:rsid w:val="000D71D6"/>
    <w:rsid w:val="000D73AD"/>
    <w:rsid w:val="000D78E1"/>
    <w:rsid w:val="000D7A4B"/>
    <w:rsid w:val="000D7B32"/>
    <w:rsid w:val="000E0042"/>
    <w:rsid w:val="000E063C"/>
    <w:rsid w:val="000E08E2"/>
    <w:rsid w:val="000E0BCF"/>
    <w:rsid w:val="000E0C42"/>
    <w:rsid w:val="000E0DF8"/>
    <w:rsid w:val="000E11B6"/>
    <w:rsid w:val="000E12AD"/>
    <w:rsid w:val="000E137A"/>
    <w:rsid w:val="000E1A09"/>
    <w:rsid w:val="000E1D43"/>
    <w:rsid w:val="000E2308"/>
    <w:rsid w:val="000E23E2"/>
    <w:rsid w:val="000E2D63"/>
    <w:rsid w:val="000E2E3B"/>
    <w:rsid w:val="000E2E8B"/>
    <w:rsid w:val="000E2EEB"/>
    <w:rsid w:val="000E337B"/>
    <w:rsid w:val="000E3B0D"/>
    <w:rsid w:val="000E3BEE"/>
    <w:rsid w:val="000E3EB3"/>
    <w:rsid w:val="000E3F23"/>
    <w:rsid w:val="000E41ED"/>
    <w:rsid w:val="000E4941"/>
    <w:rsid w:val="000E4E56"/>
    <w:rsid w:val="000E50D4"/>
    <w:rsid w:val="000E5316"/>
    <w:rsid w:val="000E55D8"/>
    <w:rsid w:val="000E55EE"/>
    <w:rsid w:val="000E5A45"/>
    <w:rsid w:val="000E5B4C"/>
    <w:rsid w:val="000E5B5C"/>
    <w:rsid w:val="000E5CC7"/>
    <w:rsid w:val="000E5E5C"/>
    <w:rsid w:val="000E5F7D"/>
    <w:rsid w:val="000E6930"/>
    <w:rsid w:val="000E6A75"/>
    <w:rsid w:val="000E6E74"/>
    <w:rsid w:val="000E6F88"/>
    <w:rsid w:val="000E729C"/>
    <w:rsid w:val="000E7349"/>
    <w:rsid w:val="000E7771"/>
    <w:rsid w:val="000E7832"/>
    <w:rsid w:val="000E78DB"/>
    <w:rsid w:val="000E7C7B"/>
    <w:rsid w:val="000E7D4B"/>
    <w:rsid w:val="000E7FC5"/>
    <w:rsid w:val="000F016C"/>
    <w:rsid w:val="000F02E7"/>
    <w:rsid w:val="000F064D"/>
    <w:rsid w:val="000F06E0"/>
    <w:rsid w:val="000F0B46"/>
    <w:rsid w:val="000F0F43"/>
    <w:rsid w:val="000F18C4"/>
    <w:rsid w:val="000F199B"/>
    <w:rsid w:val="000F19AD"/>
    <w:rsid w:val="000F1F0E"/>
    <w:rsid w:val="000F20DB"/>
    <w:rsid w:val="000F2218"/>
    <w:rsid w:val="000F2417"/>
    <w:rsid w:val="000F246E"/>
    <w:rsid w:val="000F253A"/>
    <w:rsid w:val="000F2580"/>
    <w:rsid w:val="000F26F2"/>
    <w:rsid w:val="000F2706"/>
    <w:rsid w:val="000F280C"/>
    <w:rsid w:val="000F2967"/>
    <w:rsid w:val="000F2C5C"/>
    <w:rsid w:val="000F2CCD"/>
    <w:rsid w:val="000F363B"/>
    <w:rsid w:val="000F3912"/>
    <w:rsid w:val="000F3B69"/>
    <w:rsid w:val="000F3BCF"/>
    <w:rsid w:val="000F4202"/>
    <w:rsid w:val="000F4A1C"/>
    <w:rsid w:val="000F4D8F"/>
    <w:rsid w:val="000F527C"/>
    <w:rsid w:val="000F540E"/>
    <w:rsid w:val="000F58F4"/>
    <w:rsid w:val="000F59D2"/>
    <w:rsid w:val="000F5D5E"/>
    <w:rsid w:val="000F61DC"/>
    <w:rsid w:val="000F6CCF"/>
    <w:rsid w:val="000F7107"/>
    <w:rsid w:val="000F7335"/>
    <w:rsid w:val="000F797A"/>
    <w:rsid w:val="000F7F92"/>
    <w:rsid w:val="000F7FE2"/>
    <w:rsid w:val="00100008"/>
    <w:rsid w:val="0010001F"/>
    <w:rsid w:val="00100324"/>
    <w:rsid w:val="001003DB"/>
    <w:rsid w:val="001006D0"/>
    <w:rsid w:val="0010084A"/>
    <w:rsid w:val="001009A8"/>
    <w:rsid w:val="00100D53"/>
    <w:rsid w:val="00100E0F"/>
    <w:rsid w:val="0010109C"/>
    <w:rsid w:val="0010122C"/>
    <w:rsid w:val="00101DC7"/>
    <w:rsid w:val="00102123"/>
    <w:rsid w:val="001026DD"/>
    <w:rsid w:val="00102811"/>
    <w:rsid w:val="00103444"/>
    <w:rsid w:val="00103638"/>
    <w:rsid w:val="00103881"/>
    <w:rsid w:val="00103B6F"/>
    <w:rsid w:val="0010418B"/>
    <w:rsid w:val="0010458C"/>
    <w:rsid w:val="00104CD4"/>
    <w:rsid w:val="00104EAC"/>
    <w:rsid w:val="00104EEC"/>
    <w:rsid w:val="00105178"/>
    <w:rsid w:val="00105421"/>
    <w:rsid w:val="00105A3E"/>
    <w:rsid w:val="00105DC0"/>
    <w:rsid w:val="00105DD3"/>
    <w:rsid w:val="00105ED2"/>
    <w:rsid w:val="00106097"/>
    <w:rsid w:val="001065AB"/>
    <w:rsid w:val="001067A1"/>
    <w:rsid w:val="00106A20"/>
    <w:rsid w:val="001072EF"/>
    <w:rsid w:val="00107563"/>
    <w:rsid w:val="0010759E"/>
    <w:rsid w:val="00107605"/>
    <w:rsid w:val="001077D5"/>
    <w:rsid w:val="00107939"/>
    <w:rsid w:val="00107E32"/>
    <w:rsid w:val="001101AA"/>
    <w:rsid w:val="0011053B"/>
    <w:rsid w:val="001109BD"/>
    <w:rsid w:val="00110CF5"/>
    <w:rsid w:val="00110F4F"/>
    <w:rsid w:val="00110FBD"/>
    <w:rsid w:val="00111097"/>
    <w:rsid w:val="001114C4"/>
    <w:rsid w:val="0011186F"/>
    <w:rsid w:val="00111C8C"/>
    <w:rsid w:val="001126BB"/>
    <w:rsid w:val="001127AF"/>
    <w:rsid w:val="001128CA"/>
    <w:rsid w:val="00112E64"/>
    <w:rsid w:val="00113070"/>
    <w:rsid w:val="00113190"/>
    <w:rsid w:val="00113806"/>
    <w:rsid w:val="001138A3"/>
    <w:rsid w:val="00113F22"/>
    <w:rsid w:val="00114229"/>
    <w:rsid w:val="001142CE"/>
    <w:rsid w:val="0011440D"/>
    <w:rsid w:val="0011452E"/>
    <w:rsid w:val="00114567"/>
    <w:rsid w:val="001148E3"/>
    <w:rsid w:val="00114A56"/>
    <w:rsid w:val="00114DFE"/>
    <w:rsid w:val="00115333"/>
    <w:rsid w:val="00115469"/>
    <w:rsid w:val="001154AA"/>
    <w:rsid w:val="001156E3"/>
    <w:rsid w:val="001156F7"/>
    <w:rsid w:val="00115780"/>
    <w:rsid w:val="00115FA7"/>
    <w:rsid w:val="001160DC"/>
    <w:rsid w:val="00116841"/>
    <w:rsid w:val="00116958"/>
    <w:rsid w:val="00116A2D"/>
    <w:rsid w:val="00116A46"/>
    <w:rsid w:val="00116A78"/>
    <w:rsid w:val="00116B95"/>
    <w:rsid w:val="00116D80"/>
    <w:rsid w:val="00117018"/>
    <w:rsid w:val="00117246"/>
    <w:rsid w:val="0011738F"/>
    <w:rsid w:val="00117436"/>
    <w:rsid w:val="00117945"/>
    <w:rsid w:val="00117E62"/>
    <w:rsid w:val="00120128"/>
    <w:rsid w:val="0012023E"/>
    <w:rsid w:val="0012027A"/>
    <w:rsid w:val="001207D4"/>
    <w:rsid w:val="001208E4"/>
    <w:rsid w:val="0012136F"/>
    <w:rsid w:val="00121742"/>
    <w:rsid w:val="0012198F"/>
    <w:rsid w:val="001219C4"/>
    <w:rsid w:val="00121A44"/>
    <w:rsid w:val="0012211C"/>
    <w:rsid w:val="00122194"/>
    <w:rsid w:val="001224AF"/>
    <w:rsid w:val="00122B71"/>
    <w:rsid w:val="00122B78"/>
    <w:rsid w:val="001230CE"/>
    <w:rsid w:val="00123451"/>
    <w:rsid w:val="00123498"/>
    <w:rsid w:val="001235F5"/>
    <w:rsid w:val="00123B14"/>
    <w:rsid w:val="00123B49"/>
    <w:rsid w:val="00123CAD"/>
    <w:rsid w:val="001240A6"/>
    <w:rsid w:val="001241DE"/>
    <w:rsid w:val="001246C0"/>
    <w:rsid w:val="00124B3B"/>
    <w:rsid w:val="00125071"/>
    <w:rsid w:val="00125241"/>
    <w:rsid w:val="001253D3"/>
    <w:rsid w:val="00125D3D"/>
    <w:rsid w:val="00125EDD"/>
    <w:rsid w:val="00126166"/>
    <w:rsid w:val="001263DB"/>
    <w:rsid w:val="001264D3"/>
    <w:rsid w:val="0012653A"/>
    <w:rsid w:val="0012660A"/>
    <w:rsid w:val="00126B40"/>
    <w:rsid w:val="00126CF2"/>
    <w:rsid w:val="00126E86"/>
    <w:rsid w:val="00127001"/>
    <w:rsid w:val="001271F4"/>
    <w:rsid w:val="0012726F"/>
    <w:rsid w:val="0012742B"/>
    <w:rsid w:val="00127BC6"/>
    <w:rsid w:val="00127CBC"/>
    <w:rsid w:val="00127D8E"/>
    <w:rsid w:val="0013020A"/>
    <w:rsid w:val="00130380"/>
    <w:rsid w:val="001308C6"/>
    <w:rsid w:val="00130A2F"/>
    <w:rsid w:val="0013111D"/>
    <w:rsid w:val="0013118C"/>
    <w:rsid w:val="001312D2"/>
    <w:rsid w:val="001316D8"/>
    <w:rsid w:val="001317E4"/>
    <w:rsid w:val="00131919"/>
    <w:rsid w:val="001319E3"/>
    <w:rsid w:val="00131BF4"/>
    <w:rsid w:val="00131C6B"/>
    <w:rsid w:val="00131D87"/>
    <w:rsid w:val="00131DC5"/>
    <w:rsid w:val="00131F64"/>
    <w:rsid w:val="001324E6"/>
    <w:rsid w:val="00132CFF"/>
    <w:rsid w:val="00132EC6"/>
    <w:rsid w:val="00132FDF"/>
    <w:rsid w:val="0013301B"/>
    <w:rsid w:val="00133138"/>
    <w:rsid w:val="001331FC"/>
    <w:rsid w:val="00133279"/>
    <w:rsid w:val="001334F3"/>
    <w:rsid w:val="001338A8"/>
    <w:rsid w:val="00133A28"/>
    <w:rsid w:val="00133BA3"/>
    <w:rsid w:val="00133D06"/>
    <w:rsid w:val="00133D3A"/>
    <w:rsid w:val="0013435D"/>
    <w:rsid w:val="00134710"/>
    <w:rsid w:val="001347A7"/>
    <w:rsid w:val="0013509D"/>
    <w:rsid w:val="00135169"/>
    <w:rsid w:val="001352DB"/>
    <w:rsid w:val="00135438"/>
    <w:rsid w:val="001354D5"/>
    <w:rsid w:val="001354D7"/>
    <w:rsid w:val="001354EC"/>
    <w:rsid w:val="00135510"/>
    <w:rsid w:val="00135533"/>
    <w:rsid w:val="001356DF"/>
    <w:rsid w:val="00135735"/>
    <w:rsid w:val="001358A6"/>
    <w:rsid w:val="00135B9C"/>
    <w:rsid w:val="00135CF2"/>
    <w:rsid w:val="001363E7"/>
    <w:rsid w:val="0013652C"/>
    <w:rsid w:val="0013678D"/>
    <w:rsid w:val="001369F9"/>
    <w:rsid w:val="00136A74"/>
    <w:rsid w:val="00136D9B"/>
    <w:rsid w:val="00136DB2"/>
    <w:rsid w:val="00137078"/>
    <w:rsid w:val="001372B1"/>
    <w:rsid w:val="001372EC"/>
    <w:rsid w:val="00137709"/>
    <w:rsid w:val="001378CC"/>
    <w:rsid w:val="0013795E"/>
    <w:rsid w:val="00137D9E"/>
    <w:rsid w:val="00140312"/>
    <w:rsid w:val="001406BA"/>
    <w:rsid w:val="0014096E"/>
    <w:rsid w:val="00140B37"/>
    <w:rsid w:val="00140C5E"/>
    <w:rsid w:val="00140CC2"/>
    <w:rsid w:val="00141084"/>
    <w:rsid w:val="0014164D"/>
    <w:rsid w:val="0014182B"/>
    <w:rsid w:val="00141A24"/>
    <w:rsid w:val="00141AC0"/>
    <w:rsid w:val="00141EEE"/>
    <w:rsid w:val="00141F1E"/>
    <w:rsid w:val="00141FAC"/>
    <w:rsid w:val="00142460"/>
    <w:rsid w:val="00143337"/>
    <w:rsid w:val="00143519"/>
    <w:rsid w:val="00143576"/>
    <w:rsid w:val="00143840"/>
    <w:rsid w:val="00143B16"/>
    <w:rsid w:val="00143C85"/>
    <w:rsid w:val="001441B4"/>
    <w:rsid w:val="00144954"/>
    <w:rsid w:val="00144AF8"/>
    <w:rsid w:val="0014506A"/>
    <w:rsid w:val="0014526C"/>
    <w:rsid w:val="001455E7"/>
    <w:rsid w:val="00145733"/>
    <w:rsid w:val="00145BF2"/>
    <w:rsid w:val="00145DB6"/>
    <w:rsid w:val="001465B0"/>
    <w:rsid w:val="001467D5"/>
    <w:rsid w:val="00146835"/>
    <w:rsid w:val="001469AB"/>
    <w:rsid w:val="00147060"/>
    <w:rsid w:val="0014771F"/>
    <w:rsid w:val="00147846"/>
    <w:rsid w:val="00147911"/>
    <w:rsid w:val="00147B0C"/>
    <w:rsid w:val="0015011E"/>
    <w:rsid w:val="001501E2"/>
    <w:rsid w:val="001503CB"/>
    <w:rsid w:val="00150B07"/>
    <w:rsid w:val="00150E4E"/>
    <w:rsid w:val="0015130F"/>
    <w:rsid w:val="001513C6"/>
    <w:rsid w:val="00151736"/>
    <w:rsid w:val="0015173C"/>
    <w:rsid w:val="00151944"/>
    <w:rsid w:val="001528F1"/>
    <w:rsid w:val="00152902"/>
    <w:rsid w:val="00152D9E"/>
    <w:rsid w:val="00152F37"/>
    <w:rsid w:val="0015303C"/>
    <w:rsid w:val="00153D3D"/>
    <w:rsid w:val="00154043"/>
    <w:rsid w:val="0015424F"/>
    <w:rsid w:val="001547AA"/>
    <w:rsid w:val="00154B12"/>
    <w:rsid w:val="00154E38"/>
    <w:rsid w:val="00154EC3"/>
    <w:rsid w:val="00154F69"/>
    <w:rsid w:val="00154FB5"/>
    <w:rsid w:val="00155165"/>
    <w:rsid w:val="0015529C"/>
    <w:rsid w:val="00155381"/>
    <w:rsid w:val="00155B10"/>
    <w:rsid w:val="00155EC1"/>
    <w:rsid w:val="00156178"/>
    <w:rsid w:val="001563A5"/>
    <w:rsid w:val="00156B93"/>
    <w:rsid w:val="00156C0B"/>
    <w:rsid w:val="00156EDB"/>
    <w:rsid w:val="00157119"/>
    <w:rsid w:val="00157154"/>
    <w:rsid w:val="0015771F"/>
    <w:rsid w:val="00157815"/>
    <w:rsid w:val="00157BB4"/>
    <w:rsid w:val="00157C2B"/>
    <w:rsid w:val="00157CD5"/>
    <w:rsid w:val="001602A2"/>
    <w:rsid w:val="00160A70"/>
    <w:rsid w:val="001613B9"/>
    <w:rsid w:val="0016158F"/>
    <w:rsid w:val="0016162F"/>
    <w:rsid w:val="001619A3"/>
    <w:rsid w:val="0016234C"/>
    <w:rsid w:val="001624E2"/>
    <w:rsid w:val="001625EC"/>
    <w:rsid w:val="001626FA"/>
    <w:rsid w:val="0016276B"/>
    <w:rsid w:val="0016344B"/>
    <w:rsid w:val="0016379F"/>
    <w:rsid w:val="00163B5E"/>
    <w:rsid w:val="00163FDA"/>
    <w:rsid w:val="0016466F"/>
    <w:rsid w:val="00164671"/>
    <w:rsid w:val="001646E8"/>
    <w:rsid w:val="00164AF9"/>
    <w:rsid w:val="00165084"/>
    <w:rsid w:val="0016513C"/>
    <w:rsid w:val="00165368"/>
    <w:rsid w:val="00165371"/>
    <w:rsid w:val="0016556B"/>
    <w:rsid w:val="0016582C"/>
    <w:rsid w:val="00165A5B"/>
    <w:rsid w:val="0016622F"/>
    <w:rsid w:val="00166251"/>
    <w:rsid w:val="001662C5"/>
    <w:rsid w:val="001669DA"/>
    <w:rsid w:val="00166A13"/>
    <w:rsid w:val="00166B4A"/>
    <w:rsid w:val="00166BD1"/>
    <w:rsid w:val="00167195"/>
    <w:rsid w:val="001673F6"/>
    <w:rsid w:val="00167516"/>
    <w:rsid w:val="0016759F"/>
    <w:rsid w:val="001677A2"/>
    <w:rsid w:val="00167948"/>
    <w:rsid w:val="00167AE5"/>
    <w:rsid w:val="00167E6C"/>
    <w:rsid w:val="00167F28"/>
    <w:rsid w:val="00167F59"/>
    <w:rsid w:val="0017078F"/>
    <w:rsid w:val="00171764"/>
    <w:rsid w:val="00171868"/>
    <w:rsid w:val="001718E0"/>
    <w:rsid w:val="00171DD8"/>
    <w:rsid w:val="00171E7F"/>
    <w:rsid w:val="001722B4"/>
    <w:rsid w:val="00172316"/>
    <w:rsid w:val="001723A3"/>
    <w:rsid w:val="00172412"/>
    <w:rsid w:val="0017243D"/>
    <w:rsid w:val="00172965"/>
    <w:rsid w:val="001729C9"/>
    <w:rsid w:val="00172B0B"/>
    <w:rsid w:val="00172E06"/>
    <w:rsid w:val="00172FB9"/>
    <w:rsid w:val="001732BA"/>
    <w:rsid w:val="00173630"/>
    <w:rsid w:val="0017367F"/>
    <w:rsid w:val="00173FE6"/>
    <w:rsid w:val="001746BE"/>
    <w:rsid w:val="001747C8"/>
    <w:rsid w:val="001747E9"/>
    <w:rsid w:val="00174E5F"/>
    <w:rsid w:val="0017509E"/>
    <w:rsid w:val="0017513C"/>
    <w:rsid w:val="0017546E"/>
    <w:rsid w:val="0017561C"/>
    <w:rsid w:val="001758CD"/>
    <w:rsid w:val="0017640C"/>
    <w:rsid w:val="001765A6"/>
    <w:rsid w:val="00177670"/>
    <w:rsid w:val="0017792D"/>
    <w:rsid w:val="00177D0E"/>
    <w:rsid w:val="0018018F"/>
    <w:rsid w:val="0018085F"/>
    <w:rsid w:val="001808F0"/>
    <w:rsid w:val="00180A01"/>
    <w:rsid w:val="00180ADA"/>
    <w:rsid w:val="00180AF0"/>
    <w:rsid w:val="00180E63"/>
    <w:rsid w:val="00180FE8"/>
    <w:rsid w:val="00181405"/>
    <w:rsid w:val="001815F8"/>
    <w:rsid w:val="0018193A"/>
    <w:rsid w:val="001819BD"/>
    <w:rsid w:val="00181B31"/>
    <w:rsid w:val="00181D53"/>
    <w:rsid w:val="00181D87"/>
    <w:rsid w:val="00181DC3"/>
    <w:rsid w:val="00182083"/>
    <w:rsid w:val="0018221E"/>
    <w:rsid w:val="0018273A"/>
    <w:rsid w:val="0018278B"/>
    <w:rsid w:val="00182B8A"/>
    <w:rsid w:val="00182E0C"/>
    <w:rsid w:val="001835E7"/>
    <w:rsid w:val="00183847"/>
    <w:rsid w:val="00183AF8"/>
    <w:rsid w:val="00183F40"/>
    <w:rsid w:val="0018426A"/>
    <w:rsid w:val="001844EA"/>
    <w:rsid w:val="0018484C"/>
    <w:rsid w:val="00184860"/>
    <w:rsid w:val="001849BA"/>
    <w:rsid w:val="00184A78"/>
    <w:rsid w:val="00184AF7"/>
    <w:rsid w:val="00184B82"/>
    <w:rsid w:val="0018502B"/>
    <w:rsid w:val="00185325"/>
    <w:rsid w:val="00185365"/>
    <w:rsid w:val="00185539"/>
    <w:rsid w:val="0018613D"/>
    <w:rsid w:val="00186370"/>
    <w:rsid w:val="0018694F"/>
    <w:rsid w:val="00187044"/>
    <w:rsid w:val="001870D6"/>
    <w:rsid w:val="001873E0"/>
    <w:rsid w:val="001901C4"/>
    <w:rsid w:val="0019044D"/>
    <w:rsid w:val="00190551"/>
    <w:rsid w:val="00190654"/>
    <w:rsid w:val="001906A6"/>
    <w:rsid w:val="001907BA"/>
    <w:rsid w:val="001908C2"/>
    <w:rsid w:val="0019095F"/>
    <w:rsid w:val="00190978"/>
    <w:rsid w:val="001909D4"/>
    <w:rsid w:val="00190C42"/>
    <w:rsid w:val="00190F11"/>
    <w:rsid w:val="00191167"/>
    <w:rsid w:val="0019121C"/>
    <w:rsid w:val="00191416"/>
    <w:rsid w:val="0019180D"/>
    <w:rsid w:val="00191D69"/>
    <w:rsid w:val="0019241F"/>
    <w:rsid w:val="001925FC"/>
    <w:rsid w:val="0019280D"/>
    <w:rsid w:val="001929AF"/>
    <w:rsid w:val="00192EF6"/>
    <w:rsid w:val="00192F1C"/>
    <w:rsid w:val="001930C7"/>
    <w:rsid w:val="00193190"/>
    <w:rsid w:val="001932F2"/>
    <w:rsid w:val="0019371F"/>
    <w:rsid w:val="0019382D"/>
    <w:rsid w:val="001939A8"/>
    <w:rsid w:val="001944A8"/>
    <w:rsid w:val="00194556"/>
    <w:rsid w:val="00194559"/>
    <w:rsid w:val="00194A31"/>
    <w:rsid w:val="00194B43"/>
    <w:rsid w:val="00194D40"/>
    <w:rsid w:val="00195094"/>
    <w:rsid w:val="0019519D"/>
    <w:rsid w:val="001951DE"/>
    <w:rsid w:val="001954B1"/>
    <w:rsid w:val="0019570D"/>
    <w:rsid w:val="00195893"/>
    <w:rsid w:val="00195EAB"/>
    <w:rsid w:val="0019621E"/>
    <w:rsid w:val="001964BE"/>
    <w:rsid w:val="001965F6"/>
    <w:rsid w:val="001970B4"/>
    <w:rsid w:val="00197938"/>
    <w:rsid w:val="00197AEC"/>
    <w:rsid w:val="00197B1B"/>
    <w:rsid w:val="00197F61"/>
    <w:rsid w:val="001A02DB"/>
    <w:rsid w:val="001A0387"/>
    <w:rsid w:val="001A089A"/>
    <w:rsid w:val="001A0DBA"/>
    <w:rsid w:val="001A0E7C"/>
    <w:rsid w:val="001A0E80"/>
    <w:rsid w:val="001A0EA8"/>
    <w:rsid w:val="001A1268"/>
    <w:rsid w:val="001A16D3"/>
    <w:rsid w:val="001A1814"/>
    <w:rsid w:val="001A18AF"/>
    <w:rsid w:val="001A1B3E"/>
    <w:rsid w:val="001A1D36"/>
    <w:rsid w:val="001A1E54"/>
    <w:rsid w:val="001A1F40"/>
    <w:rsid w:val="001A2218"/>
    <w:rsid w:val="001A26A8"/>
    <w:rsid w:val="001A2AF9"/>
    <w:rsid w:val="001A334A"/>
    <w:rsid w:val="001A35C2"/>
    <w:rsid w:val="001A3780"/>
    <w:rsid w:val="001A38AF"/>
    <w:rsid w:val="001A3962"/>
    <w:rsid w:val="001A3B6B"/>
    <w:rsid w:val="001A3D18"/>
    <w:rsid w:val="001A4070"/>
    <w:rsid w:val="001A44DE"/>
    <w:rsid w:val="001A4745"/>
    <w:rsid w:val="001A474D"/>
    <w:rsid w:val="001A4E0D"/>
    <w:rsid w:val="001A4E46"/>
    <w:rsid w:val="001A577A"/>
    <w:rsid w:val="001A57D6"/>
    <w:rsid w:val="001A597F"/>
    <w:rsid w:val="001A5B82"/>
    <w:rsid w:val="001A63D1"/>
    <w:rsid w:val="001A6475"/>
    <w:rsid w:val="001A6810"/>
    <w:rsid w:val="001A6DD8"/>
    <w:rsid w:val="001A6F70"/>
    <w:rsid w:val="001A71F5"/>
    <w:rsid w:val="001A7639"/>
    <w:rsid w:val="001A7867"/>
    <w:rsid w:val="001A7A88"/>
    <w:rsid w:val="001B0392"/>
    <w:rsid w:val="001B04E1"/>
    <w:rsid w:val="001B07BC"/>
    <w:rsid w:val="001B12AF"/>
    <w:rsid w:val="001B1620"/>
    <w:rsid w:val="001B1717"/>
    <w:rsid w:val="001B18EA"/>
    <w:rsid w:val="001B1A9D"/>
    <w:rsid w:val="001B1B49"/>
    <w:rsid w:val="001B276A"/>
    <w:rsid w:val="001B28BD"/>
    <w:rsid w:val="001B296F"/>
    <w:rsid w:val="001B2C61"/>
    <w:rsid w:val="001B2D22"/>
    <w:rsid w:val="001B2E4B"/>
    <w:rsid w:val="001B2E5C"/>
    <w:rsid w:val="001B30A7"/>
    <w:rsid w:val="001B3550"/>
    <w:rsid w:val="001B35D9"/>
    <w:rsid w:val="001B36A5"/>
    <w:rsid w:val="001B36FE"/>
    <w:rsid w:val="001B37DF"/>
    <w:rsid w:val="001B40DA"/>
    <w:rsid w:val="001B500A"/>
    <w:rsid w:val="001B5343"/>
    <w:rsid w:val="001B5442"/>
    <w:rsid w:val="001B55E8"/>
    <w:rsid w:val="001B5B99"/>
    <w:rsid w:val="001B6048"/>
    <w:rsid w:val="001B612A"/>
    <w:rsid w:val="001B632B"/>
    <w:rsid w:val="001B6A3C"/>
    <w:rsid w:val="001B6C02"/>
    <w:rsid w:val="001B6C9C"/>
    <w:rsid w:val="001B6CD1"/>
    <w:rsid w:val="001B7107"/>
    <w:rsid w:val="001B7269"/>
    <w:rsid w:val="001B7B08"/>
    <w:rsid w:val="001B7F7E"/>
    <w:rsid w:val="001C025D"/>
    <w:rsid w:val="001C045A"/>
    <w:rsid w:val="001C0635"/>
    <w:rsid w:val="001C07B8"/>
    <w:rsid w:val="001C089B"/>
    <w:rsid w:val="001C0BCD"/>
    <w:rsid w:val="001C0D12"/>
    <w:rsid w:val="001C0EF1"/>
    <w:rsid w:val="001C10DB"/>
    <w:rsid w:val="001C138F"/>
    <w:rsid w:val="001C159E"/>
    <w:rsid w:val="001C1649"/>
    <w:rsid w:val="001C17BC"/>
    <w:rsid w:val="001C1DA2"/>
    <w:rsid w:val="001C1EDB"/>
    <w:rsid w:val="001C2364"/>
    <w:rsid w:val="001C280E"/>
    <w:rsid w:val="001C2928"/>
    <w:rsid w:val="001C29A7"/>
    <w:rsid w:val="001C2B93"/>
    <w:rsid w:val="001C2CC3"/>
    <w:rsid w:val="001C2DED"/>
    <w:rsid w:val="001C2EA4"/>
    <w:rsid w:val="001C33BF"/>
    <w:rsid w:val="001C35F4"/>
    <w:rsid w:val="001C3618"/>
    <w:rsid w:val="001C369B"/>
    <w:rsid w:val="001C382B"/>
    <w:rsid w:val="001C3B0F"/>
    <w:rsid w:val="001C499F"/>
    <w:rsid w:val="001C4ABD"/>
    <w:rsid w:val="001C4D9D"/>
    <w:rsid w:val="001C5052"/>
    <w:rsid w:val="001C506E"/>
    <w:rsid w:val="001C5223"/>
    <w:rsid w:val="001C5459"/>
    <w:rsid w:val="001C5997"/>
    <w:rsid w:val="001C5A5A"/>
    <w:rsid w:val="001C5FDF"/>
    <w:rsid w:val="001C6106"/>
    <w:rsid w:val="001C6355"/>
    <w:rsid w:val="001C6554"/>
    <w:rsid w:val="001C6574"/>
    <w:rsid w:val="001C65D3"/>
    <w:rsid w:val="001C6633"/>
    <w:rsid w:val="001C6694"/>
    <w:rsid w:val="001C68EE"/>
    <w:rsid w:val="001C697A"/>
    <w:rsid w:val="001C6B80"/>
    <w:rsid w:val="001C6D42"/>
    <w:rsid w:val="001C790D"/>
    <w:rsid w:val="001C7E3B"/>
    <w:rsid w:val="001C7E82"/>
    <w:rsid w:val="001C7EE4"/>
    <w:rsid w:val="001C7FA0"/>
    <w:rsid w:val="001D012A"/>
    <w:rsid w:val="001D076E"/>
    <w:rsid w:val="001D07DE"/>
    <w:rsid w:val="001D0AD7"/>
    <w:rsid w:val="001D0B56"/>
    <w:rsid w:val="001D0C31"/>
    <w:rsid w:val="001D10DC"/>
    <w:rsid w:val="001D1277"/>
    <w:rsid w:val="001D1481"/>
    <w:rsid w:val="001D1D73"/>
    <w:rsid w:val="001D1E4C"/>
    <w:rsid w:val="001D1E86"/>
    <w:rsid w:val="001D1FDD"/>
    <w:rsid w:val="001D2308"/>
    <w:rsid w:val="001D24FC"/>
    <w:rsid w:val="001D288C"/>
    <w:rsid w:val="001D29E8"/>
    <w:rsid w:val="001D2CF4"/>
    <w:rsid w:val="001D307D"/>
    <w:rsid w:val="001D321E"/>
    <w:rsid w:val="001D329F"/>
    <w:rsid w:val="001D34BF"/>
    <w:rsid w:val="001D3684"/>
    <w:rsid w:val="001D373E"/>
    <w:rsid w:val="001D3AAB"/>
    <w:rsid w:val="001D3C78"/>
    <w:rsid w:val="001D3E1E"/>
    <w:rsid w:val="001D3E7D"/>
    <w:rsid w:val="001D46DA"/>
    <w:rsid w:val="001D4B8D"/>
    <w:rsid w:val="001D4D2C"/>
    <w:rsid w:val="001D4EEC"/>
    <w:rsid w:val="001D4FD5"/>
    <w:rsid w:val="001D50EC"/>
    <w:rsid w:val="001D5794"/>
    <w:rsid w:val="001D591C"/>
    <w:rsid w:val="001D59FE"/>
    <w:rsid w:val="001D5D79"/>
    <w:rsid w:val="001D5ECA"/>
    <w:rsid w:val="001D5FBE"/>
    <w:rsid w:val="001D5FE8"/>
    <w:rsid w:val="001D6240"/>
    <w:rsid w:val="001D62A0"/>
    <w:rsid w:val="001D6AC6"/>
    <w:rsid w:val="001D6D2C"/>
    <w:rsid w:val="001D6F5C"/>
    <w:rsid w:val="001D76CE"/>
    <w:rsid w:val="001D78CD"/>
    <w:rsid w:val="001D792D"/>
    <w:rsid w:val="001D7977"/>
    <w:rsid w:val="001D7C75"/>
    <w:rsid w:val="001E04F5"/>
    <w:rsid w:val="001E0A0A"/>
    <w:rsid w:val="001E0B3B"/>
    <w:rsid w:val="001E111B"/>
    <w:rsid w:val="001E136A"/>
    <w:rsid w:val="001E13EE"/>
    <w:rsid w:val="001E1B63"/>
    <w:rsid w:val="001E1C4C"/>
    <w:rsid w:val="001E1D5E"/>
    <w:rsid w:val="001E1F29"/>
    <w:rsid w:val="001E2163"/>
    <w:rsid w:val="001E2172"/>
    <w:rsid w:val="001E241D"/>
    <w:rsid w:val="001E2893"/>
    <w:rsid w:val="001E2E6D"/>
    <w:rsid w:val="001E37DE"/>
    <w:rsid w:val="001E3E6C"/>
    <w:rsid w:val="001E3F3D"/>
    <w:rsid w:val="001E4497"/>
    <w:rsid w:val="001E44C8"/>
    <w:rsid w:val="001E44D6"/>
    <w:rsid w:val="001E47F4"/>
    <w:rsid w:val="001E482A"/>
    <w:rsid w:val="001E4A30"/>
    <w:rsid w:val="001E4EA5"/>
    <w:rsid w:val="001E4F24"/>
    <w:rsid w:val="001E55DE"/>
    <w:rsid w:val="001E5AF9"/>
    <w:rsid w:val="001E5F0C"/>
    <w:rsid w:val="001E6A97"/>
    <w:rsid w:val="001E6B13"/>
    <w:rsid w:val="001E6CE2"/>
    <w:rsid w:val="001E6FD4"/>
    <w:rsid w:val="001E7188"/>
    <w:rsid w:val="001E73B8"/>
    <w:rsid w:val="001E76B2"/>
    <w:rsid w:val="001E7765"/>
    <w:rsid w:val="001E7853"/>
    <w:rsid w:val="001E7F48"/>
    <w:rsid w:val="001F072C"/>
    <w:rsid w:val="001F0814"/>
    <w:rsid w:val="001F0885"/>
    <w:rsid w:val="001F09E8"/>
    <w:rsid w:val="001F09F4"/>
    <w:rsid w:val="001F0D39"/>
    <w:rsid w:val="001F0D67"/>
    <w:rsid w:val="001F1150"/>
    <w:rsid w:val="001F1454"/>
    <w:rsid w:val="001F172E"/>
    <w:rsid w:val="001F1B77"/>
    <w:rsid w:val="001F1BB8"/>
    <w:rsid w:val="001F1BE0"/>
    <w:rsid w:val="001F1D20"/>
    <w:rsid w:val="001F23A6"/>
    <w:rsid w:val="001F249D"/>
    <w:rsid w:val="001F25BE"/>
    <w:rsid w:val="001F276F"/>
    <w:rsid w:val="001F29A7"/>
    <w:rsid w:val="001F2D96"/>
    <w:rsid w:val="001F301F"/>
    <w:rsid w:val="001F35B6"/>
    <w:rsid w:val="001F3612"/>
    <w:rsid w:val="001F3939"/>
    <w:rsid w:val="001F39B6"/>
    <w:rsid w:val="001F3DD0"/>
    <w:rsid w:val="001F41A4"/>
    <w:rsid w:val="001F4231"/>
    <w:rsid w:val="001F4694"/>
    <w:rsid w:val="001F47E7"/>
    <w:rsid w:val="001F4A6C"/>
    <w:rsid w:val="001F4D5D"/>
    <w:rsid w:val="001F4E7F"/>
    <w:rsid w:val="001F4ED0"/>
    <w:rsid w:val="001F523B"/>
    <w:rsid w:val="001F534F"/>
    <w:rsid w:val="001F53FB"/>
    <w:rsid w:val="001F5448"/>
    <w:rsid w:val="001F5680"/>
    <w:rsid w:val="001F5A91"/>
    <w:rsid w:val="001F60C4"/>
    <w:rsid w:val="001F66DA"/>
    <w:rsid w:val="001F6791"/>
    <w:rsid w:val="001F6A5E"/>
    <w:rsid w:val="001F6ACA"/>
    <w:rsid w:val="001F6D24"/>
    <w:rsid w:val="001F6D7E"/>
    <w:rsid w:val="001F6F85"/>
    <w:rsid w:val="001F745A"/>
    <w:rsid w:val="001F74C6"/>
    <w:rsid w:val="001F7547"/>
    <w:rsid w:val="001F77D9"/>
    <w:rsid w:val="001F7810"/>
    <w:rsid w:val="001F7AB4"/>
    <w:rsid w:val="001F7B67"/>
    <w:rsid w:val="001F7C9B"/>
    <w:rsid w:val="00200384"/>
    <w:rsid w:val="002003EA"/>
    <w:rsid w:val="0020046A"/>
    <w:rsid w:val="00200933"/>
    <w:rsid w:val="00200AB8"/>
    <w:rsid w:val="00200D1F"/>
    <w:rsid w:val="00200D9B"/>
    <w:rsid w:val="0020129B"/>
    <w:rsid w:val="0020142E"/>
    <w:rsid w:val="00201589"/>
    <w:rsid w:val="002015BE"/>
    <w:rsid w:val="002016BA"/>
    <w:rsid w:val="00201ADD"/>
    <w:rsid w:val="00201D35"/>
    <w:rsid w:val="00201D3A"/>
    <w:rsid w:val="002021B8"/>
    <w:rsid w:val="002021FC"/>
    <w:rsid w:val="00202481"/>
    <w:rsid w:val="00202720"/>
    <w:rsid w:val="00202779"/>
    <w:rsid w:val="00202936"/>
    <w:rsid w:val="002029B1"/>
    <w:rsid w:val="00202F4C"/>
    <w:rsid w:val="00203007"/>
    <w:rsid w:val="002034CB"/>
    <w:rsid w:val="00203512"/>
    <w:rsid w:val="00203658"/>
    <w:rsid w:val="00203736"/>
    <w:rsid w:val="00203787"/>
    <w:rsid w:val="00203BC7"/>
    <w:rsid w:val="00204025"/>
    <w:rsid w:val="002043D7"/>
    <w:rsid w:val="0020468D"/>
    <w:rsid w:val="0020477C"/>
    <w:rsid w:val="00204A8E"/>
    <w:rsid w:val="00204ED7"/>
    <w:rsid w:val="00204F4C"/>
    <w:rsid w:val="00205231"/>
    <w:rsid w:val="00205265"/>
    <w:rsid w:val="0020528F"/>
    <w:rsid w:val="0020539E"/>
    <w:rsid w:val="002055B2"/>
    <w:rsid w:val="0020570F"/>
    <w:rsid w:val="0020585E"/>
    <w:rsid w:val="002058A4"/>
    <w:rsid w:val="00205D38"/>
    <w:rsid w:val="0020630F"/>
    <w:rsid w:val="0020634D"/>
    <w:rsid w:val="00206379"/>
    <w:rsid w:val="0020643C"/>
    <w:rsid w:val="0020672D"/>
    <w:rsid w:val="002067B0"/>
    <w:rsid w:val="00206868"/>
    <w:rsid w:val="0020688A"/>
    <w:rsid w:val="00206B80"/>
    <w:rsid w:val="00206BAE"/>
    <w:rsid w:val="00207209"/>
    <w:rsid w:val="0020725C"/>
    <w:rsid w:val="0020737A"/>
    <w:rsid w:val="002073B1"/>
    <w:rsid w:val="00207639"/>
    <w:rsid w:val="0020772E"/>
    <w:rsid w:val="00207897"/>
    <w:rsid w:val="00207A41"/>
    <w:rsid w:val="00207C46"/>
    <w:rsid w:val="00210284"/>
    <w:rsid w:val="002102B4"/>
    <w:rsid w:val="00210635"/>
    <w:rsid w:val="0021074F"/>
    <w:rsid w:val="00210AA9"/>
    <w:rsid w:val="002111B2"/>
    <w:rsid w:val="002114FD"/>
    <w:rsid w:val="00211988"/>
    <w:rsid w:val="002119CC"/>
    <w:rsid w:val="00211C0B"/>
    <w:rsid w:val="00211C78"/>
    <w:rsid w:val="002121F4"/>
    <w:rsid w:val="00212403"/>
    <w:rsid w:val="00212637"/>
    <w:rsid w:val="0021272E"/>
    <w:rsid w:val="00212822"/>
    <w:rsid w:val="0021282B"/>
    <w:rsid w:val="00212C08"/>
    <w:rsid w:val="00212E3D"/>
    <w:rsid w:val="002131DD"/>
    <w:rsid w:val="00213A38"/>
    <w:rsid w:val="00213BD1"/>
    <w:rsid w:val="00213F8A"/>
    <w:rsid w:val="002141F8"/>
    <w:rsid w:val="002143B5"/>
    <w:rsid w:val="00214583"/>
    <w:rsid w:val="00214698"/>
    <w:rsid w:val="002149BB"/>
    <w:rsid w:val="00214A8D"/>
    <w:rsid w:val="00215588"/>
    <w:rsid w:val="00215BCA"/>
    <w:rsid w:val="00215BE9"/>
    <w:rsid w:val="00215D5D"/>
    <w:rsid w:val="00215EDA"/>
    <w:rsid w:val="00216251"/>
    <w:rsid w:val="00216BE9"/>
    <w:rsid w:val="00216F81"/>
    <w:rsid w:val="002173C4"/>
    <w:rsid w:val="00217AF2"/>
    <w:rsid w:val="00220072"/>
    <w:rsid w:val="0022021A"/>
    <w:rsid w:val="0022030D"/>
    <w:rsid w:val="002206A0"/>
    <w:rsid w:val="0022071E"/>
    <w:rsid w:val="0022082D"/>
    <w:rsid w:val="00220E7C"/>
    <w:rsid w:val="00221302"/>
    <w:rsid w:val="00221633"/>
    <w:rsid w:val="00221731"/>
    <w:rsid w:val="00221983"/>
    <w:rsid w:val="00221F53"/>
    <w:rsid w:val="00221FCC"/>
    <w:rsid w:val="0022204F"/>
    <w:rsid w:val="0022262E"/>
    <w:rsid w:val="0022286C"/>
    <w:rsid w:val="00222AE6"/>
    <w:rsid w:val="00222C22"/>
    <w:rsid w:val="00223235"/>
    <w:rsid w:val="00223541"/>
    <w:rsid w:val="002237B3"/>
    <w:rsid w:val="00224417"/>
    <w:rsid w:val="00224F16"/>
    <w:rsid w:val="002250CA"/>
    <w:rsid w:val="002252EE"/>
    <w:rsid w:val="00225724"/>
    <w:rsid w:val="00225D9E"/>
    <w:rsid w:val="00225E01"/>
    <w:rsid w:val="00225FAE"/>
    <w:rsid w:val="002262C7"/>
    <w:rsid w:val="00226605"/>
    <w:rsid w:val="00227027"/>
    <w:rsid w:val="00227660"/>
    <w:rsid w:val="002277AD"/>
    <w:rsid w:val="002277B1"/>
    <w:rsid w:val="00227DFC"/>
    <w:rsid w:val="00227F24"/>
    <w:rsid w:val="00227FCB"/>
    <w:rsid w:val="00230069"/>
    <w:rsid w:val="00230119"/>
    <w:rsid w:val="0023011A"/>
    <w:rsid w:val="00230298"/>
    <w:rsid w:val="00230730"/>
    <w:rsid w:val="002311F4"/>
    <w:rsid w:val="00231839"/>
    <w:rsid w:val="00231911"/>
    <w:rsid w:val="0023238D"/>
    <w:rsid w:val="00232400"/>
    <w:rsid w:val="00232836"/>
    <w:rsid w:val="00232BA2"/>
    <w:rsid w:val="00232CC7"/>
    <w:rsid w:val="002334B3"/>
    <w:rsid w:val="0023393D"/>
    <w:rsid w:val="0023394D"/>
    <w:rsid w:val="002339A9"/>
    <w:rsid w:val="00233D1B"/>
    <w:rsid w:val="00233E4A"/>
    <w:rsid w:val="00233EAD"/>
    <w:rsid w:val="0023405D"/>
    <w:rsid w:val="002342B2"/>
    <w:rsid w:val="00234B0F"/>
    <w:rsid w:val="00234D43"/>
    <w:rsid w:val="00234D73"/>
    <w:rsid w:val="0023500A"/>
    <w:rsid w:val="00235196"/>
    <w:rsid w:val="0023562B"/>
    <w:rsid w:val="002358BA"/>
    <w:rsid w:val="00235AE3"/>
    <w:rsid w:val="00235B7E"/>
    <w:rsid w:val="00235BB5"/>
    <w:rsid w:val="00235D29"/>
    <w:rsid w:val="00235DB4"/>
    <w:rsid w:val="0023616C"/>
    <w:rsid w:val="002364D9"/>
    <w:rsid w:val="00236C7F"/>
    <w:rsid w:val="00237089"/>
    <w:rsid w:val="0023715B"/>
    <w:rsid w:val="0023754A"/>
    <w:rsid w:val="0023755F"/>
    <w:rsid w:val="0023761F"/>
    <w:rsid w:val="002376E5"/>
    <w:rsid w:val="00237814"/>
    <w:rsid w:val="00237C6D"/>
    <w:rsid w:val="0024024F"/>
    <w:rsid w:val="0024049C"/>
    <w:rsid w:val="002405FE"/>
    <w:rsid w:val="002406E4"/>
    <w:rsid w:val="00240D15"/>
    <w:rsid w:val="00240D1F"/>
    <w:rsid w:val="00240FAE"/>
    <w:rsid w:val="00241222"/>
    <w:rsid w:val="002414AC"/>
    <w:rsid w:val="002414B0"/>
    <w:rsid w:val="002417D9"/>
    <w:rsid w:val="0024195A"/>
    <w:rsid w:val="00241B6B"/>
    <w:rsid w:val="00241D06"/>
    <w:rsid w:val="00241E2C"/>
    <w:rsid w:val="00242253"/>
    <w:rsid w:val="00242479"/>
    <w:rsid w:val="0024284E"/>
    <w:rsid w:val="002429F2"/>
    <w:rsid w:val="00242E7C"/>
    <w:rsid w:val="0024304B"/>
    <w:rsid w:val="00243254"/>
    <w:rsid w:val="0024331B"/>
    <w:rsid w:val="00243D81"/>
    <w:rsid w:val="00244290"/>
    <w:rsid w:val="00244671"/>
    <w:rsid w:val="00244ACA"/>
    <w:rsid w:val="00244C36"/>
    <w:rsid w:val="00244DC2"/>
    <w:rsid w:val="00244EFC"/>
    <w:rsid w:val="00244F0D"/>
    <w:rsid w:val="00244F1B"/>
    <w:rsid w:val="00244FD9"/>
    <w:rsid w:val="00245292"/>
    <w:rsid w:val="00245B32"/>
    <w:rsid w:val="00245CF0"/>
    <w:rsid w:val="00245D07"/>
    <w:rsid w:val="00245D70"/>
    <w:rsid w:val="002465E1"/>
    <w:rsid w:val="00246988"/>
    <w:rsid w:val="00246A26"/>
    <w:rsid w:val="00246EBF"/>
    <w:rsid w:val="00247287"/>
    <w:rsid w:val="002472A2"/>
    <w:rsid w:val="002473C8"/>
    <w:rsid w:val="002474AF"/>
    <w:rsid w:val="002477F6"/>
    <w:rsid w:val="00247C2C"/>
    <w:rsid w:val="00247E02"/>
    <w:rsid w:val="00247E69"/>
    <w:rsid w:val="00247ED9"/>
    <w:rsid w:val="00247EEF"/>
    <w:rsid w:val="00250011"/>
    <w:rsid w:val="00250279"/>
    <w:rsid w:val="00250516"/>
    <w:rsid w:val="00250823"/>
    <w:rsid w:val="0025087C"/>
    <w:rsid w:val="00250905"/>
    <w:rsid w:val="00250BD7"/>
    <w:rsid w:val="0025111D"/>
    <w:rsid w:val="00251122"/>
    <w:rsid w:val="00251298"/>
    <w:rsid w:val="00251453"/>
    <w:rsid w:val="002514E6"/>
    <w:rsid w:val="002515C7"/>
    <w:rsid w:val="00251849"/>
    <w:rsid w:val="0025195F"/>
    <w:rsid w:val="00252278"/>
    <w:rsid w:val="002522FB"/>
    <w:rsid w:val="0025293C"/>
    <w:rsid w:val="00253109"/>
    <w:rsid w:val="002536D6"/>
    <w:rsid w:val="0025385D"/>
    <w:rsid w:val="002538B1"/>
    <w:rsid w:val="00254415"/>
    <w:rsid w:val="00254D7A"/>
    <w:rsid w:val="00254DBE"/>
    <w:rsid w:val="00255DF4"/>
    <w:rsid w:val="00255E26"/>
    <w:rsid w:val="002560AD"/>
    <w:rsid w:val="00256197"/>
    <w:rsid w:val="002563FE"/>
    <w:rsid w:val="00256AFE"/>
    <w:rsid w:val="00256ECC"/>
    <w:rsid w:val="00257189"/>
    <w:rsid w:val="00257287"/>
    <w:rsid w:val="00257A7E"/>
    <w:rsid w:val="00257C4F"/>
    <w:rsid w:val="00257D35"/>
    <w:rsid w:val="00260078"/>
    <w:rsid w:val="002603D6"/>
    <w:rsid w:val="00260651"/>
    <w:rsid w:val="00260D1A"/>
    <w:rsid w:val="0026122E"/>
    <w:rsid w:val="0026148B"/>
    <w:rsid w:val="00261A71"/>
    <w:rsid w:val="00261E34"/>
    <w:rsid w:val="00261E94"/>
    <w:rsid w:val="00261EE5"/>
    <w:rsid w:val="002622EF"/>
    <w:rsid w:val="002626D9"/>
    <w:rsid w:val="002627EF"/>
    <w:rsid w:val="00262925"/>
    <w:rsid w:val="0026299A"/>
    <w:rsid w:val="00262C78"/>
    <w:rsid w:val="00262E93"/>
    <w:rsid w:val="00263568"/>
    <w:rsid w:val="00263951"/>
    <w:rsid w:val="00264240"/>
    <w:rsid w:val="00264371"/>
    <w:rsid w:val="00264463"/>
    <w:rsid w:val="0026468A"/>
    <w:rsid w:val="002647EF"/>
    <w:rsid w:val="002648CF"/>
    <w:rsid w:val="00264E54"/>
    <w:rsid w:val="00265184"/>
    <w:rsid w:val="002651FC"/>
    <w:rsid w:val="00265252"/>
    <w:rsid w:val="0026587D"/>
    <w:rsid w:val="00265ABE"/>
    <w:rsid w:val="00265CCE"/>
    <w:rsid w:val="00265E91"/>
    <w:rsid w:val="00265EEF"/>
    <w:rsid w:val="0026603C"/>
    <w:rsid w:val="0026608F"/>
    <w:rsid w:val="00266156"/>
    <w:rsid w:val="00266238"/>
    <w:rsid w:val="002667C6"/>
    <w:rsid w:val="00266851"/>
    <w:rsid w:val="00266AEC"/>
    <w:rsid w:val="00266B1C"/>
    <w:rsid w:val="0026706C"/>
    <w:rsid w:val="00267074"/>
    <w:rsid w:val="00267297"/>
    <w:rsid w:val="00267307"/>
    <w:rsid w:val="002677AD"/>
    <w:rsid w:val="002678AD"/>
    <w:rsid w:val="002679DC"/>
    <w:rsid w:val="00267DC5"/>
    <w:rsid w:val="00267F03"/>
    <w:rsid w:val="00270036"/>
    <w:rsid w:val="0027020C"/>
    <w:rsid w:val="00270492"/>
    <w:rsid w:val="002705F4"/>
    <w:rsid w:val="00270B46"/>
    <w:rsid w:val="00270E43"/>
    <w:rsid w:val="00270F5F"/>
    <w:rsid w:val="002711EE"/>
    <w:rsid w:val="002713EE"/>
    <w:rsid w:val="0027144E"/>
    <w:rsid w:val="00271640"/>
    <w:rsid w:val="002716C0"/>
    <w:rsid w:val="00271A99"/>
    <w:rsid w:val="00271BB8"/>
    <w:rsid w:val="00272060"/>
    <w:rsid w:val="002728F4"/>
    <w:rsid w:val="002729B5"/>
    <w:rsid w:val="00272D67"/>
    <w:rsid w:val="00272E20"/>
    <w:rsid w:val="002731E2"/>
    <w:rsid w:val="0027321B"/>
    <w:rsid w:val="0027331A"/>
    <w:rsid w:val="0027348F"/>
    <w:rsid w:val="00273967"/>
    <w:rsid w:val="00273C09"/>
    <w:rsid w:val="00273D0A"/>
    <w:rsid w:val="00273FF7"/>
    <w:rsid w:val="002740D6"/>
    <w:rsid w:val="002743B5"/>
    <w:rsid w:val="002744F5"/>
    <w:rsid w:val="002748D3"/>
    <w:rsid w:val="00274D67"/>
    <w:rsid w:val="00274DA8"/>
    <w:rsid w:val="00275039"/>
    <w:rsid w:val="00275129"/>
    <w:rsid w:val="0027530D"/>
    <w:rsid w:val="0027553E"/>
    <w:rsid w:val="00275780"/>
    <w:rsid w:val="00275A1C"/>
    <w:rsid w:val="00275C33"/>
    <w:rsid w:val="00275D3A"/>
    <w:rsid w:val="00275F22"/>
    <w:rsid w:val="00275FDA"/>
    <w:rsid w:val="00276531"/>
    <w:rsid w:val="0027699C"/>
    <w:rsid w:val="0027742C"/>
    <w:rsid w:val="0027763E"/>
    <w:rsid w:val="0027768F"/>
    <w:rsid w:val="0028002B"/>
    <w:rsid w:val="00280049"/>
    <w:rsid w:val="0028075E"/>
    <w:rsid w:val="00280E2B"/>
    <w:rsid w:val="00280F9E"/>
    <w:rsid w:val="002813E0"/>
    <w:rsid w:val="00281480"/>
    <w:rsid w:val="002816C1"/>
    <w:rsid w:val="002817A0"/>
    <w:rsid w:val="0028194C"/>
    <w:rsid w:val="00282011"/>
    <w:rsid w:val="0028235B"/>
    <w:rsid w:val="00282EDA"/>
    <w:rsid w:val="00282FDF"/>
    <w:rsid w:val="0028300C"/>
    <w:rsid w:val="0028309D"/>
    <w:rsid w:val="002833D8"/>
    <w:rsid w:val="00283F0D"/>
    <w:rsid w:val="00284115"/>
    <w:rsid w:val="002842CE"/>
    <w:rsid w:val="00284738"/>
    <w:rsid w:val="00284A28"/>
    <w:rsid w:val="00284F8F"/>
    <w:rsid w:val="0028505A"/>
    <w:rsid w:val="002854A8"/>
    <w:rsid w:val="00285806"/>
    <w:rsid w:val="00285D10"/>
    <w:rsid w:val="00285DAC"/>
    <w:rsid w:val="00286466"/>
    <w:rsid w:val="00286D06"/>
    <w:rsid w:val="00287604"/>
    <w:rsid w:val="00287994"/>
    <w:rsid w:val="00287F64"/>
    <w:rsid w:val="00290201"/>
    <w:rsid w:val="00290454"/>
    <w:rsid w:val="00290B65"/>
    <w:rsid w:val="00290B7E"/>
    <w:rsid w:val="00290E39"/>
    <w:rsid w:val="00290FEB"/>
    <w:rsid w:val="0029102D"/>
    <w:rsid w:val="0029128F"/>
    <w:rsid w:val="002914E1"/>
    <w:rsid w:val="00291669"/>
    <w:rsid w:val="00291ACA"/>
    <w:rsid w:val="002924C1"/>
    <w:rsid w:val="00292859"/>
    <w:rsid w:val="002928D4"/>
    <w:rsid w:val="002928F3"/>
    <w:rsid w:val="00292A11"/>
    <w:rsid w:val="00292D92"/>
    <w:rsid w:val="00292EAF"/>
    <w:rsid w:val="00292EB6"/>
    <w:rsid w:val="00292EF0"/>
    <w:rsid w:val="002932D7"/>
    <w:rsid w:val="002933D6"/>
    <w:rsid w:val="0029362E"/>
    <w:rsid w:val="00293985"/>
    <w:rsid w:val="00293A58"/>
    <w:rsid w:val="00293DF2"/>
    <w:rsid w:val="00293F4C"/>
    <w:rsid w:val="0029407E"/>
    <w:rsid w:val="00294177"/>
    <w:rsid w:val="00294181"/>
    <w:rsid w:val="00294232"/>
    <w:rsid w:val="00294777"/>
    <w:rsid w:val="002947E9"/>
    <w:rsid w:val="00294BAC"/>
    <w:rsid w:val="00294CAF"/>
    <w:rsid w:val="00294FD3"/>
    <w:rsid w:val="00295380"/>
    <w:rsid w:val="00295FFD"/>
    <w:rsid w:val="002962B1"/>
    <w:rsid w:val="00296B9B"/>
    <w:rsid w:val="00296E40"/>
    <w:rsid w:val="00297055"/>
    <w:rsid w:val="00297403"/>
    <w:rsid w:val="002979B8"/>
    <w:rsid w:val="00297DF8"/>
    <w:rsid w:val="002A0298"/>
    <w:rsid w:val="002A0647"/>
    <w:rsid w:val="002A06CE"/>
    <w:rsid w:val="002A09D9"/>
    <w:rsid w:val="002A0B00"/>
    <w:rsid w:val="002A0C80"/>
    <w:rsid w:val="002A13D0"/>
    <w:rsid w:val="002A1522"/>
    <w:rsid w:val="002A1792"/>
    <w:rsid w:val="002A19C6"/>
    <w:rsid w:val="002A1C15"/>
    <w:rsid w:val="002A1FF6"/>
    <w:rsid w:val="002A2117"/>
    <w:rsid w:val="002A23B7"/>
    <w:rsid w:val="002A2A46"/>
    <w:rsid w:val="002A2A95"/>
    <w:rsid w:val="002A2E6B"/>
    <w:rsid w:val="002A3343"/>
    <w:rsid w:val="002A349B"/>
    <w:rsid w:val="002A3591"/>
    <w:rsid w:val="002A3627"/>
    <w:rsid w:val="002A398F"/>
    <w:rsid w:val="002A3A1C"/>
    <w:rsid w:val="002A3DD6"/>
    <w:rsid w:val="002A5084"/>
    <w:rsid w:val="002A5CB8"/>
    <w:rsid w:val="002A5D51"/>
    <w:rsid w:val="002A5D9B"/>
    <w:rsid w:val="002A5DEA"/>
    <w:rsid w:val="002A5EC7"/>
    <w:rsid w:val="002A62AB"/>
    <w:rsid w:val="002A64B0"/>
    <w:rsid w:val="002A6835"/>
    <w:rsid w:val="002A6D1C"/>
    <w:rsid w:val="002A71BB"/>
    <w:rsid w:val="002A71BC"/>
    <w:rsid w:val="002A73E1"/>
    <w:rsid w:val="002A7431"/>
    <w:rsid w:val="002A760B"/>
    <w:rsid w:val="002A775A"/>
    <w:rsid w:val="002A7E05"/>
    <w:rsid w:val="002B0040"/>
    <w:rsid w:val="002B0128"/>
    <w:rsid w:val="002B0409"/>
    <w:rsid w:val="002B0540"/>
    <w:rsid w:val="002B0651"/>
    <w:rsid w:val="002B0AF9"/>
    <w:rsid w:val="002B0BE5"/>
    <w:rsid w:val="002B0FCC"/>
    <w:rsid w:val="002B128B"/>
    <w:rsid w:val="002B16E0"/>
    <w:rsid w:val="002B18EB"/>
    <w:rsid w:val="002B1AA8"/>
    <w:rsid w:val="002B1C70"/>
    <w:rsid w:val="002B1C7F"/>
    <w:rsid w:val="002B1E46"/>
    <w:rsid w:val="002B241F"/>
    <w:rsid w:val="002B2B46"/>
    <w:rsid w:val="002B2F66"/>
    <w:rsid w:val="002B302D"/>
    <w:rsid w:val="002B315B"/>
    <w:rsid w:val="002B323C"/>
    <w:rsid w:val="002B32B9"/>
    <w:rsid w:val="002B334C"/>
    <w:rsid w:val="002B3786"/>
    <w:rsid w:val="002B37A1"/>
    <w:rsid w:val="002B37FC"/>
    <w:rsid w:val="002B3C9F"/>
    <w:rsid w:val="002B400B"/>
    <w:rsid w:val="002B48F6"/>
    <w:rsid w:val="002B4A92"/>
    <w:rsid w:val="002B5024"/>
    <w:rsid w:val="002B51A7"/>
    <w:rsid w:val="002B5536"/>
    <w:rsid w:val="002B57CD"/>
    <w:rsid w:val="002B57CF"/>
    <w:rsid w:val="002B5AF5"/>
    <w:rsid w:val="002B5D93"/>
    <w:rsid w:val="002B5FAF"/>
    <w:rsid w:val="002B60E3"/>
    <w:rsid w:val="002B60F8"/>
    <w:rsid w:val="002B6113"/>
    <w:rsid w:val="002B615C"/>
    <w:rsid w:val="002B640E"/>
    <w:rsid w:val="002B66B4"/>
    <w:rsid w:val="002B6AEC"/>
    <w:rsid w:val="002B6BB9"/>
    <w:rsid w:val="002B6CAD"/>
    <w:rsid w:val="002B6F41"/>
    <w:rsid w:val="002B70A2"/>
    <w:rsid w:val="002C04A4"/>
    <w:rsid w:val="002C07C8"/>
    <w:rsid w:val="002C07E0"/>
    <w:rsid w:val="002C08DD"/>
    <w:rsid w:val="002C09DB"/>
    <w:rsid w:val="002C122A"/>
    <w:rsid w:val="002C139A"/>
    <w:rsid w:val="002C1AC0"/>
    <w:rsid w:val="002C1CF2"/>
    <w:rsid w:val="002C1D57"/>
    <w:rsid w:val="002C1E18"/>
    <w:rsid w:val="002C1EF3"/>
    <w:rsid w:val="002C2640"/>
    <w:rsid w:val="002C279C"/>
    <w:rsid w:val="002C288F"/>
    <w:rsid w:val="002C2C4F"/>
    <w:rsid w:val="002C352E"/>
    <w:rsid w:val="002C364F"/>
    <w:rsid w:val="002C3A54"/>
    <w:rsid w:val="002C3D22"/>
    <w:rsid w:val="002C4183"/>
    <w:rsid w:val="002C4355"/>
    <w:rsid w:val="002C43C7"/>
    <w:rsid w:val="002C4575"/>
    <w:rsid w:val="002C4781"/>
    <w:rsid w:val="002C49B0"/>
    <w:rsid w:val="002C4EE2"/>
    <w:rsid w:val="002C514D"/>
    <w:rsid w:val="002C54DA"/>
    <w:rsid w:val="002C56F9"/>
    <w:rsid w:val="002C579C"/>
    <w:rsid w:val="002C5A7C"/>
    <w:rsid w:val="002C5CE9"/>
    <w:rsid w:val="002C5DBA"/>
    <w:rsid w:val="002C657B"/>
    <w:rsid w:val="002C662E"/>
    <w:rsid w:val="002C6666"/>
    <w:rsid w:val="002C6754"/>
    <w:rsid w:val="002C677A"/>
    <w:rsid w:val="002C68C2"/>
    <w:rsid w:val="002C694E"/>
    <w:rsid w:val="002C71C2"/>
    <w:rsid w:val="002C72F4"/>
    <w:rsid w:val="002C7532"/>
    <w:rsid w:val="002C7CBC"/>
    <w:rsid w:val="002D006F"/>
    <w:rsid w:val="002D01E7"/>
    <w:rsid w:val="002D0633"/>
    <w:rsid w:val="002D089F"/>
    <w:rsid w:val="002D0D02"/>
    <w:rsid w:val="002D14C2"/>
    <w:rsid w:val="002D15DF"/>
    <w:rsid w:val="002D1CAC"/>
    <w:rsid w:val="002D1D35"/>
    <w:rsid w:val="002D1DB5"/>
    <w:rsid w:val="002D20D1"/>
    <w:rsid w:val="002D24F1"/>
    <w:rsid w:val="002D257D"/>
    <w:rsid w:val="002D2843"/>
    <w:rsid w:val="002D28C5"/>
    <w:rsid w:val="002D2A1C"/>
    <w:rsid w:val="002D30BA"/>
    <w:rsid w:val="002D30CF"/>
    <w:rsid w:val="002D3577"/>
    <w:rsid w:val="002D3761"/>
    <w:rsid w:val="002D3908"/>
    <w:rsid w:val="002D3AC0"/>
    <w:rsid w:val="002D3B1A"/>
    <w:rsid w:val="002D3F3E"/>
    <w:rsid w:val="002D4101"/>
    <w:rsid w:val="002D4490"/>
    <w:rsid w:val="002D44E2"/>
    <w:rsid w:val="002D49ED"/>
    <w:rsid w:val="002D4BE2"/>
    <w:rsid w:val="002D4C5F"/>
    <w:rsid w:val="002D4C8C"/>
    <w:rsid w:val="002D4F45"/>
    <w:rsid w:val="002D5043"/>
    <w:rsid w:val="002D50C8"/>
    <w:rsid w:val="002D5112"/>
    <w:rsid w:val="002D528D"/>
    <w:rsid w:val="002D5323"/>
    <w:rsid w:val="002D54D7"/>
    <w:rsid w:val="002D5562"/>
    <w:rsid w:val="002D568A"/>
    <w:rsid w:val="002D5733"/>
    <w:rsid w:val="002D5927"/>
    <w:rsid w:val="002D59B4"/>
    <w:rsid w:val="002D5A9A"/>
    <w:rsid w:val="002D5C4F"/>
    <w:rsid w:val="002D5EEA"/>
    <w:rsid w:val="002D609C"/>
    <w:rsid w:val="002D6310"/>
    <w:rsid w:val="002D658F"/>
    <w:rsid w:val="002D6AE8"/>
    <w:rsid w:val="002D7028"/>
    <w:rsid w:val="002D708C"/>
    <w:rsid w:val="002D76BF"/>
    <w:rsid w:val="002D7931"/>
    <w:rsid w:val="002D7A72"/>
    <w:rsid w:val="002D7E9F"/>
    <w:rsid w:val="002D7ED8"/>
    <w:rsid w:val="002E0021"/>
    <w:rsid w:val="002E014A"/>
    <w:rsid w:val="002E016D"/>
    <w:rsid w:val="002E02E9"/>
    <w:rsid w:val="002E077F"/>
    <w:rsid w:val="002E0BEC"/>
    <w:rsid w:val="002E0EE1"/>
    <w:rsid w:val="002E0FAC"/>
    <w:rsid w:val="002E1177"/>
    <w:rsid w:val="002E129E"/>
    <w:rsid w:val="002E1AF9"/>
    <w:rsid w:val="002E1DE6"/>
    <w:rsid w:val="002E1EE3"/>
    <w:rsid w:val="002E317A"/>
    <w:rsid w:val="002E343D"/>
    <w:rsid w:val="002E377D"/>
    <w:rsid w:val="002E3954"/>
    <w:rsid w:val="002E3C1A"/>
    <w:rsid w:val="002E40E6"/>
    <w:rsid w:val="002E4300"/>
    <w:rsid w:val="002E46D8"/>
    <w:rsid w:val="002E4785"/>
    <w:rsid w:val="002E4F05"/>
    <w:rsid w:val="002E4FBC"/>
    <w:rsid w:val="002E4FF0"/>
    <w:rsid w:val="002E54F7"/>
    <w:rsid w:val="002E551A"/>
    <w:rsid w:val="002E58B6"/>
    <w:rsid w:val="002E5FD0"/>
    <w:rsid w:val="002E606C"/>
    <w:rsid w:val="002E60AC"/>
    <w:rsid w:val="002E6A07"/>
    <w:rsid w:val="002E6A50"/>
    <w:rsid w:val="002E6B53"/>
    <w:rsid w:val="002E6DA2"/>
    <w:rsid w:val="002E6FDE"/>
    <w:rsid w:val="002E7011"/>
    <w:rsid w:val="002E75A5"/>
    <w:rsid w:val="002E7B5D"/>
    <w:rsid w:val="002E7C2D"/>
    <w:rsid w:val="002F006B"/>
    <w:rsid w:val="002F0209"/>
    <w:rsid w:val="002F0340"/>
    <w:rsid w:val="002F07B5"/>
    <w:rsid w:val="002F0822"/>
    <w:rsid w:val="002F0A28"/>
    <w:rsid w:val="002F0F14"/>
    <w:rsid w:val="002F0F4C"/>
    <w:rsid w:val="002F0FC3"/>
    <w:rsid w:val="002F1245"/>
    <w:rsid w:val="002F1395"/>
    <w:rsid w:val="002F149C"/>
    <w:rsid w:val="002F1582"/>
    <w:rsid w:val="002F15AA"/>
    <w:rsid w:val="002F15CA"/>
    <w:rsid w:val="002F19B2"/>
    <w:rsid w:val="002F1AAF"/>
    <w:rsid w:val="002F1B35"/>
    <w:rsid w:val="002F1C90"/>
    <w:rsid w:val="002F200B"/>
    <w:rsid w:val="002F2110"/>
    <w:rsid w:val="002F25CB"/>
    <w:rsid w:val="002F2932"/>
    <w:rsid w:val="002F29A2"/>
    <w:rsid w:val="002F2AFD"/>
    <w:rsid w:val="002F2D7A"/>
    <w:rsid w:val="002F2E2B"/>
    <w:rsid w:val="002F2F9A"/>
    <w:rsid w:val="002F3747"/>
    <w:rsid w:val="002F3ED2"/>
    <w:rsid w:val="002F4220"/>
    <w:rsid w:val="002F42BD"/>
    <w:rsid w:val="002F4459"/>
    <w:rsid w:val="002F490C"/>
    <w:rsid w:val="002F4C40"/>
    <w:rsid w:val="002F4D05"/>
    <w:rsid w:val="002F5435"/>
    <w:rsid w:val="002F5546"/>
    <w:rsid w:val="002F5967"/>
    <w:rsid w:val="002F59DA"/>
    <w:rsid w:val="002F5A7C"/>
    <w:rsid w:val="002F5B9B"/>
    <w:rsid w:val="002F5DA7"/>
    <w:rsid w:val="002F6214"/>
    <w:rsid w:val="002F62BA"/>
    <w:rsid w:val="002F64AD"/>
    <w:rsid w:val="002F6920"/>
    <w:rsid w:val="002F6A10"/>
    <w:rsid w:val="002F6E53"/>
    <w:rsid w:val="002F731E"/>
    <w:rsid w:val="002F73F4"/>
    <w:rsid w:val="002F7553"/>
    <w:rsid w:val="002F7594"/>
    <w:rsid w:val="002F76EE"/>
    <w:rsid w:val="002F770B"/>
    <w:rsid w:val="002F78E3"/>
    <w:rsid w:val="002F79BC"/>
    <w:rsid w:val="002F79F0"/>
    <w:rsid w:val="002F7B29"/>
    <w:rsid w:val="002F7B3F"/>
    <w:rsid w:val="003002D1"/>
    <w:rsid w:val="00300402"/>
    <w:rsid w:val="00300741"/>
    <w:rsid w:val="00300982"/>
    <w:rsid w:val="00300CF2"/>
    <w:rsid w:val="00300D51"/>
    <w:rsid w:val="003010F9"/>
    <w:rsid w:val="00301114"/>
    <w:rsid w:val="00301725"/>
    <w:rsid w:val="00301750"/>
    <w:rsid w:val="0030188F"/>
    <w:rsid w:val="00301CA3"/>
    <w:rsid w:val="0030296C"/>
    <w:rsid w:val="00302C03"/>
    <w:rsid w:val="00302CC9"/>
    <w:rsid w:val="00302DC6"/>
    <w:rsid w:val="00302E3A"/>
    <w:rsid w:val="003036D1"/>
    <w:rsid w:val="00303A86"/>
    <w:rsid w:val="00303B42"/>
    <w:rsid w:val="003043B7"/>
    <w:rsid w:val="0030447F"/>
    <w:rsid w:val="0030477C"/>
    <w:rsid w:val="00304B3B"/>
    <w:rsid w:val="00304CA0"/>
    <w:rsid w:val="00304D7E"/>
    <w:rsid w:val="00305341"/>
    <w:rsid w:val="00305446"/>
    <w:rsid w:val="003056CC"/>
    <w:rsid w:val="0030586B"/>
    <w:rsid w:val="00305AA7"/>
    <w:rsid w:val="00305EAD"/>
    <w:rsid w:val="00306193"/>
    <w:rsid w:val="00306434"/>
    <w:rsid w:val="00306481"/>
    <w:rsid w:val="003065A1"/>
    <w:rsid w:val="003065B1"/>
    <w:rsid w:val="003066F8"/>
    <w:rsid w:val="00306B66"/>
    <w:rsid w:val="00306BE5"/>
    <w:rsid w:val="00307177"/>
    <w:rsid w:val="00307639"/>
    <w:rsid w:val="00307857"/>
    <w:rsid w:val="00307909"/>
    <w:rsid w:val="0031020B"/>
    <w:rsid w:val="00310302"/>
    <w:rsid w:val="00310725"/>
    <w:rsid w:val="00310D86"/>
    <w:rsid w:val="00310E66"/>
    <w:rsid w:val="003113BB"/>
    <w:rsid w:val="0031151C"/>
    <w:rsid w:val="003115B0"/>
    <w:rsid w:val="003115F5"/>
    <w:rsid w:val="0031164B"/>
    <w:rsid w:val="003119ED"/>
    <w:rsid w:val="00311ED0"/>
    <w:rsid w:val="003122EB"/>
    <w:rsid w:val="00312330"/>
    <w:rsid w:val="00312BC9"/>
    <w:rsid w:val="00312DD0"/>
    <w:rsid w:val="00312FFD"/>
    <w:rsid w:val="0031308B"/>
    <w:rsid w:val="00313457"/>
    <w:rsid w:val="00313F99"/>
    <w:rsid w:val="00314067"/>
    <w:rsid w:val="003145A9"/>
    <w:rsid w:val="0031491B"/>
    <w:rsid w:val="00314EDF"/>
    <w:rsid w:val="00315037"/>
    <w:rsid w:val="00315224"/>
    <w:rsid w:val="003152FA"/>
    <w:rsid w:val="00315666"/>
    <w:rsid w:val="00315667"/>
    <w:rsid w:val="003156AB"/>
    <w:rsid w:val="0031583D"/>
    <w:rsid w:val="003158A5"/>
    <w:rsid w:val="003159E4"/>
    <w:rsid w:val="00315CB8"/>
    <w:rsid w:val="00315E28"/>
    <w:rsid w:val="0031670F"/>
    <w:rsid w:val="00316CE5"/>
    <w:rsid w:val="00316F65"/>
    <w:rsid w:val="00317007"/>
    <w:rsid w:val="003173FA"/>
    <w:rsid w:val="00317AED"/>
    <w:rsid w:val="00317CA5"/>
    <w:rsid w:val="00317CDC"/>
    <w:rsid w:val="00320474"/>
    <w:rsid w:val="003206B7"/>
    <w:rsid w:val="003207D7"/>
    <w:rsid w:val="00320A51"/>
    <w:rsid w:val="00320C1B"/>
    <w:rsid w:val="00320D7B"/>
    <w:rsid w:val="00320EBA"/>
    <w:rsid w:val="0032105C"/>
    <w:rsid w:val="00321A4F"/>
    <w:rsid w:val="00321B91"/>
    <w:rsid w:val="00321E23"/>
    <w:rsid w:val="0032297B"/>
    <w:rsid w:val="00322A1A"/>
    <w:rsid w:val="00322BDA"/>
    <w:rsid w:val="00322F3F"/>
    <w:rsid w:val="00323534"/>
    <w:rsid w:val="00323874"/>
    <w:rsid w:val="0032394D"/>
    <w:rsid w:val="00323E3E"/>
    <w:rsid w:val="00323FCB"/>
    <w:rsid w:val="00324160"/>
    <w:rsid w:val="00324470"/>
    <w:rsid w:val="00324576"/>
    <w:rsid w:val="003249DA"/>
    <w:rsid w:val="003251C9"/>
    <w:rsid w:val="00325585"/>
    <w:rsid w:val="003255A3"/>
    <w:rsid w:val="00325656"/>
    <w:rsid w:val="003258B3"/>
    <w:rsid w:val="003259FF"/>
    <w:rsid w:val="00325CBE"/>
    <w:rsid w:val="00325D5F"/>
    <w:rsid w:val="00325E52"/>
    <w:rsid w:val="0032611E"/>
    <w:rsid w:val="00326791"/>
    <w:rsid w:val="00326844"/>
    <w:rsid w:val="00326E28"/>
    <w:rsid w:val="00326F14"/>
    <w:rsid w:val="00326F7A"/>
    <w:rsid w:val="00327108"/>
    <w:rsid w:val="0032732A"/>
    <w:rsid w:val="00327936"/>
    <w:rsid w:val="00327FDD"/>
    <w:rsid w:val="003301E1"/>
    <w:rsid w:val="003302B0"/>
    <w:rsid w:val="003303AF"/>
    <w:rsid w:val="003305B4"/>
    <w:rsid w:val="00330747"/>
    <w:rsid w:val="00330821"/>
    <w:rsid w:val="00330D2C"/>
    <w:rsid w:val="003310C7"/>
    <w:rsid w:val="0033152F"/>
    <w:rsid w:val="00331823"/>
    <w:rsid w:val="0033237A"/>
    <w:rsid w:val="0033272A"/>
    <w:rsid w:val="0033276B"/>
    <w:rsid w:val="00332A4F"/>
    <w:rsid w:val="00333101"/>
    <w:rsid w:val="0033323D"/>
    <w:rsid w:val="003333AF"/>
    <w:rsid w:val="0033352C"/>
    <w:rsid w:val="003339FB"/>
    <w:rsid w:val="00333BF0"/>
    <w:rsid w:val="00333F96"/>
    <w:rsid w:val="00334030"/>
    <w:rsid w:val="003343B7"/>
    <w:rsid w:val="00334700"/>
    <w:rsid w:val="00334D6C"/>
    <w:rsid w:val="00334D89"/>
    <w:rsid w:val="00334EDD"/>
    <w:rsid w:val="00334F93"/>
    <w:rsid w:val="0033545D"/>
    <w:rsid w:val="0033577A"/>
    <w:rsid w:val="00335977"/>
    <w:rsid w:val="00335A01"/>
    <w:rsid w:val="00335AA0"/>
    <w:rsid w:val="00336CB4"/>
    <w:rsid w:val="00337189"/>
    <w:rsid w:val="00337400"/>
    <w:rsid w:val="00337745"/>
    <w:rsid w:val="00337895"/>
    <w:rsid w:val="00337EA4"/>
    <w:rsid w:val="00337F00"/>
    <w:rsid w:val="00340082"/>
    <w:rsid w:val="003414FD"/>
    <w:rsid w:val="00341A29"/>
    <w:rsid w:val="00342030"/>
    <w:rsid w:val="0034227B"/>
    <w:rsid w:val="00342374"/>
    <w:rsid w:val="003426DE"/>
    <w:rsid w:val="00342CFA"/>
    <w:rsid w:val="00342F15"/>
    <w:rsid w:val="003431D2"/>
    <w:rsid w:val="00343A4F"/>
    <w:rsid w:val="00343E3A"/>
    <w:rsid w:val="00343F6E"/>
    <w:rsid w:val="0034425B"/>
    <w:rsid w:val="0034429A"/>
    <w:rsid w:val="0034447A"/>
    <w:rsid w:val="003445F8"/>
    <w:rsid w:val="00344848"/>
    <w:rsid w:val="00344918"/>
    <w:rsid w:val="00344CAB"/>
    <w:rsid w:val="0034530B"/>
    <w:rsid w:val="003455DE"/>
    <w:rsid w:val="00345786"/>
    <w:rsid w:val="00345E46"/>
    <w:rsid w:val="003460B6"/>
    <w:rsid w:val="003460B7"/>
    <w:rsid w:val="0034614D"/>
    <w:rsid w:val="0034616D"/>
    <w:rsid w:val="00346BCE"/>
    <w:rsid w:val="00347052"/>
    <w:rsid w:val="003476AF"/>
    <w:rsid w:val="0034772C"/>
    <w:rsid w:val="00347F1A"/>
    <w:rsid w:val="003502BF"/>
    <w:rsid w:val="003505A2"/>
    <w:rsid w:val="00350D82"/>
    <w:rsid w:val="0035131C"/>
    <w:rsid w:val="003516F1"/>
    <w:rsid w:val="003517A9"/>
    <w:rsid w:val="00351829"/>
    <w:rsid w:val="00351E56"/>
    <w:rsid w:val="00351EA4"/>
    <w:rsid w:val="003521A5"/>
    <w:rsid w:val="003529BD"/>
    <w:rsid w:val="00352CAD"/>
    <w:rsid w:val="003534DC"/>
    <w:rsid w:val="003534DF"/>
    <w:rsid w:val="00353B0A"/>
    <w:rsid w:val="00353CA1"/>
    <w:rsid w:val="00353D89"/>
    <w:rsid w:val="00354176"/>
    <w:rsid w:val="00354283"/>
    <w:rsid w:val="003543AD"/>
    <w:rsid w:val="0035448A"/>
    <w:rsid w:val="00354572"/>
    <w:rsid w:val="00354A3F"/>
    <w:rsid w:val="00354AB4"/>
    <w:rsid w:val="00354C63"/>
    <w:rsid w:val="00354D95"/>
    <w:rsid w:val="00354EB9"/>
    <w:rsid w:val="00354EC1"/>
    <w:rsid w:val="003553DE"/>
    <w:rsid w:val="00355F0E"/>
    <w:rsid w:val="00356229"/>
    <w:rsid w:val="00356236"/>
    <w:rsid w:val="00356298"/>
    <w:rsid w:val="0035662D"/>
    <w:rsid w:val="003566B9"/>
    <w:rsid w:val="0035686F"/>
    <w:rsid w:val="00356875"/>
    <w:rsid w:val="003569FE"/>
    <w:rsid w:val="00356BD4"/>
    <w:rsid w:val="00356EE7"/>
    <w:rsid w:val="00356EEA"/>
    <w:rsid w:val="00357250"/>
    <w:rsid w:val="00357E57"/>
    <w:rsid w:val="00357ED3"/>
    <w:rsid w:val="003602AD"/>
    <w:rsid w:val="003602BF"/>
    <w:rsid w:val="00360323"/>
    <w:rsid w:val="00360357"/>
    <w:rsid w:val="003608F5"/>
    <w:rsid w:val="00360F59"/>
    <w:rsid w:val="00360FEF"/>
    <w:rsid w:val="00361BF8"/>
    <w:rsid w:val="00361C16"/>
    <w:rsid w:val="00361DEB"/>
    <w:rsid w:val="00361E80"/>
    <w:rsid w:val="00361FBF"/>
    <w:rsid w:val="00362023"/>
    <w:rsid w:val="003620B2"/>
    <w:rsid w:val="0036241D"/>
    <w:rsid w:val="0036272C"/>
    <w:rsid w:val="00362763"/>
    <w:rsid w:val="003627ED"/>
    <w:rsid w:val="00362B78"/>
    <w:rsid w:val="00362CAA"/>
    <w:rsid w:val="003631CE"/>
    <w:rsid w:val="003633AA"/>
    <w:rsid w:val="003636D4"/>
    <w:rsid w:val="003638E6"/>
    <w:rsid w:val="00363D1F"/>
    <w:rsid w:val="003643ED"/>
    <w:rsid w:val="00364AD6"/>
    <w:rsid w:val="00364E96"/>
    <w:rsid w:val="0036529C"/>
    <w:rsid w:val="0036577D"/>
    <w:rsid w:val="00365AC1"/>
    <w:rsid w:val="00365EE1"/>
    <w:rsid w:val="00366E5E"/>
    <w:rsid w:val="00367460"/>
    <w:rsid w:val="0036749C"/>
    <w:rsid w:val="00367622"/>
    <w:rsid w:val="0036797D"/>
    <w:rsid w:val="003679A7"/>
    <w:rsid w:val="00367EF9"/>
    <w:rsid w:val="00370259"/>
    <w:rsid w:val="00370279"/>
    <w:rsid w:val="0037029E"/>
    <w:rsid w:val="003705BF"/>
    <w:rsid w:val="003706E8"/>
    <w:rsid w:val="0037070E"/>
    <w:rsid w:val="003707DF"/>
    <w:rsid w:val="003712E8"/>
    <w:rsid w:val="003714E6"/>
    <w:rsid w:val="003716A0"/>
    <w:rsid w:val="003717D5"/>
    <w:rsid w:val="00371987"/>
    <w:rsid w:val="00371EC2"/>
    <w:rsid w:val="0037247B"/>
    <w:rsid w:val="00372A1B"/>
    <w:rsid w:val="00372F64"/>
    <w:rsid w:val="00372F9C"/>
    <w:rsid w:val="0037319B"/>
    <w:rsid w:val="003734A3"/>
    <w:rsid w:val="00373773"/>
    <w:rsid w:val="00373897"/>
    <w:rsid w:val="00373DCD"/>
    <w:rsid w:val="00373EE7"/>
    <w:rsid w:val="00374500"/>
    <w:rsid w:val="0037452C"/>
    <w:rsid w:val="003745A2"/>
    <w:rsid w:val="0037471E"/>
    <w:rsid w:val="003749D5"/>
    <w:rsid w:val="00374C05"/>
    <w:rsid w:val="00374ED3"/>
    <w:rsid w:val="0037537C"/>
    <w:rsid w:val="00375626"/>
    <w:rsid w:val="00375908"/>
    <w:rsid w:val="00375B9A"/>
    <w:rsid w:val="00375DD5"/>
    <w:rsid w:val="0037607E"/>
    <w:rsid w:val="0037608E"/>
    <w:rsid w:val="003763A2"/>
    <w:rsid w:val="0037676E"/>
    <w:rsid w:val="00377092"/>
    <w:rsid w:val="00377111"/>
    <w:rsid w:val="003772A8"/>
    <w:rsid w:val="0037732F"/>
    <w:rsid w:val="00377447"/>
    <w:rsid w:val="0037767D"/>
    <w:rsid w:val="00377849"/>
    <w:rsid w:val="0038022B"/>
    <w:rsid w:val="00380608"/>
    <w:rsid w:val="003806ED"/>
    <w:rsid w:val="00380932"/>
    <w:rsid w:val="00380A25"/>
    <w:rsid w:val="00380A91"/>
    <w:rsid w:val="00380D44"/>
    <w:rsid w:val="00380FA9"/>
    <w:rsid w:val="00380FE7"/>
    <w:rsid w:val="00381254"/>
    <w:rsid w:val="003812B2"/>
    <w:rsid w:val="00381851"/>
    <w:rsid w:val="00381E37"/>
    <w:rsid w:val="00381E90"/>
    <w:rsid w:val="00381EB2"/>
    <w:rsid w:val="00381FBC"/>
    <w:rsid w:val="003820F4"/>
    <w:rsid w:val="003822A3"/>
    <w:rsid w:val="003826A6"/>
    <w:rsid w:val="0038279C"/>
    <w:rsid w:val="00382990"/>
    <w:rsid w:val="00382D14"/>
    <w:rsid w:val="003833C3"/>
    <w:rsid w:val="00383405"/>
    <w:rsid w:val="00383808"/>
    <w:rsid w:val="00383946"/>
    <w:rsid w:val="00383A4D"/>
    <w:rsid w:val="00383A8A"/>
    <w:rsid w:val="00383D67"/>
    <w:rsid w:val="00383F3D"/>
    <w:rsid w:val="0038425A"/>
    <w:rsid w:val="00384660"/>
    <w:rsid w:val="00384689"/>
    <w:rsid w:val="00384722"/>
    <w:rsid w:val="003849CE"/>
    <w:rsid w:val="00384B68"/>
    <w:rsid w:val="00384B75"/>
    <w:rsid w:val="00384C28"/>
    <w:rsid w:val="003851AD"/>
    <w:rsid w:val="003851FB"/>
    <w:rsid w:val="003854AF"/>
    <w:rsid w:val="00385B8E"/>
    <w:rsid w:val="00386108"/>
    <w:rsid w:val="003863B7"/>
    <w:rsid w:val="00386580"/>
    <w:rsid w:val="00386954"/>
    <w:rsid w:val="003869D8"/>
    <w:rsid w:val="00386D32"/>
    <w:rsid w:val="00386E04"/>
    <w:rsid w:val="00387367"/>
    <w:rsid w:val="003873E7"/>
    <w:rsid w:val="0038745A"/>
    <w:rsid w:val="00387495"/>
    <w:rsid w:val="003875F1"/>
    <w:rsid w:val="00387678"/>
    <w:rsid w:val="003876B2"/>
    <w:rsid w:val="0038773A"/>
    <w:rsid w:val="00387B6F"/>
    <w:rsid w:val="0039054B"/>
    <w:rsid w:val="0039084C"/>
    <w:rsid w:val="0039086B"/>
    <w:rsid w:val="00390892"/>
    <w:rsid w:val="00390BA4"/>
    <w:rsid w:val="00390C4A"/>
    <w:rsid w:val="00390C9F"/>
    <w:rsid w:val="00390D21"/>
    <w:rsid w:val="003913DD"/>
    <w:rsid w:val="00391442"/>
    <w:rsid w:val="003915D7"/>
    <w:rsid w:val="003916AA"/>
    <w:rsid w:val="003918C5"/>
    <w:rsid w:val="00391C49"/>
    <w:rsid w:val="00391C9D"/>
    <w:rsid w:val="00391DB8"/>
    <w:rsid w:val="003921BF"/>
    <w:rsid w:val="003922D3"/>
    <w:rsid w:val="00392358"/>
    <w:rsid w:val="003923BB"/>
    <w:rsid w:val="00392501"/>
    <w:rsid w:val="0039308A"/>
    <w:rsid w:val="003934B6"/>
    <w:rsid w:val="003935EE"/>
    <w:rsid w:val="003936DE"/>
    <w:rsid w:val="00393AAA"/>
    <w:rsid w:val="00393BC3"/>
    <w:rsid w:val="00393F06"/>
    <w:rsid w:val="0039457F"/>
    <w:rsid w:val="00394E08"/>
    <w:rsid w:val="00395142"/>
    <w:rsid w:val="00395301"/>
    <w:rsid w:val="00395773"/>
    <w:rsid w:val="00395970"/>
    <w:rsid w:val="00395D47"/>
    <w:rsid w:val="00395EB7"/>
    <w:rsid w:val="00395F71"/>
    <w:rsid w:val="00396308"/>
    <w:rsid w:val="00397268"/>
    <w:rsid w:val="003972B0"/>
    <w:rsid w:val="003973D0"/>
    <w:rsid w:val="003976ED"/>
    <w:rsid w:val="00397786"/>
    <w:rsid w:val="00397C1A"/>
    <w:rsid w:val="00397E0B"/>
    <w:rsid w:val="003A0521"/>
    <w:rsid w:val="003A0582"/>
    <w:rsid w:val="003A0F3D"/>
    <w:rsid w:val="003A12A2"/>
    <w:rsid w:val="003A15B1"/>
    <w:rsid w:val="003A18DF"/>
    <w:rsid w:val="003A1DE0"/>
    <w:rsid w:val="003A201E"/>
    <w:rsid w:val="003A22E9"/>
    <w:rsid w:val="003A246B"/>
    <w:rsid w:val="003A2F29"/>
    <w:rsid w:val="003A30BE"/>
    <w:rsid w:val="003A33A2"/>
    <w:rsid w:val="003A33C9"/>
    <w:rsid w:val="003A36D9"/>
    <w:rsid w:val="003A375F"/>
    <w:rsid w:val="003A3C66"/>
    <w:rsid w:val="003A3FD7"/>
    <w:rsid w:val="003A4231"/>
    <w:rsid w:val="003A4242"/>
    <w:rsid w:val="003A42F6"/>
    <w:rsid w:val="003A477A"/>
    <w:rsid w:val="003A47F0"/>
    <w:rsid w:val="003A4872"/>
    <w:rsid w:val="003A4C0C"/>
    <w:rsid w:val="003A4D52"/>
    <w:rsid w:val="003A520C"/>
    <w:rsid w:val="003A521E"/>
    <w:rsid w:val="003A55E3"/>
    <w:rsid w:val="003A5719"/>
    <w:rsid w:val="003A574F"/>
    <w:rsid w:val="003A5765"/>
    <w:rsid w:val="003A5E8C"/>
    <w:rsid w:val="003A61F2"/>
    <w:rsid w:val="003A63D0"/>
    <w:rsid w:val="003A659D"/>
    <w:rsid w:val="003A6CB6"/>
    <w:rsid w:val="003A7009"/>
    <w:rsid w:val="003A71CA"/>
    <w:rsid w:val="003A7239"/>
    <w:rsid w:val="003A73D0"/>
    <w:rsid w:val="003B0078"/>
    <w:rsid w:val="003B0384"/>
    <w:rsid w:val="003B1C29"/>
    <w:rsid w:val="003B1C34"/>
    <w:rsid w:val="003B1E5E"/>
    <w:rsid w:val="003B2107"/>
    <w:rsid w:val="003B2470"/>
    <w:rsid w:val="003B26B0"/>
    <w:rsid w:val="003B2835"/>
    <w:rsid w:val="003B2D57"/>
    <w:rsid w:val="003B2E3A"/>
    <w:rsid w:val="003B2FC7"/>
    <w:rsid w:val="003B343B"/>
    <w:rsid w:val="003B3640"/>
    <w:rsid w:val="003B37B6"/>
    <w:rsid w:val="003B3BAA"/>
    <w:rsid w:val="003B3E0E"/>
    <w:rsid w:val="003B4189"/>
    <w:rsid w:val="003B4226"/>
    <w:rsid w:val="003B42A3"/>
    <w:rsid w:val="003B42E2"/>
    <w:rsid w:val="003B4317"/>
    <w:rsid w:val="003B4568"/>
    <w:rsid w:val="003B4660"/>
    <w:rsid w:val="003B4E4D"/>
    <w:rsid w:val="003B4E62"/>
    <w:rsid w:val="003B52A0"/>
    <w:rsid w:val="003B57ED"/>
    <w:rsid w:val="003B5CF1"/>
    <w:rsid w:val="003B625B"/>
    <w:rsid w:val="003B681E"/>
    <w:rsid w:val="003B6843"/>
    <w:rsid w:val="003B6B22"/>
    <w:rsid w:val="003B6F33"/>
    <w:rsid w:val="003B7528"/>
    <w:rsid w:val="003B775E"/>
    <w:rsid w:val="003B7D72"/>
    <w:rsid w:val="003B7DF6"/>
    <w:rsid w:val="003C0082"/>
    <w:rsid w:val="003C012E"/>
    <w:rsid w:val="003C027C"/>
    <w:rsid w:val="003C02EB"/>
    <w:rsid w:val="003C04C9"/>
    <w:rsid w:val="003C0BF3"/>
    <w:rsid w:val="003C0D58"/>
    <w:rsid w:val="003C0DEC"/>
    <w:rsid w:val="003C13FE"/>
    <w:rsid w:val="003C1778"/>
    <w:rsid w:val="003C192B"/>
    <w:rsid w:val="003C1B41"/>
    <w:rsid w:val="003C1C2B"/>
    <w:rsid w:val="003C1F99"/>
    <w:rsid w:val="003C2171"/>
    <w:rsid w:val="003C21B7"/>
    <w:rsid w:val="003C279F"/>
    <w:rsid w:val="003C2B31"/>
    <w:rsid w:val="003C2B53"/>
    <w:rsid w:val="003C2EA3"/>
    <w:rsid w:val="003C31AB"/>
    <w:rsid w:val="003C3216"/>
    <w:rsid w:val="003C34FD"/>
    <w:rsid w:val="003C3566"/>
    <w:rsid w:val="003C39D3"/>
    <w:rsid w:val="003C3C6A"/>
    <w:rsid w:val="003C3E93"/>
    <w:rsid w:val="003C3F10"/>
    <w:rsid w:val="003C43C8"/>
    <w:rsid w:val="003C4469"/>
    <w:rsid w:val="003C44B5"/>
    <w:rsid w:val="003C452A"/>
    <w:rsid w:val="003C45C5"/>
    <w:rsid w:val="003C4690"/>
    <w:rsid w:val="003C477A"/>
    <w:rsid w:val="003C4AE2"/>
    <w:rsid w:val="003C4BCB"/>
    <w:rsid w:val="003C4DF6"/>
    <w:rsid w:val="003C51EA"/>
    <w:rsid w:val="003C51F5"/>
    <w:rsid w:val="003C56C2"/>
    <w:rsid w:val="003C56E1"/>
    <w:rsid w:val="003C5AC1"/>
    <w:rsid w:val="003C5CD9"/>
    <w:rsid w:val="003C60DC"/>
    <w:rsid w:val="003C62D1"/>
    <w:rsid w:val="003C6387"/>
    <w:rsid w:val="003C666A"/>
    <w:rsid w:val="003C6A47"/>
    <w:rsid w:val="003C6BDA"/>
    <w:rsid w:val="003C70BE"/>
    <w:rsid w:val="003C7136"/>
    <w:rsid w:val="003C7A8A"/>
    <w:rsid w:val="003C7C0A"/>
    <w:rsid w:val="003C7F88"/>
    <w:rsid w:val="003D0802"/>
    <w:rsid w:val="003D0AD7"/>
    <w:rsid w:val="003D0B27"/>
    <w:rsid w:val="003D0E5A"/>
    <w:rsid w:val="003D16C9"/>
    <w:rsid w:val="003D189A"/>
    <w:rsid w:val="003D1B89"/>
    <w:rsid w:val="003D1D41"/>
    <w:rsid w:val="003D216A"/>
    <w:rsid w:val="003D32C7"/>
    <w:rsid w:val="003D3608"/>
    <w:rsid w:val="003D3751"/>
    <w:rsid w:val="003D3BA5"/>
    <w:rsid w:val="003D3C03"/>
    <w:rsid w:val="003D3C2D"/>
    <w:rsid w:val="003D3C43"/>
    <w:rsid w:val="003D3E2B"/>
    <w:rsid w:val="003D41BC"/>
    <w:rsid w:val="003D4273"/>
    <w:rsid w:val="003D434F"/>
    <w:rsid w:val="003D468D"/>
    <w:rsid w:val="003D48EF"/>
    <w:rsid w:val="003D4CFD"/>
    <w:rsid w:val="003D4F40"/>
    <w:rsid w:val="003D4F63"/>
    <w:rsid w:val="003D5333"/>
    <w:rsid w:val="003D594C"/>
    <w:rsid w:val="003D59DA"/>
    <w:rsid w:val="003D5CF9"/>
    <w:rsid w:val="003D5DAE"/>
    <w:rsid w:val="003D5FDB"/>
    <w:rsid w:val="003D60D5"/>
    <w:rsid w:val="003D610B"/>
    <w:rsid w:val="003D6140"/>
    <w:rsid w:val="003D6885"/>
    <w:rsid w:val="003D6D87"/>
    <w:rsid w:val="003D765A"/>
    <w:rsid w:val="003D7957"/>
    <w:rsid w:val="003D7C26"/>
    <w:rsid w:val="003D7DD6"/>
    <w:rsid w:val="003D7FC8"/>
    <w:rsid w:val="003D7FDE"/>
    <w:rsid w:val="003E0006"/>
    <w:rsid w:val="003E0342"/>
    <w:rsid w:val="003E0BE9"/>
    <w:rsid w:val="003E0C25"/>
    <w:rsid w:val="003E0E12"/>
    <w:rsid w:val="003E100A"/>
    <w:rsid w:val="003E1466"/>
    <w:rsid w:val="003E1515"/>
    <w:rsid w:val="003E175C"/>
    <w:rsid w:val="003E19A6"/>
    <w:rsid w:val="003E1A0B"/>
    <w:rsid w:val="003E1AE8"/>
    <w:rsid w:val="003E1B8C"/>
    <w:rsid w:val="003E1E6B"/>
    <w:rsid w:val="003E1E6F"/>
    <w:rsid w:val="003E2303"/>
    <w:rsid w:val="003E2312"/>
    <w:rsid w:val="003E2A4F"/>
    <w:rsid w:val="003E2D0C"/>
    <w:rsid w:val="003E2EDF"/>
    <w:rsid w:val="003E33BA"/>
    <w:rsid w:val="003E3495"/>
    <w:rsid w:val="003E34D0"/>
    <w:rsid w:val="003E379D"/>
    <w:rsid w:val="003E3CEA"/>
    <w:rsid w:val="003E41CB"/>
    <w:rsid w:val="003E4475"/>
    <w:rsid w:val="003E449E"/>
    <w:rsid w:val="003E4875"/>
    <w:rsid w:val="003E4BF6"/>
    <w:rsid w:val="003E4C61"/>
    <w:rsid w:val="003E4E61"/>
    <w:rsid w:val="003E502F"/>
    <w:rsid w:val="003E51EA"/>
    <w:rsid w:val="003E572C"/>
    <w:rsid w:val="003E57D6"/>
    <w:rsid w:val="003E5ADF"/>
    <w:rsid w:val="003E5D77"/>
    <w:rsid w:val="003E6109"/>
    <w:rsid w:val="003E6223"/>
    <w:rsid w:val="003E62A9"/>
    <w:rsid w:val="003E6892"/>
    <w:rsid w:val="003E69ED"/>
    <w:rsid w:val="003E6A38"/>
    <w:rsid w:val="003E6A89"/>
    <w:rsid w:val="003E6B47"/>
    <w:rsid w:val="003E6B6F"/>
    <w:rsid w:val="003E6C43"/>
    <w:rsid w:val="003E6EC3"/>
    <w:rsid w:val="003E70A0"/>
    <w:rsid w:val="003E79CA"/>
    <w:rsid w:val="003E7A06"/>
    <w:rsid w:val="003E7D66"/>
    <w:rsid w:val="003E7E3F"/>
    <w:rsid w:val="003F022E"/>
    <w:rsid w:val="003F0549"/>
    <w:rsid w:val="003F07A6"/>
    <w:rsid w:val="003F07AB"/>
    <w:rsid w:val="003F0908"/>
    <w:rsid w:val="003F0A52"/>
    <w:rsid w:val="003F0B73"/>
    <w:rsid w:val="003F0B89"/>
    <w:rsid w:val="003F0C02"/>
    <w:rsid w:val="003F1613"/>
    <w:rsid w:val="003F16CE"/>
    <w:rsid w:val="003F18B1"/>
    <w:rsid w:val="003F18E4"/>
    <w:rsid w:val="003F19C0"/>
    <w:rsid w:val="003F19CB"/>
    <w:rsid w:val="003F1D5A"/>
    <w:rsid w:val="003F1DDA"/>
    <w:rsid w:val="003F1F88"/>
    <w:rsid w:val="003F29D0"/>
    <w:rsid w:val="003F2B3C"/>
    <w:rsid w:val="003F3441"/>
    <w:rsid w:val="003F3541"/>
    <w:rsid w:val="003F360F"/>
    <w:rsid w:val="003F37BF"/>
    <w:rsid w:val="003F3C58"/>
    <w:rsid w:val="003F3DCC"/>
    <w:rsid w:val="003F3DFE"/>
    <w:rsid w:val="003F43CE"/>
    <w:rsid w:val="003F43E0"/>
    <w:rsid w:val="003F45B3"/>
    <w:rsid w:val="003F4788"/>
    <w:rsid w:val="003F4849"/>
    <w:rsid w:val="003F4BDF"/>
    <w:rsid w:val="003F522A"/>
    <w:rsid w:val="003F5417"/>
    <w:rsid w:val="003F5497"/>
    <w:rsid w:val="003F577B"/>
    <w:rsid w:val="003F5D03"/>
    <w:rsid w:val="003F5E73"/>
    <w:rsid w:val="003F61BC"/>
    <w:rsid w:val="003F6276"/>
    <w:rsid w:val="003F65A5"/>
    <w:rsid w:val="003F66E9"/>
    <w:rsid w:val="003F6A78"/>
    <w:rsid w:val="003F6B98"/>
    <w:rsid w:val="003F6BDE"/>
    <w:rsid w:val="003F6EF1"/>
    <w:rsid w:val="003F6EFF"/>
    <w:rsid w:val="003F7109"/>
    <w:rsid w:val="003F71AD"/>
    <w:rsid w:val="003F7626"/>
    <w:rsid w:val="003F7B03"/>
    <w:rsid w:val="003F7C3B"/>
    <w:rsid w:val="004003A3"/>
    <w:rsid w:val="00400465"/>
    <w:rsid w:val="0040059A"/>
    <w:rsid w:val="004005A8"/>
    <w:rsid w:val="00400966"/>
    <w:rsid w:val="00400C56"/>
    <w:rsid w:val="00401122"/>
    <w:rsid w:val="00401413"/>
    <w:rsid w:val="00401448"/>
    <w:rsid w:val="0040147D"/>
    <w:rsid w:val="00401A66"/>
    <w:rsid w:val="00401D12"/>
    <w:rsid w:val="00401DE0"/>
    <w:rsid w:val="004022BC"/>
    <w:rsid w:val="004024D5"/>
    <w:rsid w:val="00402926"/>
    <w:rsid w:val="00402ADE"/>
    <w:rsid w:val="00402EAD"/>
    <w:rsid w:val="00403B21"/>
    <w:rsid w:val="00403C2F"/>
    <w:rsid w:val="004048AF"/>
    <w:rsid w:val="00404943"/>
    <w:rsid w:val="00404D5B"/>
    <w:rsid w:val="00404E8A"/>
    <w:rsid w:val="00404F3B"/>
    <w:rsid w:val="00405069"/>
    <w:rsid w:val="004051AA"/>
    <w:rsid w:val="00405414"/>
    <w:rsid w:val="004064B9"/>
    <w:rsid w:val="004064DF"/>
    <w:rsid w:val="00406A73"/>
    <w:rsid w:val="00406B8A"/>
    <w:rsid w:val="0040706C"/>
    <w:rsid w:val="00407088"/>
    <w:rsid w:val="00407DB4"/>
    <w:rsid w:val="004109E5"/>
    <w:rsid w:val="00410C16"/>
    <w:rsid w:val="00410D38"/>
    <w:rsid w:val="0041106E"/>
    <w:rsid w:val="00411108"/>
    <w:rsid w:val="00411136"/>
    <w:rsid w:val="00411358"/>
    <w:rsid w:val="0041157E"/>
    <w:rsid w:val="0041175C"/>
    <w:rsid w:val="00411814"/>
    <w:rsid w:val="00411A1D"/>
    <w:rsid w:val="00411B60"/>
    <w:rsid w:val="00411F12"/>
    <w:rsid w:val="00412101"/>
    <w:rsid w:val="004122F4"/>
    <w:rsid w:val="00412637"/>
    <w:rsid w:val="004134C9"/>
    <w:rsid w:val="00413ADB"/>
    <w:rsid w:val="00413FD9"/>
    <w:rsid w:val="0041415B"/>
    <w:rsid w:val="0041457B"/>
    <w:rsid w:val="0041473E"/>
    <w:rsid w:val="00414766"/>
    <w:rsid w:val="00414DC3"/>
    <w:rsid w:val="00414E67"/>
    <w:rsid w:val="00414E9D"/>
    <w:rsid w:val="00414F48"/>
    <w:rsid w:val="00414FFB"/>
    <w:rsid w:val="00415812"/>
    <w:rsid w:val="00415813"/>
    <w:rsid w:val="00415833"/>
    <w:rsid w:val="004158EA"/>
    <w:rsid w:val="00415F8C"/>
    <w:rsid w:val="00416069"/>
    <w:rsid w:val="004163CE"/>
    <w:rsid w:val="004164A5"/>
    <w:rsid w:val="00416856"/>
    <w:rsid w:val="00416B4D"/>
    <w:rsid w:val="00416B96"/>
    <w:rsid w:val="00416D41"/>
    <w:rsid w:val="0041702B"/>
    <w:rsid w:val="00417215"/>
    <w:rsid w:val="00417337"/>
    <w:rsid w:val="00417AC8"/>
    <w:rsid w:val="00417B7F"/>
    <w:rsid w:val="00417D21"/>
    <w:rsid w:val="00417F90"/>
    <w:rsid w:val="004201A1"/>
    <w:rsid w:val="004201A7"/>
    <w:rsid w:val="0042021E"/>
    <w:rsid w:val="004204C0"/>
    <w:rsid w:val="00420667"/>
    <w:rsid w:val="004206B6"/>
    <w:rsid w:val="00420CE7"/>
    <w:rsid w:val="00421096"/>
    <w:rsid w:val="004212DD"/>
    <w:rsid w:val="004219BA"/>
    <w:rsid w:val="00421A95"/>
    <w:rsid w:val="00421CCF"/>
    <w:rsid w:val="0042255B"/>
    <w:rsid w:val="00422AFF"/>
    <w:rsid w:val="00422BBE"/>
    <w:rsid w:val="004230AC"/>
    <w:rsid w:val="004231F1"/>
    <w:rsid w:val="00423481"/>
    <w:rsid w:val="004236E8"/>
    <w:rsid w:val="00423BC4"/>
    <w:rsid w:val="00423CD3"/>
    <w:rsid w:val="00423D9D"/>
    <w:rsid w:val="00423E36"/>
    <w:rsid w:val="00424153"/>
    <w:rsid w:val="00424273"/>
    <w:rsid w:val="00424397"/>
    <w:rsid w:val="00424546"/>
    <w:rsid w:val="00424590"/>
    <w:rsid w:val="004245F1"/>
    <w:rsid w:val="0042478C"/>
    <w:rsid w:val="00424AB7"/>
    <w:rsid w:val="00424F35"/>
    <w:rsid w:val="00424F5E"/>
    <w:rsid w:val="0042517F"/>
    <w:rsid w:val="00425BEA"/>
    <w:rsid w:val="00425DB6"/>
    <w:rsid w:val="00425E39"/>
    <w:rsid w:val="00426211"/>
    <w:rsid w:val="00426D73"/>
    <w:rsid w:val="0042758E"/>
    <w:rsid w:val="004278F4"/>
    <w:rsid w:val="004279D0"/>
    <w:rsid w:val="00427EDD"/>
    <w:rsid w:val="00427FE3"/>
    <w:rsid w:val="00430182"/>
    <w:rsid w:val="00430AC0"/>
    <w:rsid w:val="00431DC7"/>
    <w:rsid w:val="0043258B"/>
    <w:rsid w:val="00432801"/>
    <w:rsid w:val="004329DD"/>
    <w:rsid w:val="0043343D"/>
    <w:rsid w:val="004336B9"/>
    <w:rsid w:val="0043395F"/>
    <w:rsid w:val="00433996"/>
    <w:rsid w:val="00433A5E"/>
    <w:rsid w:val="004341C7"/>
    <w:rsid w:val="00434310"/>
    <w:rsid w:val="00434537"/>
    <w:rsid w:val="00434C1F"/>
    <w:rsid w:val="00434FFB"/>
    <w:rsid w:val="004353C3"/>
    <w:rsid w:val="004356B6"/>
    <w:rsid w:val="004356EA"/>
    <w:rsid w:val="0043586E"/>
    <w:rsid w:val="00435A15"/>
    <w:rsid w:val="00435B4A"/>
    <w:rsid w:val="00435CEC"/>
    <w:rsid w:val="00435E4E"/>
    <w:rsid w:val="00436083"/>
    <w:rsid w:val="00436158"/>
    <w:rsid w:val="0043662F"/>
    <w:rsid w:val="00436781"/>
    <w:rsid w:val="00436AE1"/>
    <w:rsid w:val="00436BB7"/>
    <w:rsid w:val="00436D50"/>
    <w:rsid w:val="00436E89"/>
    <w:rsid w:val="00436FBB"/>
    <w:rsid w:val="0043711B"/>
    <w:rsid w:val="00437166"/>
    <w:rsid w:val="00437332"/>
    <w:rsid w:val="004376B5"/>
    <w:rsid w:val="004376C1"/>
    <w:rsid w:val="0043787B"/>
    <w:rsid w:val="00437B9C"/>
    <w:rsid w:val="00437E97"/>
    <w:rsid w:val="00437F8E"/>
    <w:rsid w:val="004400A7"/>
    <w:rsid w:val="004400B5"/>
    <w:rsid w:val="00440339"/>
    <w:rsid w:val="004403FE"/>
    <w:rsid w:val="00440691"/>
    <w:rsid w:val="0044071C"/>
    <w:rsid w:val="00440A9C"/>
    <w:rsid w:val="00440D4E"/>
    <w:rsid w:val="00440DAA"/>
    <w:rsid w:val="0044127C"/>
    <w:rsid w:val="00441949"/>
    <w:rsid w:val="004419DA"/>
    <w:rsid w:val="00441AF2"/>
    <w:rsid w:val="00441EC4"/>
    <w:rsid w:val="00442167"/>
    <w:rsid w:val="004421DF"/>
    <w:rsid w:val="00442390"/>
    <w:rsid w:val="004426DE"/>
    <w:rsid w:val="00442891"/>
    <w:rsid w:val="00442A51"/>
    <w:rsid w:val="00442C31"/>
    <w:rsid w:val="00442D06"/>
    <w:rsid w:val="00442E40"/>
    <w:rsid w:val="00443469"/>
    <w:rsid w:val="00443A2D"/>
    <w:rsid w:val="00443A8E"/>
    <w:rsid w:val="00443AE2"/>
    <w:rsid w:val="00443FC4"/>
    <w:rsid w:val="004442B3"/>
    <w:rsid w:val="00444473"/>
    <w:rsid w:val="004444B2"/>
    <w:rsid w:val="004444E4"/>
    <w:rsid w:val="00444BF3"/>
    <w:rsid w:val="00444CCA"/>
    <w:rsid w:val="00444F5D"/>
    <w:rsid w:val="00444FBD"/>
    <w:rsid w:val="00445218"/>
    <w:rsid w:val="0044555F"/>
    <w:rsid w:val="00446029"/>
    <w:rsid w:val="004461E6"/>
    <w:rsid w:val="004462FF"/>
    <w:rsid w:val="004464B6"/>
    <w:rsid w:val="0044665E"/>
    <w:rsid w:val="004472D4"/>
    <w:rsid w:val="00447914"/>
    <w:rsid w:val="00447A57"/>
    <w:rsid w:val="00447B9D"/>
    <w:rsid w:val="004502E2"/>
    <w:rsid w:val="004503DF"/>
    <w:rsid w:val="004505E1"/>
    <w:rsid w:val="004509CA"/>
    <w:rsid w:val="00450D98"/>
    <w:rsid w:val="00451027"/>
    <w:rsid w:val="004511DA"/>
    <w:rsid w:val="004512E8"/>
    <w:rsid w:val="004515D0"/>
    <w:rsid w:val="00451601"/>
    <w:rsid w:val="0045187C"/>
    <w:rsid w:val="00451B42"/>
    <w:rsid w:val="00451B53"/>
    <w:rsid w:val="00452010"/>
    <w:rsid w:val="00452366"/>
    <w:rsid w:val="004528AC"/>
    <w:rsid w:val="004528DB"/>
    <w:rsid w:val="004529F3"/>
    <w:rsid w:val="00452C3F"/>
    <w:rsid w:val="00452E04"/>
    <w:rsid w:val="00452ED1"/>
    <w:rsid w:val="00452F4B"/>
    <w:rsid w:val="00453052"/>
    <w:rsid w:val="004531D5"/>
    <w:rsid w:val="0045368D"/>
    <w:rsid w:val="00453840"/>
    <w:rsid w:val="00453999"/>
    <w:rsid w:val="004539C2"/>
    <w:rsid w:val="00453A88"/>
    <w:rsid w:val="00453ACC"/>
    <w:rsid w:val="00453CB9"/>
    <w:rsid w:val="00453ECA"/>
    <w:rsid w:val="0045404A"/>
    <w:rsid w:val="00454086"/>
    <w:rsid w:val="004548B5"/>
    <w:rsid w:val="00454C4B"/>
    <w:rsid w:val="00454C6B"/>
    <w:rsid w:val="00455050"/>
    <w:rsid w:val="004550AD"/>
    <w:rsid w:val="0045533B"/>
    <w:rsid w:val="00455584"/>
    <w:rsid w:val="0045563E"/>
    <w:rsid w:val="00455B92"/>
    <w:rsid w:val="00455BD2"/>
    <w:rsid w:val="00456328"/>
    <w:rsid w:val="00456339"/>
    <w:rsid w:val="00456A22"/>
    <w:rsid w:val="00456A97"/>
    <w:rsid w:val="00456B39"/>
    <w:rsid w:val="00456B6C"/>
    <w:rsid w:val="00456CAF"/>
    <w:rsid w:val="004571FD"/>
    <w:rsid w:val="0045743A"/>
    <w:rsid w:val="004574A5"/>
    <w:rsid w:val="004576A8"/>
    <w:rsid w:val="004579C4"/>
    <w:rsid w:val="00457BBA"/>
    <w:rsid w:val="00460265"/>
    <w:rsid w:val="0046048B"/>
    <w:rsid w:val="004604A6"/>
    <w:rsid w:val="00460847"/>
    <w:rsid w:val="00460F94"/>
    <w:rsid w:val="004612A5"/>
    <w:rsid w:val="004616A8"/>
    <w:rsid w:val="00461ABB"/>
    <w:rsid w:val="004625F9"/>
    <w:rsid w:val="004627C3"/>
    <w:rsid w:val="00462B89"/>
    <w:rsid w:val="00462C3F"/>
    <w:rsid w:val="00462FEB"/>
    <w:rsid w:val="00463559"/>
    <w:rsid w:val="004637C7"/>
    <w:rsid w:val="004639F4"/>
    <w:rsid w:val="00463BC6"/>
    <w:rsid w:val="00463DBF"/>
    <w:rsid w:val="0046434C"/>
    <w:rsid w:val="004644E3"/>
    <w:rsid w:val="0046485B"/>
    <w:rsid w:val="00464C92"/>
    <w:rsid w:val="00464CED"/>
    <w:rsid w:val="00464F94"/>
    <w:rsid w:val="0046532F"/>
    <w:rsid w:val="00465353"/>
    <w:rsid w:val="0046554B"/>
    <w:rsid w:val="004659FA"/>
    <w:rsid w:val="00465A25"/>
    <w:rsid w:val="00465BF2"/>
    <w:rsid w:val="00465D12"/>
    <w:rsid w:val="00465DFB"/>
    <w:rsid w:val="0046627B"/>
    <w:rsid w:val="00466330"/>
    <w:rsid w:val="0046637F"/>
    <w:rsid w:val="004663B9"/>
    <w:rsid w:val="004666F3"/>
    <w:rsid w:val="00467128"/>
    <w:rsid w:val="004678F3"/>
    <w:rsid w:val="00467D41"/>
    <w:rsid w:val="00467F67"/>
    <w:rsid w:val="00470015"/>
    <w:rsid w:val="0047005C"/>
    <w:rsid w:val="00470318"/>
    <w:rsid w:val="0047057C"/>
    <w:rsid w:val="0047089C"/>
    <w:rsid w:val="00470BFB"/>
    <w:rsid w:val="00470D64"/>
    <w:rsid w:val="00470F32"/>
    <w:rsid w:val="00471061"/>
    <w:rsid w:val="004710B1"/>
    <w:rsid w:val="004712BF"/>
    <w:rsid w:val="00471308"/>
    <w:rsid w:val="0047178F"/>
    <w:rsid w:val="004717F6"/>
    <w:rsid w:val="0047183A"/>
    <w:rsid w:val="00471A45"/>
    <w:rsid w:val="00471E01"/>
    <w:rsid w:val="00471EA7"/>
    <w:rsid w:val="00471F52"/>
    <w:rsid w:val="004723EC"/>
    <w:rsid w:val="00472905"/>
    <w:rsid w:val="00473119"/>
    <w:rsid w:val="0047313D"/>
    <w:rsid w:val="004731E6"/>
    <w:rsid w:val="00473571"/>
    <w:rsid w:val="00473572"/>
    <w:rsid w:val="00473CB4"/>
    <w:rsid w:val="00473DD6"/>
    <w:rsid w:val="00473F88"/>
    <w:rsid w:val="00474278"/>
    <w:rsid w:val="00474470"/>
    <w:rsid w:val="004746E9"/>
    <w:rsid w:val="00474AB0"/>
    <w:rsid w:val="00474E72"/>
    <w:rsid w:val="004752F0"/>
    <w:rsid w:val="004753D0"/>
    <w:rsid w:val="00476095"/>
    <w:rsid w:val="004765E8"/>
    <w:rsid w:val="004767D7"/>
    <w:rsid w:val="00476A77"/>
    <w:rsid w:val="00476B28"/>
    <w:rsid w:val="00476EC6"/>
    <w:rsid w:val="00476ECC"/>
    <w:rsid w:val="00477182"/>
    <w:rsid w:val="00477885"/>
    <w:rsid w:val="00477B1E"/>
    <w:rsid w:val="00477EBA"/>
    <w:rsid w:val="00477EF2"/>
    <w:rsid w:val="00477FAC"/>
    <w:rsid w:val="00477FE8"/>
    <w:rsid w:val="0048087A"/>
    <w:rsid w:val="004809E1"/>
    <w:rsid w:val="0048151F"/>
    <w:rsid w:val="004817E6"/>
    <w:rsid w:val="00481B19"/>
    <w:rsid w:val="00481BFF"/>
    <w:rsid w:val="00481C47"/>
    <w:rsid w:val="0048233A"/>
    <w:rsid w:val="00482438"/>
    <w:rsid w:val="0048263E"/>
    <w:rsid w:val="00482A4C"/>
    <w:rsid w:val="00482AAB"/>
    <w:rsid w:val="00482D28"/>
    <w:rsid w:val="004830EA"/>
    <w:rsid w:val="00483524"/>
    <w:rsid w:val="00483705"/>
    <w:rsid w:val="004837A3"/>
    <w:rsid w:val="004837C2"/>
    <w:rsid w:val="004837D5"/>
    <w:rsid w:val="00483AAD"/>
    <w:rsid w:val="00484A5D"/>
    <w:rsid w:val="00484F01"/>
    <w:rsid w:val="00485259"/>
    <w:rsid w:val="004856A3"/>
    <w:rsid w:val="00485A21"/>
    <w:rsid w:val="00485A51"/>
    <w:rsid w:val="00485B08"/>
    <w:rsid w:val="00485E7D"/>
    <w:rsid w:val="004860C5"/>
    <w:rsid w:val="0048675E"/>
    <w:rsid w:val="004867DA"/>
    <w:rsid w:val="00486BD1"/>
    <w:rsid w:val="00486C0B"/>
    <w:rsid w:val="00487032"/>
    <w:rsid w:val="0048718F"/>
    <w:rsid w:val="00487510"/>
    <w:rsid w:val="004879AC"/>
    <w:rsid w:val="00487BF0"/>
    <w:rsid w:val="00487D26"/>
    <w:rsid w:val="00487D4B"/>
    <w:rsid w:val="00487E26"/>
    <w:rsid w:val="00487F3D"/>
    <w:rsid w:val="00487F63"/>
    <w:rsid w:val="00487FB1"/>
    <w:rsid w:val="00490098"/>
    <w:rsid w:val="004903B4"/>
    <w:rsid w:val="00490483"/>
    <w:rsid w:val="00490533"/>
    <w:rsid w:val="0049057E"/>
    <w:rsid w:val="00490E70"/>
    <w:rsid w:val="00490F07"/>
    <w:rsid w:val="00491053"/>
    <w:rsid w:val="004910D8"/>
    <w:rsid w:val="0049165E"/>
    <w:rsid w:val="00491B23"/>
    <w:rsid w:val="00491E33"/>
    <w:rsid w:val="00491F14"/>
    <w:rsid w:val="00492012"/>
    <w:rsid w:val="0049286D"/>
    <w:rsid w:val="00492BCC"/>
    <w:rsid w:val="004936CF"/>
    <w:rsid w:val="004937EA"/>
    <w:rsid w:val="00493C9F"/>
    <w:rsid w:val="00493D9F"/>
    <w:rsid w:val="004941EF"/>
    <w:rsid w:val="0049447C"/>
    <w:rsid w:val="004944ED"/>
    <w:rsid w:val="004945CE"/>
    <w:rsid w:val="00494D5A"/>
    <w:rsid w:val="00494F30"/>
    <w:rsid w:val="0049535D"/>
    <w:rsid w:val="004955DC"/>
    <w:rsid w:val="004956BB"/>
    <w:rsid w:val="00495772"/>
    <w:rsid w:val="00495CA0"/>
    <w:rsid w:val="00495DB7"/>
    <w:rsid w:val="00496843"/>
    <w:rsid w:val="004969D7"/>
    <w:rsid w:val="00496E41"/>
    <w:rsid w:val="00496EC9"/>
    <w:rsid w:val="00497004"/>
    <w:rsid w:val="00497243"/>
    <w:rsid w:val="0049732B"/>
    <w:rsid w:val="004977FC"/>
    <w:rsid w:val="00497868"/>
    <w:rsid w:val="00497A09"/>
    <w:rsid w:val="00497AA4"/>
    <w:rsid w:val="00497DA8"/>
    <w:rsid w:val="00497DB1"/>
    <w:rsid w:val="00497F11"/>
    <w:rsid w:val="004A0D64"/>
    <w:rsid w:val="004A1029"/>
    <w:rsid w:val="004A1058"/>
    <w:rsid w:val="004A1405"/>
    <w:rsid w:val="004A1570"/>
    <w:rsid w:val="004A18A8"/>
    <w:rsid w:val="004A1E15"/>
    <w:rsid w:val="004A1EC7"/>
    <w:rsid w:val="004A1F7A"/>
    <w:rsid w:val="004A232C"/>
    <w:rsid w:val="004A266D"/>
    <w:rsid w:val="004A2750"/>
    <w:rsid w:val="004A2897"/>
    <w:rsid w:val="004A28AE"/>
    <w:rsid w:val="004A2AB5"/>
    <w:rsid w:val="004A2EB7"/>
    <w:rsid w:val="004A2FD8"/>
    <w:rsid w:val="004A3328"/>
    <w:rsid w:val="004A35B6"/>
    <w:rsid w:val="004A399A"/>
    <w:rsid w:val="004A39AC"/>
    <w:rsid w:val="004A3B1C"/>
    <w:rsid w:val="004A3B51"/>
    <w:rsid w:val="004A3B9A"/>
    <w:rsid w:val="004A3E06"/>
    <w:rsid w:val="004A3E92"/>
    <w:rsid w:val="004A3F4A"/>
    <w:rsid w:val="004A3F5A"/>
    <w:rsid w:val="004A4058"/>
    <w:rsid w:val="004A4155"/>
    <w:rsid w:val="004A43D6"/>
    <w:rsid w:val="004A43F7"/>
    <w:rsid w:val="004A46D1"/>
    <w:rsid w:val="004A4807"/>
    <w:rsid w:val="004A4A3F"/>
    <w:rsid w:val="004A4CAD"/>
    <w:rsid w:val="004A4CBF"/>
    <w:rsid w:val="004A4F48"/>
    <w:rsid w:val="004A5052"/>
    <w:rsid w:val="004A5243"/>
    <w:rsid w:val="004A5619"/>
    <w:rsid w:val="004A57D4"/>
    <w:rsid w:val="004A5E1E"/>
    <w:rsid w:val="004A6066"/>
    <w:rsid w:val="004A6362"/>
    <w:rsid w:val="004A68E5"/>
    <w:rsid w:val="004A6BC0"/>
    <w:rsid w:val="004A7086"/>
    <w:rsid w:val="004A749B"/>
    <w:rsid w:val="004A74C1"/>
    <w:rsid w:val="004A7B59"/>
    <w:rsid w:val="004B00B6"/>
    <w:rsid w:val="004B0997"/>
    <w:rsid w:val="004B0B15"/>
    <w:rsid w:val="004B0B67"/>
    <w:rsid w:val="004B1106"/>
    <w:rsid w:val="004B1420"/>
    <w:rsid w:val="004B1457"/>
    <w:rsid w:val="004B1990"/>
    <w:rsid w:val="004B1E26"/>
    <w:rsid w:val="004B1FF5"/>
    <w:rsid w:val="004B2015"/>
    <w:rsid w:val="004B2171"/>
    <w:rsid w:val="004B2520"/>
    <w:rsid w:val="004B25E7"/>
    <w:rsid w:val="004B27A2"/>
    <w:rsid w:val="004B27D9"/>
    <w:rsid w:val="004B2F95"/>
    <w:rsid w:val="004B34D8"/>
    <w:rsid w:val="004B3C21"/>
    <w:rsid w:val="004B3D12"/>
    <w:rsid w:val="004B441C"/>
    <w:rsid w:val="004B44B2"/>
    <w:rsid w:val="004B44B6"/>
    <w:rsid w:val="004B5088"/>
    <w:rsid w:val="004B50AF"/>
    <w:rsid w:val="004B53B1"/>
    <w:rsid w:val="004B55CA"/>
    <w:rsid w:val="004B562B"/>
    <w:rsid w:val="004B5648"/>
    <w:rsid w:val="004B56AD"/>
    <w:rsid w:val="004B582E"/>
    <w:rsid w:val="004B5DD4"/>
    <w:rsid w:val="004B6022"/>
    <w:rsid w:val="004B6026"/>
    <w:rsid w:val="004B60AB"/>
    <w:rsid w:val="004B6140"/>
    <w:rsid w:val="004B614B"/>
    <w:rsid w:val="004B61FC"/>
    <w:rsid w:val="004B6BD5"/>
    <w:rsid w:val="004B6C8E"/>
    <w:rsid w:val="004B727E"/>
    <w:rsid w:val="004B7A79"/>
    <w:rsid w:val="004B7DA8"/>
    <w:rsid w:val="004B7DEA"/>
    <w:rsid w:val="004C0000"/>
    <w:rsid w:val="004C0BDA"/>
    <w:rsid w:val="004C0EE4"/>
    <w:rsid w:val="004C101C"/>
    <w:rsid w:val="004C1132"/>
    <w:rsid w:val="004C1432"/>
    <w:rsid w:val="004C15D6"/>
    <w:rsid w:val="004C17D4"/>
    <w:rsid w:val="004C1EAC"/>
    <w:rsid w:val="004C2125"/>
    <w:rsid w:val="004C240D"/>
    <w:rsid w:val="004C252D"/>
    <w:rsid w:val="004C2576"/>
    <w:rsid w:val="004C288E"/>
    <w:rsid w:val="004C2B27"/>
    <w:rsid w:val="004C324F"/>
    <w:rsid w:val="004C32E7"/>
    <w:rsid w:val="004C350B"/>
    <w:rsid w:val="004C3561"/>
    <w:rsid w:val="004C4903"/>
    <w:rsid w:val="004C499C"/>
    <w:rsid w:val="004C4BBD"/>
    <w:rsid w:val="004C4DE5"/>
    <w:rsid w:val="004C5167"/>
    <w:rsid w:val="004C54D2"/>
    <w:rsid w:val="004C54F4"/>
    <w:rsid w:val="004C55B8"/>
    <w:rsid w:val="004C56CF"/>
    <w:rsid w:val="004C57F6"/>
    <w:rsid w:val="004C58CC"/>
    <w:rsid w:val="004C5FA1"/>
    <w:rsid w:val="004C629B"/>
    <w:rsid w:val="004C66BF"/>
    <w:rsid w:val="004C6915"/>
    <w:rsid w:val="004C6F83"/>
    <w:rsid w:val="004C7127"/>
    <w:rsid w:val="004C71EB"/>
    <w:rsid w:val="004C7270"/>
    <w:rsid w:val="004C74B8"/>
    <w:rsid w:val="004C759F"/>
    <w:rsid w:val="004C794B"/>
    <w:rsid w:val="004C7B56"/>
    <w:rsid w:val="004D01C1"/>
    <w:rsid w:val="004D0258"/>
    <w:rsid w:val="004D07EF"/>
    <w:rsid w:val="004D0826"/>
    <w:rsid w:val="004D0E6B"/>
    <w:rsid w:val="004D1401"/>
    <w:rsid w:val="004D19A6"/>
    <w:rsid w:val="004D1C93"/>
    <w:rsid w:val="004D22C8"/>
    <w:rsid w:val="004D24A9"/>
    <w:rsid w:val="004D26D7"/>
    <w:rsid w:val="004D2978"/>
    <w:rsid w:val="004D2F97"/>
    <w:rsid w:val="004D3061"/>
    <w:rsid w:val="004D30BD"/>
    <w:rsid w:val="004D35CC"/>
    <w:rsid w:val="004D383B"/>
    <w:rsid w:val="004D3840"/>
    <w:rsid w:val="004D3879"/>
    <w:rsid w:val="004D3999"/>
    <w:rsid w:val="004D3AD2"/>
    <w:rsid w:val="004D3B02"/>
    <w:rsid w:val="004D3BB2"/>
    <w:rsid w:val="004D3D3B"/>
    <w:rsid w:val="004D411C"/>
    <w:rsid w:val="004D426B"/>
    <w:rsid w:val="004D4382"/>
    <w:rsid w:val="004D4565"/>
    <w:rsid w:val="004D46BF"/>
    <w:rsid w:val="004D4D30"/>
    <w:rsid w:val="004D5299"/>
    <w:rsid w:val="004D530E"/>
    <w:rsid w:val="004D574B"/>
    <w:rsid w:val="004D5FB0"/>
    <w:rsid w:val="004D617E"/>
    <w:rsid w:val="004D627F"/>
    <w:rsid w:val="004D66DA"/>
    <w:rsid w:val="004D6A2D"/>
    <w:rsid w:val="004D6A8E"/>
    <w:rsid w:val="004D6AB9"/>
    <w:rsid w:val="004D6AE9"/>
    <w:rsid w:val="004D6D01"/>
    <w:rsid w:val="004D7561"/>
    <w:rsid w:val="004D76E8"/>
    <w:rsid w:val="004D7722"/>
    <w:rsid w:val="004D78A2"/>
    <w:rsid w:val="004D7E42"/>
    <w:rsid w:val="004D7EE9"/>
    <w:rsid w:val="004E0219"/>
    <w:rsid w:val="004E024B"/>
    <w:rsid w:val="004E0464"/>
    <w:rsid w:val="004E05F7"/>
    <w:rsid w:val="004E06A9"/>
    <w:rsid w:val="004E0B6D"/>
    <w:rsid w:val="004E1200"/>
    <w:rsid w:val="004E1213"/>
    <w:rsid w:val="004E15BB"/>
    <w:rsid w:val="004E15FD"/>
    <w:rsid w:val="004E1787"/>
    <w:rsid w:val="004E19D9"/>
    <w:rsid w:val="004E1D2A"/>
    <w:rsid w:val="004E1D9B"/>
    <w:rsid w:val="004E25F9"/>
    <w:rsid w:val="004E260E"/>
    <w:rsid w:val="004E297F"/>
    <w:rsid w:val="004E2B37"/>
    <w:rsid w:val="004E33CC"/>
    <w:rsid w:val="004E343B"/>
    <w:rsid w:val="004E355E"/>
    <w:rsid w:val="004E3592"/>
    <w:rsid w:val="004E3887"/>
    <w:rsid w:val="004E3955"/>
    <w:rsid w:val="004E3A57"/>
    <w:rsid w:val="004E3AC2"/>
    <w:rsid w:val="004E4028"/>
    <w:rsid w:val="004E45A0"/>
    <w:rsid w:val="004E49BF"/>
    <w:rsid w:val="004E4E11"/>
    <w:rsid w:val="004E52C3"/>
    <w:rsid w:val="004E565D"/>
    <w:rsid w:val="004E56A1"/>
    <w:rsid w:val="004E5724"/>
    <w:rsid w:val="004E5A4B"/>
    <w:rsid w:val="004E5CDD"/>
    <w:rsid w:val="004E5EF5"/>
    <w:rsid w:val="004E6104"/>
    <w:rsid w:val="004E610A"/>
    <w:rsid w:val="004E61FF"/>
    <w:rsid w:val="004E651F"/>
    <w:rsid w:val="004E6A2E"/>
    <w:rsid w:val="004E6B20"/>
    <w:rsid w:val="004E6CAC"/>
    <w:rsid w:val="004E6E28"/>
    <w:rsid w:val="004E7055"/>
    <w:rsid w:val="004E729F"/>
    <w:rsid w:val="004E7325"/>
    <w:rsid w:val="004E73D3"/>
    <w:rsid w:val="004E7592"/>
    <w:rsid w:val="004E77E7"/>
    <w:rsid w:val="004E7CA6"/>
    <w:rsid w:val="004E7DE9"/>
    <w:rsid w:val="004F0190"/>
    <w:rsid w:val="004F0397"/>
    <w:rsid w:val="004F055B"/>
    <w:rsid w:val="004F05ED"/>
    <w:rsid w:val="004F0D10"/>
    <w:rsid w:val="004F0E96"/>
    <w:rsid w:val="004F0EA9"/>
    <w:rsid w:val="004F106E"/>
    <w:rsid w:val="004F11DA"/>
    <w:rsid w:val="004F1872"/>
    <w:rsid w:val="004F1B05"/>
    <w:rsid w:val="004F1BEA"/>
    <w:rsid w:val="004F1EFF"/>
    <w:rsid w:val="004F2155"/>
    <w:rsid w:val="004F2188"/>
    <w:rsid w:val="004F2470"/>
    <w:rsid w:val="004F26B6"/>
    <w:rsid w:val="004F27B1"/>
    <w:rsid w:val="004F28BE"/>
    <w:rsid w:val="004F2A48"/>
    <w:rsid w:val="004F2A9E"/>
    <w:rsid w:val="004F2CA7"/>
    <w:rsid w:val="004F2CED"/>
    <w:rsid w:val="004F3022"/>
    <w:rsid w:val="004F33D0"/>
    <w:rsid w:val="004F3596"/>
    <w:rsid w:val="004F378B"/>
    <w:rsid w:val="004F37B3"/>
    <w:rsid w:val="004F3A4B"/>
    <w:rsid w:val="004F3B4D"/>
    <w:rsid w:val="004F3B7D"/>
    <w:rsid w:val="004F3C96"/>
    <w:rsid w:val="004F3D92"/>
    <w:rsid w:val="004F3DBE"/>
    <w:rsid w:val="004F3F1D"/>
    <w:rsid w:val="004F424D"/>
    <w:rsid w:val="004F4420"/>
    <w:rsid w:val="004F4571"/>
    <w:rsid w:val="004F45DA"/>
    <w:rsid w:val="004F480C"/>
    <w:rsid w:val="004F5213"/>
    <w:rsid w:val="004F5C4F"/>
    <w:rsid w:val="004F5D6E"/>
    <w:rsid w:val="004F6017"/>
    <w:rsid w:val="004F6229"/>
    <w:rsid w:val="004F6988"/>
    <w:rsid w:val="004F6B36"/>
    <w:rsid w:val="004F6B9C"/>
    <w:rsid w:val="004F770E"/>
    <w:rsid w:val="004F7A1B"/>
    <w:rsid w:val="004F7EA8"/>
    <w:rsid w:val="004F7F99"/>
    <w:rsid w:val="004F7FE8"/>
    <w:rsid w:val="005000B2"/>
    <w:rsid w:val="00500387"/>
    <w:rsid w:val="00500799"/>
    <w:rsid w:val="00500B35"/>
    <w:rsid w:val="00500C61"/>
    <w:rsid w:val="00500FC1"/>
    <w:rsid w:val="005011B6"/>
    <w:rsid w:val="005012F5"/>
    <w:rsid w:val="00501749"/>
    <w:rsid w:val="00501846"/>
    <w:rsid w:val="00501C0A"/>
    <w:rsid w:val="00501D2D"/>
    <w:rsid w:val="0050250E"/>
    <w:rsid w:val="00502706"/>
    <w:rsid w:val="005027D1"/>
    <w:rsid w:val="00502826"/>
    <w:rsid w:val="00502990"/>
    <w:rsid w:val="00502B61"/>
    <w:rsid w:val="00502DD2"/>
    <w:rsid w:val="00502E32"/>
    <w:rsid w:val="00502EBD"/>
    <w:rsid w:val="0050312E"/>
    <w:rsid w:val="00503155"/>
    <w:rsid w:val="0050316D"/>
    <w:rsid w:val="0050381F"/>
    <w:rsid w:val="00503B95"/>
    <w:rsid w:val="00504032"/>
    <w:rsid w:val="005043F0"/>
    <w:rsid w:val="005044D6"/>
    <w:rsid w:val="005045E7"/>
    <w:rsid w:val="005047E7"/>
    <w:rsid w:val="005050A1"/>
    <w:rsid w:val="005050B6"/>
    <w:rsid w:val="00505130"/>
    <w:rsid w:val="005058B9"/>
    <w:rsid w:val="005058CC"/>
    <w:rsid w:val="00505AEE"/>
    <w:rsid w:val="00505BE8"/>
    <w:rsid w:val="00505CB9"/>
    <w:rsid w:val="00505D0D"/>
    <w:rsid w:val="00505D66"/>
    <w:rsid w:val="00505E27"/>
    <w:rsid w:val="00506374"/>
    <w:rsid w:val="00506DDB"/>
    <w:rsid w:val="00506E31"/>
    <w:rsid w:val="00506EE6"/>
    <w:rsid w:val="00506F4B"/>
    <w:rsid w:val="005070B5"/>
    <w:rsid w:val="005072D3"/>
    <w:rsid w:val="005076A3"/>
    <w:rsid w:val="00507E39"/>
    <w:rsid w:val="0051025F"/>
    <w:rsid w:val="0051087A"/>
    <w:rsid w:val="005110C7"/>
    <w:rsid w:val="0051111D"/>
    <w:rsid w:val="005117A6"/>
    <w:rsid w:val="00511BBF"/>
    <w:rsid w:val="00511C98"/>
    <w:rsid w:val="00512154"/>
    <w:rsid w:val="005121FD"/>
    <w:rsid w:val="0051269F"/>
    <w:rsid w:val="005126B9"/>
    <w:rsid w:val="00512824"/>
    <w:rsid w:val="0051288C"/>
    <w:rsid w:val="005128D2"/>
    <w:rsid w:val="005129CE"/>
    <w:rsid w:val="00512AE6"/>
    <w:rsid w:val="00512CE1"/>
    <w:rsid w:val="00512D3A"/>
    <w:rsid w:val="00512EEF"/>
    <w:rsid w:val="00512FFA"/>
    <w:rsid w:val="0051301B"/>
    <w:rsid w:val="00513A3A"/>
    <w:rsid w:val="00513A4F"/>
    <w:rsid w:val="00513A91"/>
    <w:rsid w:val="00513ADF"/>
    <w:rsid w:val="00514509"/>
    <w:rsid w:val="005147D5"/>
    <w:rsid w:val="00514ADC"/>
    <w:rsid w:val="00514B8F"/>
    <w:rsid w:val="00514BC9"/>
    <w:rsid w:val="00514FC6"/>
    <w:rsid w:val="00515139"/>
    <w:rsid w:val="005151F0"/>
    <w:rsid w:val="0051578F"/>
    <w:rsid w:val="00515A48"/>
    <w:rsid w:val="00515BD8"/>
    <w:rsid w:val="00516117"/>
    <w:rsid w:val="005165AB"/>
    <w:rsid w:val="005166E6"/>
    <w:rsid w:val="0051680B"/>
    <w:rsid w:val="00516832"/>
    <w:rsid w:val="0051686E"/>
    <w:rsid w:val="00516929"/>
    <w:rsid w:val="00517050"/>
    <w:rsid w:val="00517499"/>
    <w:rsid w:val="0051755E"/>
    <w:rsid w:val="005176EA"/>
    <w:rsid w:val="005179B2"/>
    <w:rsid w:val="00517B6D"/>
    <w:rsid w:val="00517C0B"/>
    <w:rsid w:val="00517EEA"/>
    <w:rsid w:val="00520151"/>
    <w:rsid w:val="00520A2D"/>
    <w:rsid w:val="00520A8F"/>
    <w:rsid w:val="00520B0A"/>
    <w:rsid w:val="00520B86"/>
    <w:rsid w:val="00520E9D"/>
    <w:rsid w:val="0052150F"/>
    <w:rsid w:val="005215F9"/>
    <w:rsid w:val="0052167C"/>
    <w:rsid w:val="005217D9"/>
    <w:rsid w:val="0052192C"/>
    <w:rsid w:val="00521D29"/>
    <w:rsid w:val="005221A6"/>
    <w:rsid w:val="005223A2"/>
    <w:rsid w:val="005225EE"/>
    <w:rsid w:val="00522744"/>
    <w:rsid w:val="00522D39"/>
    <w:rsid w:val="0052326B"/>
    <w:rsid w:val="005237D5"/>
    <w:rsid w:val="00523B85"/>
    <w:rsid w:val="00523D45"/>
    <w:rsid w:val="00523E95"/>
    <w:rsid w:val="005240C5"/>
    <w:rsid w:val="005245DB"/>
    <w:rsid w:val="00524A07"/>
    <w:rsid w:val="00525037"/>
    <w:rsid w:val="0052514A"/>
    <w:rsid w:val="00525354"/>
    <w:rsid w:val="0052565E"/>
    <w:rsid w:val="00525E2D"/>
    <w:rsid w:val="00525F00"/>
    <w:rsid w:val="00525FAF"/>
    <w:rsid w:val="00526020"/>
    <w:rsid w:val="00526078"/>
    <w:rsid w:val="005261FB"/>
    <w:rsid w:val="0052643D"/>
    <w:rsid w:val="00526581"/>
    <w:rsid w:val="00526657"/>
    <w:rsid w:val="005266B9"/>
    <w:rsid w:val="00526958"/>
    <w:rsid w:val="00526C54"/>
    <w:rsid w:val="00526CB0"/>
    <w:rsid w:val="00526FCC"/>
    <w:rsid w:val="005273B2"/>
    <w:rsid w:val="00527484"/>
    <w:rsid w:val="00527550"/>
    <w:rsid w:val="0052769C"/>
    <w:rsid w:val="005276D3"/>
    <w:rsid w:val="00527B4D"/>
    <w:rsid w:val="0053001F"/>
    <w:rsid w:val="005305AF"/>
    <w:rsid w:val="005305E0"/>
    <w:rsid w:val="00530858"/>
    <w:rsid w:val="0053087E"/>
    <w:rsid w:val="005309E2"/>
    <w:rsid w:val="00530AE0"/>
    <w:rsid w:val="00530D39"/>
    <w:rsid w:val="00530E3F"/>
    <w:rsid w:val="00530EDD"/>
    <w:rsid w:val="00530FAF"/>
    <w:rsid w:val="0053187C"/>
    <w:rsid w:val="005319C3"/>
    <w:rsid w:val="00531ACC"/>
    <w:rsid w:val="00531BC5"/>
    <w:rsid w:val="00531D06"/>
    <w:rsid w:val="00531E84"/>
    <w:rsid w:val="00531E92"/>
    <w:rsid w:val="005321DE"/>
    <w:rsid w:val="005322E5"/>
    <w:rsid w:val="005324BD"/>
    <w:rsid w:val="005325AC"/>
    <w:rsid w:val="00532716"/>
    <w:rsid w:val="00532F69"/>
    <w:rsid w:val="005330D7"/>
    <w:rsid w:val="00533102"/>
    <w:rsid w:val="005331B7"/>
    <w:rsid w:val="00533325"/>
    <w:rsid w:val="0053371B"/>
    <w:rsid w:val="00533AF4"/>
    <w:rsid w:val="0053477C"/>
    <w:rsid w:val="005347E3"/>
    <w:rsid w:val="0053489E"/>
    <w:rsid w:val="005349E5"/>
    <w:rsid w:val="00534C44"/>
    <w:rsid w:val="00534D7E"/>
    <w:rsid w:val="00534DD7"/>
    <w:rsid w:val="00535447"/>
    <w:rsid w:val="00535505"/>
    <w:rsid w:val="00535716"/>
    <w:rsid w:val="00535776"/>
    <w:rsid w:val="00535A78"/>
    <w:rsid w:val="00535B3B"/>
    <w:rsid w:val="005366A7"/>
    <w:rsid w:val="005366F4"/>
    <w:rsid w:val="00536A19"/>
    <w:rsid w:val="00536AEE"/>
    <w:rsid w:val="00536CD0"/>
    <w:rsid w:val="00536CE7"/>
    <w:rsid w:val="00537179"/>
    <w:rsid w:val="00537543"/>
    <w:rsid w:val="00537565"/>
    <w:rsid w:val="0053789C"/>
    <w:rsid w:val="00537DE3"/>
    <w:rsid w:val="00540249"/>
    <w:rsid w:val="0054052B"/>
    <w:rsid w:val="00540681"/>
    <w:rsid w:val="0054087F"/>
    <w:rsid w:val="005409AA"/>
    <w:rsid w:val="00541433"/>
    <w:rsid w:val="005414FB"/>
    <w:rsid w:val="00541C26"/>
    <w:rsid w:val="00541C4A"/>
    <w:rsid w:val="00541ED8"/>
    <w:rsid w:val="00542180"/>
    <w:rsid w:val="00542379"/>
    <w:rsid w:val="0054273E"/>
    <w:rsid w:val="005427A1"/>
    <w:rsid w:val="0054296B"/>
    <w:rsid w:val="00543ADB"/>
    <w:rsid w:val="00543C2C"/>
    <w:rsid w:val="00543CBF"/>
    <w:rsid w:val="00543ED0"/>
    <w:rsid w:val="0054408F"/>
    <w:rsid w:val="0054411F"/>
    <w:rsid w:val="0054422C"/>
    <w:rsid w:val="005443FA"/>
    <w:rsid w:val="0054440C"/>
    <w:rsid w:val="005447FF"/>
    <w:rsid w:val="005449AD"/>
    <w:rsid w:val="00544CA9"/>
    <w:rsid w:val="00544D16"/>
    <w:rsid w:val="00544DEF"/>
    <w:rsid w:val="00544F09"/>
    <w:rsid w:val="00545182"/>
    <w:rsid w:val="00545280"/>
    <w:rsid w:val="005452AD"/>
    <w:rsid w:val="0054535A"/>
    <w:rsid w:val="00545514"/>
    <w:rsid w:val="005455E0"/>
    <w:rsid w:val="00545817"/>
    <w:rsid w:val="00545C42"/>
    <w:rsid w:val="00545C7D"/>
    <w:rsid w:val="00546662"/>
    <w:rsid w:val="005468E3"/>
    <w:rsid w:val="00546DE6"/>
    <w:rsid w:val="00547413"/>
    <w:rsid w:val="00547780"/>
    <w:rsid w:val="00547AFE"/>
    <w:rsid w:val="00547CD9"/>
    <w:rsid w:val="00547DF0"/>
    <w:rsid w:val="00547E02"/>
    <w:rsid w:val="005501BE"/>
    <w:rsid w:val="005503E6"/>
    <w:rsid w:val="00550571"/>
    <w:rsid w:val="005505D8"/>
    <w:rsid w:val="005508C5"/>
    <w:rsid w:val="00550A21"/>
    <w:rsid w:val="00550A32"/>
    <w:rsid w:val="00551772"/>
    <w:rsid w:val="0055177F"/>
    <w:rsid w:val="0055178B"/>
    <w:rsid w:val="005519AC"/>
    <w:rsid w:val="00551DEC"/>
    <w:rsid w:val="00551F2D"/>
    <w:rsid w:val="00552175"/>
    <w:rsid w:val="005522E9"/>
    <w:rsid w:val="0055232D"/>
    <w:rsid w:val="005523A4"/>
    <w:rsid w:val="00552581"/>
    <w:rsid w:val="005528FE"/>
    <w:rsid w:val="00552912"/>
    <w:rsid w:val="00552A9D"/>
    <w:rsid w:val="00552AD0"/>
    <w:rsid w:val="00552B0F"/>
    <w:rsid w:val="00552CEC"/>
    <w:rsid w:val="005531F5"/>
    <w:rsid w:val="0055353A"/>
    <w:rsid w:val="00553959"/>
    <w:rsid w:val="00553A5D"/>
    <w:rsid w:val="00553C5C"/>
    <w:rsid w:val="00553EA5"/>
    <w:rsid w:val="0055497E"/>
    <w:rsid w:val="00554B3A"/>
    <w:rsid w:val="00554FAC"/>
    <w:rsid w:val="00555152"/>
    <w:rsid w:val="005553DD"/>
    <w:rsid w:val="005555B6"/>
    <w:rsid w:val="00555F6A"/>
    <w:rsid w:val="005560B7"/>
    <w:rsid w:val="00556A42"/>
    <w:rsid w:val="00556C26"/>
    <w:rsid w:val="0055733D"/>
    <w:rsid w:val="0055748D"/>
    <w:rsid w:val="00557681"/>
    <w:rsid w:val="005577A5"/>
    <w:rsid w:val="005578F1"/>
    <w:rsid w:val="00557A25"/>
    <w:rsid w:val="00560055"/>
    <w:rsid w:val="005601C3"/>
    <w:rsid w:val="005605A6"/>
    <w:rsid w:val="00560900"/>
    <w:rsid w:val="00560CB3"/>
    <w:rsid w:val="005611A5"/>
    <w:rsid w:val="0056121B"/>
    <w:rsid w:val="005617A4"/>
    <w:rsid w:val="00561A2F"/>
    <w:rsid w:val="005622D8"/>
    <w:rsid w:val="0056241C"/>
    <w:rsid w:val="00562F0E"/>
    <w:rsid w:val="00563062"/>
    <w:rsid w:val="0056315E"/>
    <w:rsid w:val="00563363"/>
    <w:rsid w:val="005635E9"/>
    <w:rsid w:val="0056366F"/>
    <w:rsid w:val="0056399D"/>
    <w:rsid w:val="00563BF9"/>
    <w:rsid w:val="00563F26"/>
    <w:rsid w:val="00563FB4"/>
    <w:rsid w:val="005640A8"/>
    <w:rsid w:val="00564423"/>
    <w:rsid w:val="005648FA"/>
    <w:rsid w:val="00564D35"/>
    <w:rsid w:val="00564F2B"/>
    <w:rsid w:val="00564F6A"/>
    <w:rsid w:val="0056554A"/>
    <w:rsid w:val="005655A3"/>
    <w:rsid w:val="00565716"/>
    <w:rsid w:val="00565860"/>
    <w:rsid w:val="00565FC4"/>
    <w:rsid w:val="0056614F"/>
    <w:rsid w:val="0056615B"/>
    <w:rsid w:val="00566774"/>
    <w:rsid w:val="00566CFB"/>
    <w:rsid w:val="00566F95"/>
    <w:rsid w:val="00566FEA"/>
    <w:rsid w:val="0056731B"/>
    <w:rsid w:val="005676C4"/>
    <w:rsid w:val="00567781"/>
    <w:rsid w:val="00567945"/>
    <w:rsid w:val="00567D84"/>
    <w:rsid w:val="0057054F"/>
    <w:rsid w:val="00570A12"/>
    <w:rsid w:val="00570A1C"/>
    <w:rsid w:val="00570D81"/>
    <w:rsid w:val="00570F11"/>
    <w:rsid w:val="00570FB8"/>
    <w:rsid w:val="00571294"/>
    <w:rsid w:val="0057129E"/>
    <w:rsid w:val="005712BE"/>
    <w:rsid w:val="0057178C"/>
    <w:rsid w:val="00571C35"/>
    <w:rsid w:val="00571C9C"/>
    <w:rsid w:val="005723F8"/>
    <w:rsid w:val="005724E9"/>
    <w:rsid w:val="0057335A"/>
    <w:rsid w:val="00573496"/>
    <w:rsid w:val="005734B3"/>
    <w:rsid w:val="0057364A"/>
    <w:rsid w:val="00573B14"/>
    <w:rsid w:val="00574347"/>
    <w:rsid w:val="005748BF"/>
    <w:rsid w:val="00574B0E"/>
    <w:rsid w:val="00574E2D"/>
    <w:rsid w:val="005753B5"/>
    <w:rsid w:val="0057556B"/>
    <w:rsid w:val="00575668"/>
    <w:rsid w:val="00575E06"/>
    <w:rsid w:val="0057602B"/>
    <w:rsid w:val="005760E1"/>
    <w:rsid w:val="0057612E"/>
    <w:rsid w:val="0057674B"/>
    <w:rsid w:val="005767F5"/>
    <w:rsid w:val="00576857"/>
    <w:rsid w:val="00576BA9"/>
    <w:rsid w:val="00576DB3"/>
    <w:rsid w:val="005772E2"/>
    <w:rsid w:val="00577306"/>
    <w:rsid w:val="00577CA5"/>
    <w:rsid w:val="00577EBB"/>
    <w:rsid w:val="00580103"/>
    <w:rsid w:val="00580109"/>
    <w:rsid w:val="00580524"/>
    <w:rsid w:val="005806B5"/>
    <w:rsid w:val="00580716"/>
    <w:rsid w:val="005810C6"/>
    <w:rsid w:val="0058120D"/>
    <w:rsid w:val="00581CBC"/>
    <w:rsid w:val="00581D63"/>
    <w:rsid w:val="005821AB"/>
    <w:rsid w:val="005824B0"/>
    <w:rsid w:val="0058262B"/>
    <w:rsid w:val="00582749"/>
    <w:rsid w:val="005828AD"/>
    <w:rsid w:val="005838F9"/>
    <w:rsid w:val="00584271"/>
    <w:rsid w:val="005844BC"/>
    <w:rsid w:val="005848A5"/>
    <w:rsid w:val="00584BF4"/>
    <w:rsid w:val="00584C98"/>
    <w:rsid w:val="00584DA8"/>
    <w:rsid w:val="005850E1"/>
    <w:rsid w:val="00585283"/>
    <w:rsid w:val="0058528B"/>
    <w:rsid w:val="005852C3"/>
    <w:rsid w:val="0058530D"/>
    <w:rsid w:val="005854A6"/>
    <w:rsid w:val="00585779"/>
    <w:rsid w:val="0058591B"/>
    <w:rsid w:val="00585945"/>
    <w:rsid w:val="00585BF0"/>
    <w:rsid w:val="00585D84"/>
    <w:rsid w:val="00586416"/>
    <w:rsid w:val="00586771"/>
    <w:rsid w:val="00586818"/>
    <w:rsid w:val="00586F89"/>
    <w:rsid w:val="00587408"/>
    <w:rsid w:val="005875CB"/>
    <w:rsid w:val="005877D1"/>
    <w:rsid w:val="00587988"/>
    <w:rsid w:val="00587A82"/>
    <w:rsid w:val="00587ABE"/>
    <w:rsid w:val="00587BD9"/>
    <w:rsid w:val="00587E80"/>
    <w:rsid w:val="0059041F"/>
    <w:rsid w:val="005904BF"/>
    <w:rsid w:val="00590EFC"/>
    <w:rsid w:val="005910CC"/>
    <w:rsid w:val="005911FA"/>
    <w:rsid w:val="00591337"/>
    <w:rsid w:val="005919FD"/>
    <w:rsid w:val="00591A55"/>
    <w:rsid w:val="00591D38"/>
    <w:rsid w:val="00591D48"/>
    <w:rsid w:val="0059225A"/>
    <w:rsid w:val="00592587"/>
    <w:rsid w:val="0059271D"/>
    <w:rsid w:val="0059280A"/>
    <w:rsid w:val="0059286D"/>
    <w:rsid w:val="00592BCB"/>
    <w:rsid w:val="00592E93"/>
    <w:rsid w:val="00593110"/>
    <w:rsid w:val="00593204"/>
    <w:rsid w:val="0059344C"/>
    <w:rsid w:val="005934C6"/>
    <w:rsid w:val="0059396D"/>
    <w:rsid w:val="005939E1"/>
    <w:rsid w:val="00593A32"/>
    <w:rsid w:val="00593E2F"/>
    <w:rsid w:val="00593F2F"/>
    <w:rsid w:val="0059400F"/>
    <w:rsid w:val="00594822"/>
    <w:rsid w:val="0059483A"/>
    <w:rsid w:val="005949A5"/>
    <w:rsid w:val="00594B23"/>
    <w:rsid w:val="00594F59"/>
    <w:rsid w:val="0059512D"/>
    <w:rsid w:val="0059532E"/>
    <w:rsid w:val="005956D2"/>
    <w:rsid w:val="00595F8F"/>
    <w:rsid w:val="005961D3"/>
    <w:rsid w:val="0059637C"/>
    <w:rsid w:val="0059664E"/>
    <w:rsid w:val="00596CD7"/>
    <w:rsid w:val="00596D94"/>
    <w:rsid w:val="005978CC"/>
    <w:rsid w:val="005979FF"/>
    <w:rsid w:val="00597C52"/>
    <w:rsid w:val="005A02CD"/>
    <w:rsid w:val="005A0CF2"/>
    <w:rsid w:val="005A140B"/>
    <w:rsid w:val="005A141A"/>
    <w:rsid w:val="005A1A76"/>
    <w:rsid w:val="005A1BC4"/>
    <w:rsid w:val="005A1C1B"/>
    <w:rsid w:val="005A1C50"/>
    <w:rsid w:val="005A1D64"/>
    <w:rsid w:val="005A1F27"/>
    <w:rsid w:val="005A249F"/>
    <w:rsid w:val="005A25AA"/>
    <w:rsid w:val="005A25F4"/>
    <w:rsid w:val="005A2BBC"/>
    <w:rsid w:val="005A2DB4"/>
    <w:rsid w:val="005A41C2"/>
    <w:rsid w:val="005A41D5"/>
    <w:rsid w:val="005A43D9"/>
    <w:rsid w:val="005A486F"/>
    <w:rsid w:val="005A4A59"/>
    <w:rsid w:val="005A4B06"/>
    <w:rsid w:val="005A4C88"/>
    <w:rsid w:val="005A4E45"/>
    <w:rsid w:val="005A52AA"/>
    <w:rsid w:val="005A52D7"/>
    <w:rsid w:val="005A5363"/>
    <w:rsid w:val="005A5390"/>
    <w:rsid w:val="005A5470"/>
    <w:rsid w:val="005A5737"/>
    <w:rsid w:val="005A58B3"/>
    <w:rsid w:val="005A5B64"/>
    <w:rsid w:val="005A5F03"/>
    <w:rsid w:val="005A6186"/>
    <w:rsid w:val="005A6213"/>
    <w:rsid w:val="005A651E"/>
    <w:rsid w:val="005A6532"/>
    <w:rsid w:val="005A65ED"/>
    <w:rsid w:val="005A66D3"/>
    <w:rsid w:val="005A70AC"/>
    <w:rsid w:val="005A777D"/>
    <w:rsid w:val="005A7A03"/>
    <w:rsid w:val="005A7D94"/>
    <w:rsid w:val="005B05C7"/>
    <w:rsid w:val="005B06E4"/>
    <w:rsid w:val="005B0C2C"/>
    <w:rsid w:val="005B140C"/>
    <w:rsid w:val="005B14D8"/>
    <w:rsid w:val="005B1D10"/>
    <w:rsid w:val="005B201F"/>
    <w:rsid w:val="005B2CFF"/>
    <w:rsid w:val="005B2E5B"/>
    <w:rsid w:val="005B37A5"/>
    <w:rsid w:val="005B3816"/>
    <w:rsid w:val="005B3C9C"/>
    <w:rsid w:val="005B3E16"/>
    <w:rsid w:val="005B4469"/>
    <w:rsid w:val="005B47CD"/>
    <w:rsid w:val="005B489C"/>
    <w:rsid w:val="005B48DA"/>
    <w:rsid w:val="005B4AF3"/>
    <w:rsid w:val="005B4B8E"/>
    <w:rsid w:val="005B4C28"/>
    <w:rsid w:val="005B4C77"/>
    <w:rsid w:val="005B4CAD"/>
    <w:rsid w:val="005B4EBA"/>
    <w:rsid w:val="005B4FF8"/>
    <w:rsid w:val="005B5ABE"/>
    <w:rsid w:val="005B5C97"/>
    <w:rsid w:val="005B5DE9"/>
    <w:rsid w:val="005B5E46"/>
    <w:rsid w:val="005B5E6C"/>
    <w:rsid w:val="005B6130"/>
    <w:rsid w:val="005B61EB"/>
    <w:rsid w:val="005B62DB"/>
    <w:rsid w:val="005B655B"/>
    <w:rsid w:val="005B6682"/>
    <w:rsid w:val="005B6F76"/>
    <w:rsid w:val="005B705D"/>
    <w:rsid w:val="005B722A"/>
    <w:rsid w:val="005B750C"/>
    <w:rsid w:val="005B756A"/>
    <w:rsid w:val="005B7827"/>
    <w:rsid w:val="005B7B19"/>
    <w:rsid w:val="005B7DB6"/>
    <w:rsid w:val="005C02D8"/>
    <w:rsid w:val="005C037D"/>
    <w:rsid w:val="005C04FE"/>
    <w:rsid w:val="005C19FD"/>
    <w:rsid w:val="005C1B33"/>
    <w:rsid w:val="005C1CBE"/>
    <w:rsid w:val="005C1EBC"/>
    <w:rsid w:val="005C2298"/>
    <w:rsid w:val="005C25A4"/>
    <w:rsid w:val="005C2E58"/>
    <w:rsid w:val="005C3121"/>
    <w:rsid w:val="005C3134"/>
    <w:rsid w:val="005C3294"/>
    <w:rsid w:val="005C36AE"/>
    <w:rsid w:val="005C3B80"/>
    <w:rsid w:val="005C3C23"/>
    <w:rsid w:val="005C4F4D"/>
    <w:rsid w:val="005C4FDC"/>
    <w:rsid w:val="005C5292"/>
    <w:rsid w:val="005C53FB"/>
    <w:rsid w:val="005C54F6"/>
    <w:rsid w:val="005C557B"/>
    <w:rsid w:val="005C613C"/>
    <w:rsid w:val="005C61A1"/>
    <w:rsid w:val="005C66B0"/>
    <w:rsid w:val="005C6DC6"/>
    <w:rsid w:val="005C702A"/>
    <w:rsid w:val="005C707F"/>
    <w:rsid w:val="005C70AE"/>
    <w:rsid w:val="005C733C"/>
    <w:rsid w:val="005C7816"/>
    <w:rsid w:val="005C78F4"/>
    <w:rsid w:val="005C78FD"/>
    <w:rsid w:val="005C7A1C"/>
    <w:rsid w:val="005C7C74"/>
    <w:rsid w:val="005D01BD"/>
    <w:rsid w:val="005D0286"/>
    <w:rsid w:val="005D029A"/>
    <w:rsid w:val="005D062D"/>
    <w:rsid w:val="005D0877"/>
    <w:rsid w:val="005D105C"/>
    <w:rsid w:val="005D133D"/>
    <w:rsid w:val="005D13E2"/>
    <w:rsid w:val="005D177C"/>
    <w:rsid w:val="005D18A1"/>
    <w:rsid w:val="005D1925"/>
    <w:rsid w:val="005D1B81"/>
    <w:rsid w:val="005D1E6A"/>
    <w:rsid w:val="005D2662"/>
    <w:rsid w:val="005D2C07"/>
    <w:rsid w:val="005D2CA8"/>
    <w:rsid w:val="005D2CCD"/>
    <w:rsid w:val="005D2E20"/>
    <w:rsid w:val="005D30DC"/>
    <w:rsid w:val="005D3128"/>
    <w:rsid w:val="005D3548"/>
    <w:rsid w:val="005D36B7"/>
    <w:rsid w:val="005D46E9"/>
    <w:rsid w:val="005D47C4"/>
    <w:rsid w:val="005D4B35"/>
    <w:rsid w:val="005D4E8A"/>
    <w:rsid w:val="005D505F"/>
    <w:rsid w:val="005D50F7"/>
    <w:rsid w:val="005D55DC"/>
    <w:rsid w:val="005D55E4"/>
    <w:rsid w:val="005D55E9"/>
    <w:rsid w:val="005D5953"/>
    <w:rsid w:val="005D5E74"/>
    <w:rsid w:val="005D5ECC"/>
    <w:rsid w:val="005D5F6F"/>
    <w:rsid w:val="005D617E"/>
    <w:rsid w:val="005D62BF"/>
    <w:rsid w:val="005D7072"/>
    <w:rsid w:val="005D7080"/>
    <w:rsid w:val="005D7622"/>
    <w:rsid w:val="005D78BB"/>
    <w:rsid w:val="005D79FF"/>
    <w:rsid w:val="005D7CED"/>
    <w:rsid w:val="005D7DED"/>
    <w:rsid w:val="005E01B1"/>
    <w:rsid w:val="005E08B9"/>
    <w:rsid w:val="005E08FF"/>
    <w:rsid w:val="005E0BC3"/>
    <w:rsid w:val="005E0EE2"/>
    <w:rsid w:val="005E1389"/>
    <w:rsid w:val="005E22A5"/>
    <w:rsid w:val="005E2347"/>
    <w:rsid w:val="005E253B"/>
    <w:rsid w:val="005E2793"/>
    <w:rsid w:val="005E2A47"/>
    <w:rsid w:val="005E2B1B"/>
    <w:rsid w:val="005E2DCA"/>
    <w:rsid w:val="005E2DD9"/>
    <w:rsid w:val="005E3250"/>
    <w:rsid w:val="005E340F"/>
    <w:rsid w:val="005E3479"/>
    <w:rsid w:val="005E3779"/>
    <w:rsid w:val="005E3D6B"/>
    <w:rsid w:val="005E3E2C"/>
    <w:rsid w:val="005E404B"/>
    <w:rsid w:val="005E42EE"/>
    <w:rsid w:val="005E43DC"/>
    <w:rsid w:val="005E4507"/>
    <w:rsid w:val="005E4649"/>
    <w:rsid w:val="005E4836"/>
    <w:rsid w:val="005E4888"/>
    <w:rsid w:val="005E4A1C"/>
    <w:rsid w:val="005E4D0F"/>
    <w:rsid w:val="005E507B"/>
    <w:rsid w:val="005E53B0"/>
    <w:rsid w:val="005E559E"/>
    <w:rsid w:val="005E55B6"/>
    <w:rsid w:val="005E5644"/>
    <w:rsid w:val="005E5776"/>
    <w:rsid w:val="005E59C0"/>
    <w:rsid w:val="005E5CDC"/>
    <w:rsid w:val="005E5F81"/>
    <w:rsid w:val="005E5F9B"/>
    <w:rsid w:val="005E65C3"/>
    <w:rsid w:val="005E6832"/>
    <w:rsid w:val="005E69CA"/>
    <w:rsid w:val="005E6A59"/>
    <w:rsid w:val="005E6BEC"/>
    <w:rsid w:val="005E715F"/>
    <w:rsid w:val="005E7265"/>
    <w:rsid w:val="005E781A"/>
    <w:rsid w:val="005E7C93"/>
    <w:rsid w:val="005E7D82"/>
    <w:rsid w:val="005E7E2A"/>
    <w:rsid w:val="005F0174"/>
    <w:rsid w:val="005F0255"/>
    <w:rsid w:val="005F0999"/>
    <w:rsid w:val="005F0B09"/>
    <w:rsid w:val="005F0DBB"/>
    <w:rsid w:val="005F0E52"/>
    <w:rsid w:val="005F18A7"/>
    <w:rsid w:val="005F18C4"/>
    <w:rsid w:val="005F1DAA"/>
    <w:rsid w:val="005F2060"/>
    <w:rsid w:val="005F2456"/>
    <w:rsid w:val="005F24BB"/>
    <w:rsid w:val="005F262D"/>
    <w:rsid w:val="005F26AC"/>
    <w:rsid w:val="005F2CE2"/>
    <w:rsid w:val="005F2F69"/>
    <w:rsid w:val="005F304B"/>
    <w:rsid w:val="005F304F"/>
    <w:rsid w:val="005F3077"/>
    <w:rsid w:val="005F33C5"/>
    <w:rsid w:val="005F3564"/>
    <w:rsid w:val="005F36E9"/>
    <w:rsid w:val="005F38B9"/>
    <w:rsid w:val="005F4A6D"/>
    <w:rsid w:val="005F4AC1"/>
    <w:rsid w:val="005F5078"/>
    <w:rsid w:val="005F52C5"/>
    <w:rsid w:val="005F52ED"/>
    <w:rsid w:val="005F5339"/>
    <w:rsid w:val="005F53A3"/>
    <w:rsid w:val="005F5885"/>
    <w:rsid w:val="005F5C95"/>
    <w:rsid w:val="005F6332"/>
    <w:rsid w:val="005F6475"/>
    <w:rsid w:val="005F6760"/>
    <w:rsid w:val="005F68C0"/>
    <w:rsid w:val="005F727C"/>
    <w:rsid w:val="005F72E4"/>
    <w:rsid w:val="005F7488"/>
    <w:rsid w:val="005F753B"/>
    <w:rsid w:val="005F76CF"/>
    <w:rsid w:val="005F7885"/>
    <w:rsid w:val="005F78ED"/>
    <w:rsid w:val="005F7D1A"/>
    <w:rsid w:val="005F7D35"/>
    <w:rsid w:val="005F7E6A"/>
    <w:rsid w:val="00600662"/>
    <w:rsid w:val="00600B16"/>
    <w:rsid w:val="00600EC8"/>
    <w:rsid w:val="006014F1"/>
    <w:rsid w:val="00601CFF"/>
    <w:rsid w:val="00601E00"/>
    <w:rsid w:val="00602133"/>
    <w:rsid w:val="006022C1"/>
    <w:rsid w:val="006023DA"/>
    <w:rsid w:val="006024D6"/>
    <w:rsid w:val="0060251B"/>
    <w:rsid w:val="0060257E"/>
    <w:rsid w:val="0060261A"/>
    <w:rsid w:val="00602690"/>
    <w:rsid w:val="0060278F"/>
    <w:rsid w:val="00602BB9"/>
    <w:rsid w:val="00602E88"/>
    <w:rsid w:val="00603008"/>
    <w:rsid w:val="006036B1"/>
    <w:rsid w:val="00603E7E"/>
    <w:rsid w:val="00603F75"/>
    <w:rsid w:val="00604477"/>
    <w:rsid w:val="006049BD"/>
    <w:rsid w:val="00604B26"/>
    <w:rsid w:val="00604C5B"/>
    <w:rsid w:val="00604E58"/>
    <w:rsid w:val="00605069"/>
    <w:rsid w:val="006051D5"/>
    <w:rsid w:val="006054E8"/>
    <w:rsid w:val="00605516"/>
    <w:rsid w:val="00605685"/>
    <w:rsid w:val="006058F8"/>
    <w:rsid w:val="006059AF"/>
    <w:rsid w:val="006059E6"/>
    <w:rsid w:val="00605D3D"/>
    <w:rsid w:val="006064F9"/>
    <w:rsid w:val="0060694B"/>
    <w:rsid w:val="00606B52"/>
    <w:rsid w:val="00606EF0"/>
    <w:rsid w:val="00606F01"/>
    <w:rsid w:val="00607104"/>
    <w:rsid w:val="006071E9"/>
    <w:rsid w:val="00607248"/>
    <w:rsid w:val="00607A62"/>
    <w:rsid w:val="00607B34"/>
    <w:rsid w:val="006101E9"/>
    <w:rsid w:val="00610505"/>
    <w:rsid w:val="00610775"/>
    <w:rsid w:val="00610A94"/>
    <w:rsid w:val="00610AF0"/>
    <w:rsid w:val="00611506"/>
    <w:rsid w:val="006116A1"/>
    <w:rsid w:val="006116B6"/>
    <w:rsid w:val="00611717"/>
    <w:rsid w:val="0061204D"/>
    <w:rsid w:val="006121BA"/>
    <w:rsid w:val="006129A4"/>
    <w:rsid w:val="00612DA5"/>
    <w:rsid w:val="00612ED4"/>
    <w:rsid w:val="00612F32"/>
    <w:rsid w:val="00612FB4"/>
    <w:rsid w:val="0061302A"/>
    <w:rsid w:val="0061322A"/>
    <w:rsid w:val="006138FA"/>
    <w:rsid w:val="00613B76"/>
    <w:rsid w:val="00613C2F"/>
    <w:rsid w:val="00613E0C"/>
    <w:rsid w:val="0061408C"/>
    <w:rsid w:val="00614250"/>
    <w:rsid w:val="0061455C"/>
    <w:rsid w:val="00614989"/>
    <w:rsid w:val="00615320"/>
    <w:rsid w:val="0061558B"/>
    <w:rsid w:val="00615ABF"/>
    <w:rsid w:val="00615DF6"/>
    <w:rsid w:val="00616378"/>
    <w:rsid w:val="0061670E"/>
    <w:rsid w:val="0061681C"/>
    <w:rsid w:val="00616C69"/>
    <w:rsid w:val="00616F17"/>
    <w:rsid w:val="006172A1"/>
    <w:rsid w:val="0061763F"/>
    <w:rsid w:val="00617728"/>
    <w:rsid w:val="00617A0A"/>
    <w:rsid w:val="00617A14"/>
    <w:rsid w:val="00620152"/>
    <w:rsid w:val="006203F1"/>
    <w:rsid w:val="00620534"/>
    <w:rsid w:val="0062073E"/>
    <w:rsid w:val="00620D7C"/>
    <w:rsid w:val="006212F1"/>
    <w:rsid w:val="00621430"/>
    <w:rsid w:val="00621598"/>
    <w:rsid w:val="00621700"/>
    <w:rsid w:val="00621B37"/>
    <w:rsid w:val="0062239F"/>
    <w:rsid w:val="006223C0"/>
    <w:rsid w:val="00622438"/>
    <w:rsid w:val="006224D4"/>
    <w:rsid w:val="00622F2F"/>
    <w:rsid w:val="00623083"/>
    <w:rsid w:val="00623490"/>
    <w:rsid w:val="006234E6"/>
    <w:rsid w:val="0062354F"/>
    <w:rsid w:val="006235D4"/>
    <w:rsid w:val="006236FA"/>
    <w:rsid w:val="00623DEB"/>
    <w:rsid w:val="006240A2"/>
    <w:rsid w:val="0062420A"/>
    <w:rsid w:val="0062432F"/>
    <w:rsid w:val="00624B4C"/>
    <w:rsid w:val="00625093"/>
    <w:rsid w:val="00625248"/>
    <w:rsid w:val="00625312"/>
    <w:rsid w:val="0062553B"/>
    <w:rsid w:val="006256F5"/>
    <w:rsid w:val="00625C27"/>
    <w:rsid w:val="00625FC3"/>
    <w:rsid w:val="00625FE7"/>
    <w:rsid w:val="0062640E"/>
    <w:rsid w:val="00626563"/>
    <w:rsid w:val="0062683F"/>
    <w:rsid w:val="0062684E"/>
    <w:rsid w:val="00626C41"/>
    <w:rsid w:val="00626C66"/>
    <w:rsid w:val="006270BF"/>
    <w:rsid w:val="0062744B"/>
    <w:rsid w:val="00627564"/>
    <w:rsid w:val="00627610"/>
    <w:rsid w:val="00627698"/>
    <w:rsid w:val="00627AF6"/>
    <w:rsid w:val="00627DBD"/>
    <w:rsid w:val="00627FF2"/>
    <w:rsid w:val="006301A5"/>
    <w:rsid w:val="006305A4"/>
    <w:rsid w:val="006305E4"/>
    <w:rsid w:val="00630825"/>
    <w:rsid w:val="00630865"/>
    <w:rsid w:val="00630B2C"/>
    <w:rsid w:val="00630EDC"/>
    <w:rsid w:val="00630F0A"/>
    <w:rsid w:val="00630F7C"/>
    <w:rsid w:val="00630FCE"/>
    <w:rsid w:val="00631336"/>
    <w:rsid w:val="00631575"/>
    <w:rsid w:val="006320F0"/>
    <w:rsid w:val="006321C7"/>
    <w:rsid w:val="00632561"/>
    <w:rsid w:val="006325C2"/>
    <w:rsid w:val="0063272F"/>
    <w:rsid w:val="00632820"/>
    <w:rsid w:val="0063286B"/>
    <w:rsid w:val="00632DDC"/>
    <w:rsid w:val="00632DEC"/>
    <w:rsid w:val="00632ECC"/>
    <w:rsid w:val="00633213"/>
    <w:rsid w:val="00633C03"/>
    <w:rsid w:val="00633C5E"/>
    <w:rsid w:val="00633CCC"/>
    <w:rsid w:val="00633FF2"/>
    <w:rsid w:val="006341BC"/>
    <w:rsid w:val="006343D1"/>
    <w:rsid w:val="006343EA"/>
    <w:rsid w:val="0063467F"/>
    <w:rsid w:val="00634D6C"/>
    <w:rsid w:val="00634DA0"/>
    <w:rsid w:val="00634DBB"/>
    <w:rsid w:val="006353E8"/>
    <w:rsid w:val="006354B3"/>
    <w:rsid w:val="00635512"/>
    <w:rsid w:val="0063563A"/>
    <w:rsid w:val="00635659"/>
    <w:rsid w:val="006358F3"/>
    <w:rsid w:val="00635B4F"/>
    <w:rsid w:val="00635F2A"/>
    <w:rsid w:val="00635F71"/>
    <w:rsid w:val="006360AF"/>
    <w:rsid w:val="00636575"/>
    <w:rsid w:val="00636BE8"/>
    <w:rsid w:val="00637250"/>
    <w:rsid w:val="0063733C"/>
    <w:rsid w:val="00637653"/>
    <w:rsid w:val="00637984"/>
    <w:rsid w:val="00637FCD"/>
    <w:rsid w:val="00640017"/>
    <w:rsid w:val="00640893"/>
    <w:rsid w:val="0064095E"/>
    <w:rsid w:val="00640A32"/>
    <w:rsid w:val="00640B33"/>
    <w:rsid w:val="00640E7D"/>
    <w:rsid w:val="00641B1A"/>
    <w:rsid w:val="00642146"/>
    <w:rsid w:val="0064227D"/>
    <w:rsid w:val="0064233A"/>
    <w:rsid w:val="006425A1"/>
    <w:rsid w:val="00642C43"/>
    <w:rsid w:val="00642D9A"/>
    <w:rsid w:val="006430DB"/>
    <w:rsid w:val="0064319C"/>
    <w:rsid w:val="006431C6"/>
    <w:rsid w:val="0064359F"/>
    <w:rsid w:val="006436F3"/>
    <w:rsid w:val="006437A9"/>
    <w:rsid w:val="0064385D"/>
    <w:rsid w:val="00643BF6"/>
    <w:rsid w:val="00643FD0"/>
    <w:rsid w:val="0064411A"/>
    <w:rsid w:val="0064414F"/>
    <w:rsid w:val="006445BB"/>
    <w:rsid w:val="0064462B"/>
    <w:rsid w:val="0064485A"/>
    <w:rsid w:val="006448BB"/>
    <w:rsid w:val="0064491E"/>
    <w:rsid w:val="0064525D"/>
    <w:rsid w:val="00645D39"/>
    <w:rsid w:val="006461A9"/>
    <w:rsid w:val="0064620B"/>
    <w:rsid w:val="00646959"/>
    <w:rsid w:val="006469BB"/>
    <w:rsid w:val="006469E1"/>
    <w:rsid w:val="00646A43"/>
    <w:rsid w:val="00646A87"/>
    <w:rsid w:val="00646B39"/>
    <w:rsid w:val="00646D1F"/>
    <w:rsid w:val="00646DEB"/>
    <w:rsid w:val="00646EC7"/>
    <w:rsid w:val="00647767"/>
    <w:rsid w:val="0064785A"/>
    <w:rsid w:val="00647F17"/>
    <w:rsid w:val="006502C3"/>
    <w:rsid w:val="006503A0"/>
    <w:rsid w:val="006504A4"/>
    <w:rsid w:val="006507C3"/>
    <w:rsid w:val="00650B38"/>
    <w:rsid w:val="00651306"/>
    <w:rsid w:val="006516B3"/>
    <w:rsid w:val="00651DCB"/>
    <w:rsid w:val="00652175"/>
    <w:rsid w:val="00652194"/>
    <w:rsid w:val="00652383"/>
    <w:rsid w:val="00652698"/>
    <w:rsid w:val="006528D6"/>
    <w:rsid w:val="006533C9"/>
    <w:rsid w:val="00653435"/>
    <w:rsid w:val="00653CBF"/>
    <w:rsid w:val="00653E0C"/>
    <w:rsid w:val="00653EFC"/>
    <w:rsid w:val="006540EF"/>
    <w:rsid w:val="00654968"/>
    <w:rsid w:val="0065510E"/>
    <w:rsid w:val="00655128"/>
    <w:rsid w:val="006552AE"/>
    <w:rsid w:val="00655353"/>
    <w:rsid w:val="00655467"/>
    <w:rsid w:val="006554F5"/>
    <w:rsid w:val="0065581B"/>
    <w:rsid w:val="006558DD"/>
    <w:rsid w:val="00655906"/>
    <w:rsid w:val="00655D4E"/>
    <w:rsid w:val="006567C0"/>
    <w:rsid w:val="00656C41"/>
    <w:rsid w:val="00656D9C"/>
    <w:rsid w:val="00656D9D"/>
    <w:rsid w:val="00656EA7"/>
    <w:rsid w:val="0065729E"/>
    <w:rsid w:val="006572B8"/>
    <w:rsid w:val="00657AFC"/>
    <w:rsid w:val="00657E99"/>
    <w:rsid w:val="00657F56"/>
    <w:rsid w:val="00660187"/>
    <w:rsid w:val="00660197"/>
    <w:rsid w:val="00660224"/>
    <w:rsid w:val="0066055C"/>
    <w:rsid w:val="00660680"/>
    <w:rsid w:val="00660723"/>
    <w:rsid w:val="00660853"/>
    <w:rsid w:val="00660996"/>
    <w:rsid w:val="00660A8B"/>
    <w:rsid w:val="00660C72"/>
    <w:rsid w:val="00660E11"/>
    <w:rsid w:val="00661047"/>
    <w:rsid w:val="00661218"/>
    <w:rsid w:val="0066149B"/>
    <w:rsid w:val="00661B8C"/>
    <w:rsid w:val="00661C03"/>
    <w:rsid w:val="00661C6A"/>
    <w:rsid w:val="00661CCA"/>
    <w:rsid w:val="00661FD8"/>
    <w:rsid w:val="0066203C"/>
    <w:rsid w:val="00662909"/>
    <w:rsid w:val="006629F8"/>
    <w:rsid w:val="00662CD8"/>
    <w:rsid w:val="0066349A"/>
    <w:rsid w:val="00663591"/>
    <w:rsid w:val="006638B9"/>
    <w:rsid w:val="00663A65"/>
    <w:rsid w:val="00663D18"/>
    <w:rsid w:val="00663E19"/>
    <w:rsid w:val="006641B1"/>
    <w:rsid w:val="00664294"/>
    <w:rsid w:val="0066457F"/>
    <w:rsid w:val="006645BC"/>
    <w:rsid w:val="00664888"/>
    <w:rsid w:val="00664C2A"/>
    <w:rsid w:val="006651B8"/>
    <w:rsid w:val="006662DF"/>
    <w:rsid w:val="006667CB"/>
    <w:rsid w:val="0066688C"/>
    <w:rsid w:val="00666EAA"/>
    <w:rsid w:val="00666F57"/>
    <w:rsid w:val="00666FC3"/>
    <w:rsid w:val="006675FD"/>
    <w:rsid w:val="006676FF"/>
    <w:rsid w:val="00667BA5"/>
    <w:rsid w:val="0067012A"/>
    <w:rsid w:val="00670260"/>
    <w:rsid w:val="0067053D"/>
    <w:rsid w:val="00670737"/>
    <w:rsid w:val="0067079E"/>
    <w:rsid w:val="00670903"/>
    <w:rsid w:val="006710B7"/>
    <w:rsid w:val="00671101"/>
    <w:rsid w:val="006717EF"/>
    <w:rsid w:val="00671CE6"/>
    <w:rsid w:val="00671E3C"/>
    <w:rsid w:val="00671F87"/>
    <w:rsid w:val="006720B8"/>
    <w:rsid w:val="0067217C"/>
    <w:rsid w:val="0067219E"/>
    <w:rsid w:val="0067269A"/>
    <w:rsid w:val="00672724"/>
    <w:rsid w:val="00672868"/>
    <w:rsid w:val="006728C2"/>
    <w:rsid w:val="006729AA"/>
    <w:rsid w:val="00672A53"/>
    <w:rsid w:val="00672B0D"/>
    <w:rsid w:val="00672BC1"/>
    <w:rsid w:val="00672E03"/>
    <w:rsid w:val="0067347D"/>
    <w:rsid w:val="0067351F"/>
    <w:rsid w:val="00673A81"/>
    <w:rsid w:val="00673B35"/>
    <w:rsid w:val="00673BD1"/>
    <w:rsid w:val="00673EFA"/>
    <w:rsid w:val="00674045"/>
    <w:rsid w:val="006742DE"/>
    <w:rsid w:val="00674325"/>
    <w:rsid w:val="006745BA"/>
    <w:rsid w:val="0067466F"/>
    <w:rsid w:val="00674C86"/>
    <w:rsid w:val="00674D80"/>
    <w:rsid w:val="00674F17"/>
    <w:rsid w:val="0067599C"/>
    <w:rsid w:val="00675C1A"/>
    <w:rsid w:val="00675E3C"/>
    <w:rsid w:val="00675EF5"/>
    <w:rsid w:val="00675F60"/>
    <w:rsid w:val="00676712"/>
    <w:rsid w:val="00676851"/>
    <w:rsid w:val="0067685B"/>
    <w:rsid w:val="00676E32"/>
    <w:rsid w:val="00676E7C"/>
    <w:rsid w:val="00676F82"/>
    <w:rsid w:val="00677456"/>
    <w:rsid w:val="0067748E"/>
    <w:rsid w:val="006776BA"/>
    <w:rsid w:val="00677901"/>
    <w:rsid w:val="00677E85"/>
    <w:rsid w:val="00680620"/>
    <w:rsid w:val="00680A72"/>
    <w:rsid w:val="00680AD9"/>
    <w:rsid w:val="00680C11"/>
    <w:rsid w:val="00680C83"/>
    <w:rsid w:val="00680F19"/>
    <w:rsid w:val="00680FC3"/>
    <w:rsid w:val="00680FDA"/>
    <w:rsid w:val="00681796"/>
    <w:rsid w:val="0068189E"/>
    <w:rsid w:val="006820B2"/>
    <w:rsid w:val="0068210B"/>
    <w:rsid w:val="0068246F"/>
    <w:rsid w:val="00682928"/>
    <w:rsid w:val="00682F5E"/>
    <w:rsid w:val="0068323A"/>
    <w:rsid w:val="00683711"/>
    <w:rsid w:val="00683BB5"/>
    <w:rsid w:val="00683DBF"/>
    <w:rsid w:val="0068416D"/>
    <w:rsid w:val="0068444C"/>
    <w:rsid w:val="006844F5"/>
    <w:rsid w:val="00684A11"/>
    <w:rsid w:val="00685161"/>
    <w:rsid w:val="006852D9"/>
    <w:rsid w:val="00685639"/>
    <w:rsid w:val="006858DF"/>
    <w:rsid w:val="00685D0B"/>
    <w:rsid w:val="00685FE4"/>
    <w:rsid w:val="00686013"/>
    <w:rsid w:val="00686353"/>
    <w:rsid w:val="00686403"/>
    <w:rsid w:val="00686581"/>
    <w:rsid w:val="00686691"/>
    <w:rsid w:val="00686CF5"/>
    <w:rsid w:val="00686D79"/>
    <w:rsid w:val="00686DBC"/>
    <w:rsid w:val="0068717E"/>
    <w:rsid w:val="00687440"/>
    <w:rsid w:val="00687664"/>
    <w:rsid w:val="0068767A"/>
    <w:rsid w:val="00687781"/>
    <w:rsid w:val="0068779E"/>
    <w:rsid w:val="00687C03"/>
    <w:rsid w:val="00687DBB"/>
    <w:rsid w:val="0069030F"/>
    <w:rsid w:val="006904DD"/>
    <w:rsid w:val="006906F2"/>
    <w:rsid w:val="006908E7"/>
    <w:rsid w:val="00690A3B"/>
    <w:rsid w:val="00691B00"/>
    <w:rsid w:val="00692152"/>
    <w:rsid w:val="006922F4"/>
    <w:rsid w:val="00692402"/>
    <w:rsid w:val="0069298D"/>
    <w:rsid w:val="00692C1D"/>
    <w:rsid w:val="00692C4C"/>
    <w:rsid w:val="00692DCF"/>
    <w:rsid w:val="00692E90"/>
    <w:rsid w:val="0069323B"/>
    <w:rsid w:val="006932EF"/>
    <w:rsid w:val="006934F9"/>
    <w:rsid w:val="0069381E"/>
    <w:rsid w:val="00693E24"/>
    <w:rsid w:val="00693F08"/>
    <w:rsid w:val="006943CC"/>
    <w:rsid w:val="006945C4"/>
    <w:rsid w:val="0069486F"/>
    <w:rsid w:val="00694B01"/>
    <w:rsid w:val="00694B73"/>
    <w:rsid w:val="0069525C"/>
    <w:rsid w:val="006955D8"/>
    <w:rsid w:val="00695685"/>
    <w:rsid w:val="006958BB"/>
    <w:rsid w:val="00695AB9"/>
    <w:rsid w:val="00695F03"/>
    <w:rsid w:val="00696732"/>
    <w:rsid w:val="00696767"/>
    <w:rsid w:val="0069678C"/>
    <w:rsid w:val="00696A50"/>
    <w:rsid w:val="00696DE6"/>
    <w:rsid w:val="00697E0C"/>
    <w:rsid w:val="006A0605"/>
    <w:rsid w:val="006A12F2"/>
    <w:rsid w:val="006A14C6"/>
    <w:rsid w:val="006A163E"/>
    <w:rsid w:val="006A1744"/>
    <w:rsid w:val="006A190B"/>
    <w:rsid w:val="006A1B89"/>
    <w:rsid w:val="006A1D92"/>
    <w:rsid w:val="006A1F9D"/>
    <w:rsid w:val="006A204A"/>
    <w:rsid w:val="006A2114"/>
    <w:rsid w:val="006A27D2"/>
    <w:rsid w:val="006A2A2B"/>
    <w:rsid w:val="006A2A7E"/>
    <w:rsid w:val="006A2C8B"/>
    <w:rsid w:val="006A2EDB"/>
    <w:rsid w:val="006A308B"/>
    <w:rsid w:val="006A313F"/>
    <w:rsid w:val="006A3521"/>
    <w:rsid w:val="006A35EC"/>
    <w:rsid w:val="006A3999"/>
    <w:rsid w:val="006A3BB2"/>
    <w:rsid w:val="006A3D73"/>
    <w:rsid w:val="006A4075"/>
    <w:rsid w:val="006A4381"/>
    <w:rsid w:val="006A45C2"/>
    <w:rsid w:val="006A4705"/>
    <w:rsid w:val="006A4C73"/>
    <w:rsid w:val="006A4E4D"/>
    <w:rsid w:val="006A578C"/>
    <w:rsid w:val="006A5AD4"/>
    <w:rsid w:val="006A639F"/>
    <w:rsid w:val="006A63D1"/>
    <w:rsid w:val="006A66C9"/>
    <w:rsid w:val="006A6966"/>
    <w:rsid w:val="006A6BA5"/>
    <w:rsid w:val="006A6F35"/>
    <w:rsid w:val="006A758E"/>
    <w:rsid w:val="006A785A"/>
    <w:rsid w:val="006A79D7"/>
    <w:rsid w:val="006A7E57"/>
    <w:rsid w:val="006B02B4"/>
    <w:rsid w:val="006B0405"/>
    <w:rsid w:val="006B0581"/>
    <w:rsid w:val="006B0E65"/>
    <w:rsid w:val="006B1138"/>
    <w:rsid w:val="006B1194"/>
    <w:rsid w:val="006B12E6"/>
    <w:rsid w:val="006B1A80"/>
    <w:rsid w:val="006B1AB1"/>
    <w:rsid w:val="006B1CD0"/>
    <w:rsid w:val="006B1F53"/>
    <w:rsid w:val="006B2189"/>
    <w:rsid w:val="006B266C"/>
    <w:rsid w:val="006B26FC"/>
    <w:rsid w:val="006B2F71"/>
    <w:rsid w:val="006B3580"/>
    <w:rsid w:val="006B35D1"/>
    <w:rsid w:val="006B3A02"/>
    <w:rsid w:val="006B3B77"/>
    <w:rsid w:val="006B3E5E"/>
    <w:rsid w:val="006B3FE9"/>
    <w:rsid w:val="006B44E2"/>
    <w:rsid w:val="006B4A97"/>
    <w:rsid w:val="006B4AA8"/>
    <w:rsid w:val="006B4D4B"/>
    <w:rsid w:val="006B51F7"/>
    <w:rsid w:val="006B5662"/>
    <w:rsid w:val="006B566B"/>
    <w:rsid w:val="006B572F"/>
    <w:rsid w:val="006B57D9"/>
    <w:rsid w:val="006B5860"/>
    <w:rsid w:val="006B5A2B"/>
    <w:rsid w:val="006B5D65"/>
    <w:rsid w:val="006B5D89"/>
    <w:rsid w:val="006B6143"/>
    <w:rsid w:val="006B62CA"/>
    <w:rsid w:val="006B6AAB"/>
    <w:rsid w:val="006B6DFB"/>
    <w:rsid w:val="006B72C9"/>
    <w:rsid w:val="006B792D"/>
    <w:rsid w:val="006B7AD3"/>
    <w:rsid w:val="006B7C80"/>
    <w:rsid w:val="006B7CA4"/>
    <w:rsid w:val="006B7EB3"/>
    <w:rsid w:val="006B7FA8"/>
    <w:rsid w:val="006C024A"/>
    <w:rsid w:val="006C04D5"/>
    <w:rsid w:val="006C052C"/>
    <w:rsid w:val="006C096E"/>
    <w:rsid w:val="006C145B"/>
    <w:rsid w:val="006C175C"/>
    <w:rsid w:val="006C1B6C"/>
    <w:rsid w:val="006C1D8D"/>
    <w:rsid w:val="006C1DBE"/>
    <w:rsid w:val="006C2578"/>
    <w:rsid w:val="006C2648"/>
    <w:rsid w:val="006C2828"/>
    <w:rsid w:val="006C29C1"/>
    <w:rsid w:val="006C302B"/>
    <w:rsid w:val="006C362F"/>
    <w:rsid w:val="006C368A"/>
    <w:rsid w:val="006C378D"/>
    <w:rsid w:val="006C3840"/>
    <w:rsid w:val="006C3AA5"/>
    <w:rsid w:val="006C4181"/>
    <w:rsid w:val="006C44FE"/>
    <w:rsid w:val="006C4C8A"/>
    <w:rsid w:val="006C4E5D"/>
    <w:rsid w:val="006C4E5E"/>
    <w:rsid w:val="006C50D3"/>
    <w:rsid w:val="006C55A1"/>
    <w:rsid w:val="006C5722"/>
    <w:rsid w:val="006C5879"/>
    <w:rsid w:val="006C594B"/>
    <w:rsid w:val="006C60F6"/>
    <w:rsid w:val="006C6716"/>
    <w:rsid w:val="006C6795"/>
    <w:rsid w:val="006C68A8"/>
    <w:rsid w:val="006C68B8"/>
    <w:rsid w:val="006C68D7"/>
    <w:rsid w:val="006C69D8"/>
    <w:rsid w:val="006C6AC0"/>
    <w:rsid w:val="006C6E0F"/>
    <w:rsid w:val="006C717E"/>
    <w:rsid w:val="006C7856"/>
    <w:rsid w:val="006C7B4F"/>
    <w:rsid w:val="006C7D0A"/>
    <w:rsid w:val="006D0012"/>
    <w:rsid w:val="006D0691"/>
    <w:rsid w:val="006D0986"/>
    <w:rsid w:val="006D0B28"/>
    <w:rsid w:val="006D0E09"/>
    <w:rsid w:val="006D1026"/>
    <w:rsid w:val="006D1238"/>
    <w:rsid w:val="006D15A7"/>
    <w:rsid w:val="006D1C29"/>
    <w:rsid w:val="006D1E77"/>
    <w:rsid w:val="006D20A6"/>
    <w:rsid w:val="006D2850"/>
    <w:rsid w:val="006D2A51"/>
    <w:rsid w:val="006D2CD0"/>
    <w:rsid w:val="006D2D7C"/>
    <w:rsid w:val="006D3033"/>
    <w:rsid w:val="006D3065"/>
    <w:rsid w:val="006D381B"/>
    <w:rsid w:val="006D3DDF"/>
    <w:rsid w:val="006D456C"/>
    <w:rsid w:val="006D493D"/>
    <w:rsid w:val="006D506B"/>
    <w:rsid w:val="006D52C2"/>
    <w:rsid w:val="006D5476"/>
    <w:rsid w:val="006D5538"/>
    <w:rsid w:val="006D5544"/>
    <w:rsid w:val="006D5A62"/>
    <w:rsid w:val="006D5C58"/>
    <w:rsid w:val="006D6142"/>
    <w:rsid w:val="006D62AF"/>
    <w:rsid w:val="006D630F"/>
    <w:rsid w:val="006D6771"/>
    <w:rsid w:val="006D68AE"/>
    <w:rsid w:val="006D6AE0"/>
    <w:rsid w:val="006D6B81"/>
    <w:rsid w:val="006D6E42"/>
    <w:rsid w:val="006D7C65"/>
    <w:rsid w:val="006E030A"/>
    <w:rsid w:val="006E04C4"/>
    <w:rsid w:val="006E10CD"/>
    <w:rsid w:val="006E11C2"/>
    <w:rsid w:val="006E179A"/>
    <w:rsid w:val="006E1901"/>
    <w:rsid w:val="006E1925"/>
    <w:rsid w:val="006E1A66"/>
    <w:rsid w:val="006E1DB7"/>
    <w:rsid w:val="006E1E1C"/>
    <w:rsid w:val="006E2850"/>
    <w:rsid w:val="006E2A30"/>
    <w:rsid w:val="006E2C56"/>
    <w:rsid w:val="006E2ED2"/>
    <w:rsid w:val="006E2F88"/>
    <w:rsid w:val="006E3142"/>
    <w:rsid w:val="006E332E"/>
    <w:rsid w:val="006E3A18"/>
    <w:rsid w:val="006E3A43"/>
    <w:rsid w:val="006E41FB"/>
    <w:rsid w:val="006E4C61"/>
    <w:rsid w:val="006E4DC0"/>
    <w:rsid w:val="006E5541"/>
    <w:rsid w:val="006E587B"/>
    <w:rsid w:val="006E5A71"/>
    <w:rsid w:val="006E6169"/>
    <w:rsid w:val="006E6352"/>
    <w:rsid w:val="006E64AE"/>
    <w:rsid w:val="006E65AA"/>
    <w:rsid w:val="006E6933"/>
    <w:rsid w:val="006E6A78"/>
    <w:rsid w:val="006E6C52"/>
    <w:rsid w:val="006E6CB1"/>
    <w:rsid w:val="006E6DE7"/>
    <w:rsid w:val="006E6E33"/>
    <w:rsid w:val="006E70BF"/>
    <w:rsid w:val="006E70DA"/>
    <w:rsid w:val="006E70E8"/>
    <w:rsid w:val="006E71CC"/>
    <w:rsid w:val="006E7326"/>
    <w:rsid w:val="006E74C5"/>
    <w:rsid w:val="006E7BEB"/>
    <w:rsid w:val="006E7C9A"/>
    <w:rsid w:val="006E7D41"/>
    <w:rsid w:val="006E7D68"/>
    <w:rsid w:val="006E7FE2"/>
    <w:rsid w:val="006F05BD"/>
    <w:rsid w:val="006F0651"/>
    <w:rsid w:val="006F0AF4"/>
    <w:rsid w:val="006F0F6E"/>
    <w:rsid w:val="006F12A6"/>
    <w:rsid w:val="006F137B"/>
    <w:rsid w:val="006F1C1D"/>
    <w:rsid w:val="006F1F40"/>
    <w:rsid w:val="006F1F7C"/>
    <w:rsid w:val="006F21C9"/>
    <w:rsid w:val="006F2269"/>
    <w:rsid w:val="006F2647"/>
    <w:rsid w:val="006F26ED"/>
    <w:rsid w:val="006F2813"/>
    <w:rsid w:val="006F288E"/>
    <w:rsid w:val="006F2C9B"/>
    <w:rsid w:val="006F2E3D"/>
    <w:rsid w:val="006F2F63"/>
    <w:rsid w:val="006F30D7"/>
    <w:rsid w:val="006F3AA4"/>
    <w:rsid w:val="006F3B8A"/>
    <w:rsid w:val="006F3C62"/>
    <w:rsid w:val="006F3D81"/>
    <w:rsid w:val="006F3EAE"/>
    <w:rsid w:val="006F40CE"/>
    <w:rsid w:val="006F41D6"/>
    <w:rsid w:val="006F4266"/>
    <w:rsid w:val="006F432F"/>
    <w:rsid w:val="006F44ED"/>
    <w:rsid w:val="006F491B"/>
    <w:rsid w:val="006F4DE9"/>
    <w:rsid w:val="006F5237"/>
    <w:rsid w:val="006F5982"/>
    <w:rsid w:val="006F5C15"/>
    <w:rsid w:val="006F5E18"/>
    <w:rsid w:val="006F614B"/>
    <w:rsid w:val="006F622F"/>
    <w:rsid w:val="006F673F"/>
    <w:rsid w:val="006F686E"/>
    <w:rsid w:val="006F6988"/>
    <w:rsid w:val="006F6B89"/>
    <w:rsid w:val="006F6C0E"/>
    <w:rsid w:val="006F6CD4"/>
    <w:rsid w:val="006F6D31"/>
    <w:rsid w:val="006F73FA"/>
    <w:rsid w:val="006F7755"/>
    <w:rsid w:val="006F7B54"/>
    <w:rsid w:val="006F7B73"/>
    <w:rsid w:val="006F7D6D"/>
    <w:rsid w:val="007000B4"/>
    <w:rsid w:val="0070029A"/>
    <w:rsid w:val="00700857"/>
    <w:rsid w:val="00700923"/>
    <w:rsid w:val="00700967"/>
    <w:rsid w:val="007009AD"/>
    <w:rsid w:val="007009B3"/>
    <w:rsid w:val="00700DA0"/>
    <w:rsid w:val="007012D0"/>
    <w:rsid w:val="00701373"/>
    <w:rsid w:val="00701436"/>
    <w:rsid w:val="007015A9"/>
    <w:rsid w:val="007016F5"/>
    <w:rsid w:val="007019E6"/>
    <w:rsid w:val="00701BA5"/>
    <w:rsid w:val="00701D12"/>
    <w:rsid w:val="00702289"/>
    <w:rsid w:val="007023C4"/>
    <w:rsid w:val="0070254B"/>
    <w:rsid w:val="00702C89"/>
    <w:rsid w:val="0070306D"/>
    <w:rsid w:val="00703237"/>
    <w:rsid w:val="007034CE"/>
    <w:rsid w:val="00703624"/>
    <w:rsid w:val="0070378B"/>
    <w:rsid w:val="00703859"/>
    <w:rsid w:val="0070398B"/>
    <w:rsid w:val="00703B0F"/>
    <w:rsid w:val="00703CA1"/>
    <w:rsid w:val="00703D09"/>
    <w:rsid w:val="00704424"/>
    <w:rsid w:val="00704521"/>
    <w:rsid w:val="0070457A"/>
    <w:rsid w:val="00704D16"/>
    <w:rsid w:val="00704D4F"/>
    <w:rsid w:val="00705342"/>
    <w:rsid w:val="00705531"/>
    <w:rsid w:val="0070562A"/>
    <w:rsid w:val="00705670"/>
    <w:rsid w:val="007056C2"/>
    <w:rsid w:val="007058BA"/>
    <w:rsid w:val="00705A42"/>
    <w:rsid w:val="00705B16"/>
    <w:rsid w:val="00706262"/>
    <w:rsid w:val="0070634F"/>
    <w:rsid w:val="007064BB"/>
    <w:rsid w:val="00706EA0"/>
    <w:rsid w:val="007070AC"/>
    <w:rsid w:val="00707424"/>
    <w:rsid w:val="00707620"/>
    <w:rsid w:val="00707753"/>
    <w:rsid w:val="00707890"/>
    <w:rsid w:val="00707893"/>
    <w:rsid w:val="00707B5D"/>
    <w:rsid w:val="00707E16"/>
    <w:rsid w:val="00707EF1"/>
    <w:rsid w:val="00707F0F"/>
    <w:rsid w:val="0071020C"/>
    <w:rsid w:val="007102E9"/>
    <w:rsid w:val="00710429"/>
    <w:rsid w:val="00711120"/>
    <w:rsid w:val="00711714"/>
    <w:rsid w:val="007118F8"/>
    <w:rsid w:val="00711DEC"/>
    <w:rsid w:val="00711F65"/>
    <w:rsid w:val="0071211B"/>
    <w:rsid w:val="00712175"/>
    <w:rsid w:val="00712624"/>
    <w:rsid w:val="00712790"/>
    <w:rsid w:val="007129A4"/>
    <w:rsid w:val="00712C04"/>
    <w:rsid w:val="0071305E"/>
    <w:rsid w:val="007135BD"/>
    <w:rsid w:val="00713AB9"/>
    <w:rsid w:val="00713EE6"/>
    <w:rsid w:val="0071429A"/>
    <w:rsid w:val="0071439C"/>
    <w:rsid w:val="0071476D"/>
    <w:rsid w:val="007147FC"/>
    <w:rsid w:val="00715329"/>
    <w:rsid w:val="00715336"/>
    <w:rsid w:val="007155E3"/>
    <w:rsid w:val="00715921"/>
    <w:rsid w:val="00715B06"/>
    <w:rsid w:val="00715B73"/>
    <w:rsid w:val="00715E83"/>
    <w:rsid w:val="007160EE"/>
    <w:rsid w:val="0071626B"/>
    <w:rsid w:val="0071694D"/>
    <w:rsid w:val="00717194"/>
    <w:rsid w:val="007171BC"/>
    <w:rsid w:val="007176CD"/>
    <w:rsid w:val="00717A65"/>
    <w:rsid w:val="00720032"/>
    <w:rsid w:val="00720160"/>
    <w:rsid w:val="00720240"/>
    <w:rsid w:val="00720B6C"/>
    <w:rsid w:val="00720D58"/>
    <w:rsid w:val="00720F7C"/>
    <w:rsid w:val="00721032"/>
    <w:rsid w:val="007211D7"/>
    <w:rsid w:val="00721619"/>
    <w:rsid w:val="00721953"/>
    <w:rsid w:val="00721ACD"/>
    <w:rsid w:val="00721C7A"/>
    <w:rsid w:val="00721D0F"/>
    <w:rsid w:val="007224C9"/>
    <w:rsid w:val="00722B12"/>
    <w:rsid w:val="00722B3D"/>
    <w:rsid w:val="00722B53"/>
    <w:rsid w:val="00722F5B"/>
    <w:rsid w:val="007230E3"/>
    <w:rsid w:val="00723272"/>
    <w:rsid w:val="007232EC"/>
    <w:rsid w:val="00723355"/>
    <w:rsid w:val="0072340F"/>
    <w:rsid w:val="00723559"/>
    <w:rsid w:val="007238F9"/>
    <w:rsid w:val="007239A5"/>
    <w:rsid w:val="00723C46"/>
    <w:rsid w:val="007242E3"/>
    <w:rsid w:val="00724349"/>
    <w:rsid w:val="007243F1"/>
    <w:rsid w:val="007246B7"/>
    <w:rsid w:val="00724B1C"/>
    <w:rsid w:val="0072595B"/>
    <w:rsid w:val="0072596B"/>
    <w:rsid w:val="00725E07"/>
    <w:rsid w:val="00726162"/>
    <w:rsid w:val="0072696F"/>
    <w:rsid w:val="007273CA"/>
    <w:rsid w:val="00727535"/>
    <w:rsid w:val="00727D65"/>
    <w:rsid w:val="00727F60"/>
    <w:rsid w:val="007302A5"/>
    <w:rsid w:val="00730AA6"/>
    <w:rsid w:val="00730B2D"/>
    <w:rsid w:val="00730E86"/>
    <w:rsid w:val="007312B1"/>
    <w:rsid w:val="00731B46"/>
    <w:rsid w:val="007324B9"/>
    <w:rsid w:val="00732997"/>
    <w:rsid w:val="00732A39"/>
    <w:rsid w:val="00732BBE"/>
    <w:rsid w:val="00733394"/>
    <w:rsid w:val="00733AF5"/>
    <w:rsid w:val="00733C2F"/>
    <w:rsid w:val="00733FDD"/>
    <w:rsid w:val="00734687"/>
    <w:rsid w:val="00734816"/>
    <w:rsid w:val="007348DC"/>
    <w:rsid w:val="00735068"/>
    <w:rsid w:val="007358DE"/>
    <w:rsid w:val="00735921"/>
    <w:rsid w:val="007359A9"/>
    <w:rsid w:val="00735E8E"/>
    <w:rsid w:val="00736187"/>
    <w:rsid w:val="00736928"/>
    <w:rsid w:val="00736939"/>
    <w:rsid w:val="00736B3E"/>
    <w:rsid w:val="00736BAE"/>
    <w:rsid w:val="00736CDE"/>
    <w:rsid w:val="007371B2"/>
    <w:rsid w:val="007372F0"/>
    <w:rsid w:val="00737699"/>
    <w:rsid w:val="0073772B"/>
    <w:rsid w:val="00737B6D"/>
    <w:rsid w:val="00737E19"/>
    <w:rsid w:val="00737FDA"/>
    <w:rsid w:val="007402E1"/>
    <w:rsid w:val="007406F1"/>
    <w:rsid w:val="00740FE1"/>
    <w:rsid w:val="00741367"/>
    <w:rsid w:val="0074177E"/>
    <w:rsid w:val="00741A88"/>
    <w:rsid w:val="00741E92"/>
    <w:rsid w:val="007420DA"/>
    <w:rsid w:val="007424E9"/>
    <w:rsid w:val="00742C74"/>
    <w:rsid w:val="00742EA3"/>
    <w:rsid w:val="00742EE4"/>
    <w:rsid w:val="00742EE8"/>
    <w:rsid w:val="00742F41"/>
    <w:rsid w:val="00742FD1"/>
    <w:rsid w:val="007432E2"/>
    <w:rsid w:val="00743979"/>
    <w:rsid w:val="00743AA9"/>
    <w:rsid w:val="00743CD5"/>
    <w:rsid w:val="00743D41"/>
    <w:rsid w:val="007445A1"/>
    <w:rsid w:val="0074472D"/>
    <w:rsid w:val="007449A6"/>
    <w:rsid w:val="00744C3F"/>
    <w:rsid w:val="00744DD8"/>
    <w:rsid w:val="00745147"/>
    <w:rsid w:val="007452EC"/>
    <w:rsid w:val="007452F8"/>
    <w:rsid w:val="00745371"/>
    <w:rsid w:val="00745A2C"/>
    <w:rsid w:val="00746009"/>
    <w:rsid w:val="007465B0"/>
    <w:rsid w:val="007466EE"/>
    <w:rsid w:val="00746888"/>
    <w:rsid w:val="007469AC"/>
    <w:rsid w:val="00746B61"/>
    <w:rsid w:val="00746C43"/>
    <w:rsid w:val="00746D8E"/>
    <w:rsid w:val="00746E40"/>
    <w:rsid w:val="00746E4F"/>
    <w:rsid w:val="007475F6"/>
    <w:rsid w:val="00747783"/>
    <w:rsid w:val="00747AD0"/>
    <w:rsid w:val="00747D79"/>
    <w:rsid w:val="00750010"/>
    <w:rsid w:val="007501AC"/>
    <w:rsid w:val="00750465"/>
    <w:rsid w:val="007505ED"/>
    <w:rsid w:val="0075077A"/>
    <w:rsid w:val="0075094B"/>
    <w:rsid w:val="00750A45"/>
    <w:rsid w:val="00750B70"/>
    <w:rsid w:val="00750E94"/>
    <w:rsid w:val="00751062"/>
    <w:rsid w:val="0075112B"/>
    <w:rsid w:val="007511C6"/>
    <w:rsid w:val="007513A8"/>
    <w:rsid w:val="0075157B"/>
    <w:rsid w:val="00751774"/>
    <w:rsid w:val="00751F6D"/>
    <w:rsid w:val="00751FF7"/>
    <w:rsid w:val="00752106"/>
    <w:rsid w:val="007522F8"/>
    <w:rsid w:val="00752866"/>
    <w:rsid w:val="00752A53"/>
    <w:rsid w:val="00753136"/>
    <w:rsid w:val="00753805"/>
    <w:rsid w:val="007538D9"/>
    <w:rsid w:val="00754033"/>
    <w:rsid w:val="00754126"/>
    <w:rsid w:val="0075425E"/>
    <w:rsid w:val="00754948"/>
    <w:rsid w:val="00754B9B"/>
    <w:rsid w:val="00754E38"/>
    <w:rsid w:val="00754E99"/>
    <w:rsid w:val="00755B2D"/>
    <w:rsid w:val="0075613F"/>
    <w:rsid w:val="0075623E"/>
    <w:rsid w:val="00756B36"/>
    <w:rsid w:val="00756CD5"/>
    <w:rsid w:val="00757557"/>
    <w:rsid w:val="00757829"/>
    <w:rsid w:val="00757A45"/>
    <w:rsid w:val="00757AB1"/>
    <w:rsid w:val="007602FD"/>
    <w:rsid w:val="00760884"/>
    <w:rsid w:val="00760920"/>
    <w:rsid w:val="00760979"/>
    <w:rsid w:val="00760A43"/>
    <w:rsid w:val="00760D82"/>
    <w:rsid w:val="00760E48"/>
    <w:rsid w:val="00760EA8"/>
    <w:rsid w:val="00761058"/>
    <w:rsid w:val="007614F0"/>
    <w:rsid w:val="00761634"/>
    <w:rsid w:val="00761A1E"/>
    <w:rsid w:val="00761B76"/>
    <w:rsid w:val="00762185"/>
    <w:rsid w:val="00762E37"/>
    <w:rsid w:val="00763131"/>
    <w:rsid w:val="007631FC"/>
    <w:rsid w:val="0076478C"/>
    <w:rsid w:val="00764B8D"/>
    <w:rsid w:val="00764C75"/>
    <w:rsid w:val="00764EB8"/>
    <w:rsid w:val="00765345"/>
    <w:rsid w:val="007653EC"/>
    <w:rsid w:val="0076575F"/>
    <w:rsid w:val="00765CBC"/>
    <w:rsid w:val="00765E99"/>
    <w:rsid w:val="00765F75"/>
    <w:rsid w:val="0076608E"/>
    <w:rsid w:val="007663D8"/>
    <w:rsid w:val="0076665B"/>
    <w:rsid w:val="007666F1"/>
    <w:rsid w:val="007669EB"/>
    <w:rsid w:val="00766A0C"/>
    <w:rsid w:val="00766A6F"/>
    <w:rsid w:val="00766D5B"/>
    <w:rsid w:val="00766F34"/>
    <w:rsid w:val="007671E1"/>
    <w:rsid w:val="00767288"/>
    <w:rsid w:val="0076743B"/>
    <w:rsid w:val="007679CE"/>
    <w:rsid w:val="00767F2B"/>
    <w:rsid w:val="007700BF"/>
    <w:rsid w:val="007705F9"/>
    <w:rsid w:val="0077096D"/>
    <w:rsid w:val="007709D7"/>
    <w:rsid w:val="00770A12"/>
    <w:rsid w:val="00770AFC"/>
    <w:rsid w:val="00770D11"/>
    <w:rsid w:val="007715E5"/>
    <w:rsid w:val="00771CA4"/>
    <w:rsid w:val="00771FDE"/>
    <w:rsid w:val="0077243E"/>
    <w:rsid w:val="0077267D"/>
    <w:rsid w:val="00772764"/>
    <w:rsid w:val="00772CFA"/>
    <w:rsid w:val="00772FAB"/>
    <w:rsid w:val="00772FBF"/>
    <w:rsid w:val="007732A5"/>
    <w:rsid w:val="00773506"/>
    <w:rsid w:val="007738C1"/>
    <w:rsid w:val="00773A4B"/>
    <w:rsid w:val="00773D50"/>
    <w:rsid w:val="00774056"/>
    <w:rsid w:val="007747B6"/>
    <w:rsid w:val="00774C16"/>
    <w:rsid w:val="00774D9E"/>
    <w:rsid w:val="007750BB"/>
    <w:rsid w:val="0077523B"/>
    <w:rsid w:val="00775406"/>
    <w:rsid w:val="00775D7E"/>
    <w:rsid w:val="007762A9"/>
    <w:rsid w:val="00776A85"/>
    <w:rsid w:val="00776C8C"/>
    <w:rsid w:val="00776FAD"/>
    <w:rsid w:val="00777112"/>
    <w:rsid w:val="00777439"/>
    <w:rsid w:val="00777581"/>
    <w:rsid w:val="00777950"/>
    <w:rsid w:val="00780325"/>
    <w:rsid w:val="007808C2"/>
    <w:rsid w:val="00780E1E"/>
    <w:rsid w:val="00780F12"/>
    <w:rsid w:val="00781193"/>
    <w:rsid w:val="007812C8"/>
    <w:rsid w:val="0078138B"/>
    <w:rsid w:val="007814E8"/>
    <w:rsid w:val="007817D4"/>
    <w:rsid w:val="00781ECB"/>
    <w:rsid w:val="00781F42"/>
    <w:rsid w:val="007820DC"/>
    <w:rsid w:val="007821E3"/>
    <w:rsid w:val="00782627"/>
    <w:rsid w:val="0078263A"/>
    <w:rsid w:val="00782AE4"/>
    <w:rsid w:val="00782CE3"/>
    <w:rsid w:val="00782E8A"/>
    <w:rsid w:val="007830AE"/>
    <w:rsid w:val="007833E1"/>
    <w:rsid w:val="0078346D"/>
    <w:rsid w:val="007836EC"/>
    <w:rsid w:val="007838F8"/>
    <w:rsid w:val="0078390F"/>
    <w:rsid w:val="00783A5B"/>
    <w:rsid w:val="00783CB7"/>
    <w:rsid w:val="00783D37"/>
    <w:rsid w:val="00783E91"/>
    <w:rsid w:val="0078416F"/>
    <w:rsid w:val="007843F5"/>
    <w:rsid w:val="00784590"/>
    <w:rsid w:val="00784988"/>
    <w:rsid w:val="00784AB9"/>
    <w:rsid w:val="00785178"/>
    <w:rsid w:val="00785394"/>
    <w:rsid w:val="007857BC"/>
    <w:rsid w:val="00785977"/>
    <w:rsid w:val="00785E83"/>
    <w:rsid w:val="007863EF"/>
    <w:rsid w:val="007866AE"/>
    <w:rsid w:val="007866D1"/>
    <w:rsid w:val="007869E5"/>
    <w:rsid w:val="00786A4C"/>
    <w:rsid w:val="00786A77"/>
    <w:rsid w:val="00786C73"/>
    <w:rsid w:val="00786F42"/>
    <w:rsid w:val="00786F5C"/>
    <w:rsid w:val="00787033"/>
    <w:rsid w:val="00787122"/>
    <w:rsid w:val="007872CF"/>
    <w:rsid w:val="00787378"/>
    <w:rsid w:val="00787B0E"/>
    <w:rsid w:val="00787D5F"/>
    <w:rsid w:val="00787F36"/>
    <w:rsid w:val="00790114"/>
    <w:rsid w:val="0079024F"/>
    <w:rsid w:val="007904C7"/>
    <w:rsid w:val="00790A3B"/>
    <w:rsid w:val="00790B5F"/>
    <w:rsid w:val="00790C1E"/>
    <w:rsid w:val="00790E28"/>
    <w:rsid w:val="00790E2B"/>
    <w:rsid w:val="007912D7"/>
    <w:rsid w:val="00791396"/>
    <w:rsid w:val="007913DF"/>
    <w:rsid w:val="00791678"/>
    <w:rsid w:val="00791B51"/>
    <w:rsid w:val="00791FCF"/>
    <w:rsid w:val="007920D0"/>
    <w:rsid w:val="00792100"/>
    <w:rsid w:val="007924DD"/>
    <w:rsid w:val="007924FE"/>
    <w:rsid w:val="0079292B"/>
    <w:rsid w:val="00792C13"/>
    <w:rsid w:val="00792ECD"/>
    <w:rsid w:val="007931B5"/>
    <w:rsid w:val="007935D0"/>
    <w:rsid w:val="00793827"/>
    <w:rsid w:val="00794099"/>
    <w:rsid w:val="00794356"/>
    <w:rsid w:val="007944CF"/>
    <w:rsid w:val="007944E9"/>
    <w:rsid w:val="007948F0"/>
    <w:rsid w:val="00794951"/>
    <w:rsid w:val="00794AA2"/>
    <w:rsid w:val="00794C30"/>
    <w:rsid w:val="00795336"/>
    <w:rsid w:val="007956BE"/>
    <w:rsid w:val="007956F3"/>
    <w:rsid w:val="00795ACC"/>
    <w:rsid w:val="00795B24"/>
    <w:rsid w:val="00795BA2"/>
    <w:rsid w:val="00795D45"/>
    <w:rsid w:val="00795E39"/>
    <w:rsid w:val="007961D9"/>
    <w:rsid w:val="007963FD"/>
    <w:rsid w:val="00796882"/>
    <w:rsid w:val="00796884"/>
    <w:rsid w:val="007969DB"/>
    <w:rsid w:val="00796A34"/>
    <w:rsid w:val="00796A8B"/>
    <w:rsid w:val="007972BD"/>
    <w:rsid w:val="007972E8"/>
    <w:rsid w:val="00797374"/>
    <w:rsid w:val="0079758B"/>
    <w:rsid w:val="007976AA"/>
    <w:rsid w:val="00797C5C"/>
    <w:rsid w:val="00797EB4"/>
    <w:rsid w:val="007A0396"/>
    <w:rsid w:val="007A0411"/>
    <w:rsid w:val="007A0C54"/>
    <w:rsid w:val="007A107A"/>
    <w:rsid w:val="007A1097"/>
    <w:rsid w:val="007A11D7"/>
    <w:rsid w:val="007A12EA"/>
    <w:rsid w:val="007A1335"/>
    <w:rsid w:val="007A133B"/>
    <w:rsid w:val="007A14C4"/>
    <w:rsid w:val="007A1CB1"/>
    <w:rsid w:val="007A1D0F"/>
    <w:rsid w:val="007A1D80"/>
    <w:rsid w:val="007A1DB3"/>
    <w:rsid w:val="007A1F0A"/>
    <w:rsid w:val="007A2098"/>
    <w:rsid w:val="007A2327"/>
    <w:rsid w:val="007A2488"/>
    <w:rsid w:val="007A26C1"/>
    <w:rsid w:val="007A2D5B"/>
    <w:rsid w:val="007A2E7F"/>
    <w:rsid w:val="007A2EDB"/>
    <w:rsid w:val="007A32D8"/>
    <w:rsid w:val="007A3538"/>
    <w:rsid w:val="007A365F"/>
    <w:rsid w:val="007A41CE"/>
    <w:rsid w:val="007A4714"/>
    <w:rsid w:val="007A4C5B"/>
    <w:rsid w:val="007A4F7D"/>
    <w:rsid w:val="007A5234"/>
    <w:rsid w:val="007A526B"/>
    <w:rsid w:val="007A52C9"/>
    <w:rsid w:val="007A5648"/>
    <w:rsid w:val="007A5668"/>
    <w:rsid w:val="007A584F"/>
    <w:rsid w:val="007A58A3"/>
    <w:rsid w:val="007A610B"/>
    <w:rsid w:val="007A6204"/>
    <w:rsid w:val="007A6205"/>
    <w:rsid w:val="007A6ABF"/>
    <w:rsid w:val="007A7090"/>
    <w:rsid w:val="007A7240"/>
    <w:rsid w:val="007A74BB"/>
    <w:rsid w:val="007A7550"/>
    <w:rsid w:val="007A7941"/>
    <w:rsid w:val="007A7A8B"/>
    <w:rsid w:val="007A7EBE"/>
    <w:rsid w:val="007B0196"/>
    <w:rsid w:val="007B0425"/>
    <w:rsid w:val="007B0526"/>
    <w:rsid w:val="007B07F8"/>
    <w:rsid w:val="007B0AF1"/>
    <w:rsid w:val="007B109A"/>
    <w:rsid w:val="007B12C1"/>
    <w:rsid w:val="007B174A"/>
    <w:rsid w:val="007B1D76"/>
    <w:rsid w:val="007B1DA3"/>
    <w:rsid w:val="007B2254"/>
    <w:rsid w:val="007B28F0"/>
    <w:rsid w:val="007B3307"/>
    <w:rsid w:val="007B3429"/>
    <w:rsid w:val="007B35D7"/>
    <w:rsid w:val="007B3707"/>
    <w:rsid w:val="007B3B11"/>
    <w:rsid w:val="007B3C01"/>
    <w:rsid w:val="007B3D3B"/>
    <w:rsid w:val="007B3F7E"/>
    <w:rsid w:val="007B4476"/>
    <w:rsid w:val="007B477A"/>
    <w:rsid w:val="007B4881"/>
    <w:rsid w:val="007B4B14"/>
    <w:rsid w:val="007B4BAA"/>
    <w:rsid w:val="007B4C16"/>
    <w:rsid w:val="007B4EBA"/>
    <w:rsid w:val="007B4FE3"/>
    <w:rsid w:val="007B5531"/>
    <w:rsid w:val="007B61CD"/>
    <w:rsid w:val="007B64FF"/>
    <w:rsid w:val="007B683D"/>
    <w:rsid w:val="007B706A"/>
    <w:rsid w:val="007B710C"/>
    <w:rsid w:val="007B714E"/>
    <w:rsid w:val="007B751B"/>
    <w:rsid w:val="007B776C"/>
    <w:rsid w:val="007B7CD6"/>
    <w:rsid w:val="007B7DA4"/>
    <w:rsid w:val="007C04D2"/>
    <w:rsid w:val="007C0591"/>
    <w:rsid w:val="007C06DE"/>
    <w:rsid w:val="007C0BE8"/>
    <w:rsid w:val="007C0C64"/>
    <w:rsid w:val="007C0F27"/>
    <w:rsid w:val="007C1078"/>
    <w:rsid w:val="007C10A7"/>
    <w:rsid w:val="007C137A"/>
    <w:rsid w:val="007C16C5"/>
    <w:rsid w:val="007C16F0"/>
    <w:rsid w:val="007C17A0"/>
    <w:rsid w:val="007C1AA2"/>
    <w:rsid w:val="007C1D01"/>
    <w:rsid w:val="007C1D13"/>
    <w:rsid w:val="007C1E22"/>
    <w:rsid w:val="007C1EC0"/>
    <w:rsid w:val="007C21F1"/>
    <w:rsid w:val="007C2714"/>
    <w:rsid w:val="007C28A7"/>
    <w:rsid w:val="007C3348"/>
    <w:rsid w:val="007C3971"/>
    <w:rsid w:val="007C456F"/>
    <w:rsid w:val="007C4E52"/>
    <w:rsid w:val="007C4F19"/>
    <w:rsid w:val="007C4F4C"/>
    <w:rsid w:val="007C52D9"/>
    <w:rsid w:val="007C58C6"/>
    <w:rsid w:val="007C590F"/>
    <w:rsid w:val="007C5C0B"/>
    <w:rsid w:val="007C602E"/>
    <w:rsid w:val="007C6068"/>
    <w:rsid w:val="007C62EF"/>
    <w:rsid w:val="007C6370"/>
    <w:rsid w:val="007C640B"/>
    <w:rsid w:val="007C6421"/>
    <w:rsid w:val="007C6C1C"/>
    <w:rsid w:val="007C710D"/>
    <w:rsid w:val="007C7250"/>
    <w:rsid w:val="007D040E"/>
    <w:rsid w:val="007D0836"/>
    <w:rsid w:val="007D091D"/>
    <w:rsid w:val="007D0936"/>
    <w:rsid w:val="007D1239"/>
    <w:rsid w:val="007D142E"/>
    <w:rsid w:val="007D16B8"/>
    <w:rsid w:val="007D181C"/>
    <w:rsid w:val="007D1B86"/>
    <w:rsid w:val="007D1E15"/>
    <w:rsid w:val="007D1E28"/>
    <w:rsid w:val="007D2A4A"/>
    <w:rsid w:val="007D2C4D"/>
    <w:rsid w:val="007D2C74"/>
    <w:rsid w:val="007D2ED6"/>
    <w:rsid w:val="007D30B6"/>
    <w:rsid w:val="007D3C18"/>
    <w:rsid w:val="007D3F1E"/>
    <w:rsid w:val="007D3F8D"/>
    <w:rsid w:val="007D438D"/>
    <w:rsid w:val="007D4580"/>
    <w:rsid w:val="007D4A86"/>
    <w:rsid w:val="007D4D13"/>
    <w:rsid w:val="007D4E63"/>
    <w:rsid w:val="007D56EB"/>
    <w:rsid w:val="007D56F7"/>
    <w:rsid w:val="007D5CD6"/>
    <w:rsid w:val="007D5FF0"/>
    <w:rsid w:val="007D63EF"/>
    <w:rsid w:val="007D65E7"/>
    <w:rsid w:val="007D6625"/>
    <w:rsid w:val="007D6F2A"/>
    <w:rsid w:val="007D70C6"/>
    <w:rsid w:val="007D711B"/>
    <w:rsid w:val="007D7194"/>
    <w:rsid w:val="007D73D0"/>
    <w:rsid w:val="007D75F2"/>
    <w:rsid w:val="007D763D"/>
    <w:rsid w:val="007D7F1E"/>
    <w:rsid w:val="007E0637"/>
    <w:rsid w:val="007E0751"/>
    <w:rsid w:val="007E0AE0"/>
    <w:rsid w:val="007E0C75"/>
    <w:rsid w:val="007E152F"/>
    <w:rsid w:val="007E17CE"/>
    <w:rsid w:val="007E1889"/>
    <w:rsid w:val="007E1BD3"/>
    <w:rsid w:val="007E1FCF"/>
    <w:rsid w:val="007E2004"/>
    <w:rsid w:val="007E222F"/>
    <w:rsid w:val="007E2444"/>
    <w:rsid w:val="007E27EA"/>
    <w:rsid w:val="007E28CB"/>
    <w:rsid w:val="007E2EC0"/>
    <w:rsid w:val="007E2FC7"/>
    <w:rsid w:val="007E2FD5"/>
    <w:rsid w:val="007E31A4"/>
    <w:rsid w:val="007E3572"/>
    <w:rsid w:val="007E36C1"/>
    <w:rsid w:val="007E36DF"/>
    <w:rsid w:val="007E3CFE"/>
    <w:rsid w:val="007E3E23"/>
    <w:rsid w:val="007E3FB6"/>
    <w:rsid w:val="007E4432"/>
    <w:rsid w:val="007E49DC"/>
    <w:rsid w:val="007E4BE6"/>
    <w:rsid w:val="007E4BF2"/>
    <w:rsid w:val="007E4BFA"/>
    <w:rsid w:val="007E4CF6"/>
    <w:rsid w:val="007E4E6B"/>
    <w:rsid w:val="007E4FDA"/>
    <w:rsid w:val="007E5501"/>
    <w:rsid w:val="007E5806"/>
    <w:rsid w:val="007E58A0"/>
    <w:rsid w:val="007E5967"/>
    <w:rsid w:val="007E60EE"/>
    <w:rsid w:val="007E627A"/>
    <w:rsid w:val="007E64C6"/>
    <w:rsid w:val="007E6B1B"/>
    <w:rsid w:val="007E6E46"/>
    <w:rsid w:val="007E7217"/>
    <w:rsid w:val="007E761A"/>
    <w:rsid w:val="007E7CFF"/>
    <w:rsid w:val="007F0005"/>
    <w:rsid w:val="007F055E"/>
    <w:rsid w:val="007F059B"/>
    <w:rsid w:val="007F0930"/>
    <w:rsid w:val="007F0E57"/>
    <w:rsid w:val="007F0EC5"/>
    <w:rsid w:val="007F128A"/>
    <w:rsid w:val="007F142C"/>
    <w:rsid w:val="007F1771"/>
    <w:rsid w:val="007F18C1"/>
    <w:rsid w:val="007F21D7"/>
    <w:rsid w:val="007F22BC"/>
    <w:rsid w:val="007F2547"/>
    <w:rsid w:val="007F258B"/>
    <w:rsid w:val="007F265F"/>
    <w:rsid w:val="007F2817"/>
    <w:rsid w:val="007F28A3"/>
    <w:rsid w:val="007F2AD1"/>
    <w:rsid w:val="007F2BC3"/>
    <w:rsid w:val="007F2BE4"/>
    <w:rsid w:val="007F2D1D"/>
    <w:rsid w:val="007F346E"/>
    <w:rsid w:val="007F39CA"/>
    <w:rsid w:val="007F3A35"/>
    <w:rsid w:val="007F3E4F"/>
    <w:rsid w:val="007F3E7D"/>
    <w:rsid w:val="007F4250"/>
    <w:rsid w:val="007F45C2"/>
    <w:rsid w:val="007F4940"/>
    <w:rsid w:val="007F4AD0"/>
    <w:rsid w:val="007F4D63"/>
    <w:rsid w:val="007F4FF4"/>
    <w:rsid w:val="007F52C7"/>
    <w:rsid w:val="007F5803"/>
    <w:rsid w:val="007F5966"/>
    <w:rsid w:val="007F5D74"/>
    <w:rsid w:val="007F6116"/>
    <w:rsid w:val="007F646D"/>
    <w:rsid w:val="007F67A1"/>
    <w:rsid w:val="007F6DB3"/>
    <w:rsid w:val="007F7274"/>
    <w:rsid w:val="007F734C"/>
    <w:rsid w:val="007F73B3"/>
    <w:rsid w:val="007F77E2"/>
    <w:rsid w:val="007F787C"/>
    <w:rsid w:val="007F7AD9"/>
    <w:rsid w:val="008003F1"/>
    <w:rsid w:val="00800609"/>
    <w:rsid w:val="008006C1"/>
    <w:rsid w:val="008013B4"/>
    <w:rsid w:val="008013E9"/>
    <w:rsid w:val="008019F6"/>
    <w:rsid w:val="00801D2D"/>
    <w:rsid w:val="00801DC4"/>
    <w:rsid w:val="00801FD5"/>
    <w:rsid w:val="008021E9"/>
    <w:rsid w:val="0080238A"/>
    <w:rsid w:val="0080290F"/>
    <w:rsid w:val="00802ED5"/>
    <w:rsid w:val="00802F60"/>
    <w:rsid w:val="00803212"/>
    <w:rsid w:val="0080331D"/>
    <w:rsid w:val="00803614"/>
    <w:rsid w:val="008038A0"/>
    <w:rsid w:val="008039EC"/>
    <w:rsid w:val="00803C67"/>
    <w:rsid w:val="00803D8F"/>
    <w:rsid w:val="00804103"/>
    <w:rsid w:val="008043AB"/>
    <w:rsid w:val="0080444E"/>
    <w:rsid w:val="008046D0"/>
    <w:rsid w:val="008049F0"/>
    <w:rsid w:val="00804E43"/>
    <w:rsid w:val="008050BE"/>
    <w:rsid w:val="008055C1"/>
    <w:rsid w:val="008057D1"/>
    <w:rsid w:val="00805B55"/>
    <w:rsid w:val="00805D70"/>
    <w:rsid w:val="00805F2F"/>
    <w:rsid w:val="00805FAE"/>
    <w:rsid w:val="008061E5"/>
    <w:rsid w:val="0080651C"/>
    <w:rsid w:val="00806644"/>
    <w:rsid w:val="0080688A"/>
    <w:rsid w:val="00806928"/>
    <w:rsid w:val="00806EFD"/>
    <w:rsid w:val="00806FAF"/>
    <w:rsid w:val="00807026"/>
    <w:rsid w:val="00807570"/>
    <w:rsid w:val="00807C43"/>
    <w:rsid w:val="00807F2B"/>
    <w:rsid w:val="00810059"/>
    <w:rsid w:val="00810242"/>
    <w:rsid w:val="008103B3"/>
    <w:rsid w:val="00810515"/>
    <w:rsid w:val="00810727"/>
    <w:rsid w:val="00810C95"/>
    <w:rsid w:val="00810C9A"/>
    <w:rsid w:val="00810FD4"/>
    <w:rsid w:val="00811109"/>
    <w:rsid w:val="008111D6"/>
    <w:rsid w:val="0081140B"/>
    <w:rsid w:val="008114D8"/>
    <w:rsid w:val="0081165D"/>
    <w:rsid w:val="00811932"/>
    <w:rsid w:val="0081203B"/>
    <w:rsid w:val="00812908"/>
    <w:rsid w:val="00812FA5"/>
    <w:rsid w:val="008130D5"/>
    <w:rsid w:val="008133B1"/>
    <w:rsid w:val="008137B1"/>
    <w:rsid w:val="00813D9C"/>
    <w:rsid w:val="008144DC"/>
    <w:rsid w:val="00814ADD"/>
    <w:rsid w:val="00814C27"/>
    <w:rsid w:val="00814DCC"/>
    <w:rsid w:val="00815069"/>
    <w:rsid w:val="008155C1"/>
    <w:rsid w:val="00815685"/>
    <w:rsid w:val="00815749"/>
    <w:rsid w:val="00815890"/>
    <w:rsid w:val="00815FF6"/>
    <w:rsid w:val="00816070"/>
    <w:rsid w:val="00816088"/>
    <w:rsid w:val="0081619F"/>
    <w:rsid w:val="0081625E"/>
    <w:rsid w:val="0081636F"/>
    <w:rsid w:val="00816B4C"/>
    <w:rsid w:val="00816D9C"/>
    <w:rsid w:val="00816F74"/>
    <w:rsid w:val="0081703C"/>
    <w:rsid w:val="00817281"/>
    <w:rsid w:val="008172C0"/>
    <w:rsid w:val="008173AD"/>
    <w:rsid w:val="0081763B"/>
    <w:rsid w:val="00817C37"/>
    <w:rsid w:val="00817CF3"/>
    <w:rsid w:val="0082007D"/>
    <w:rsid w:val="00820153"/>
    <w:rsid w:val="008203A6"/>
    <w:rsid w:val="0082047F"/>
    <w:rsid w:val="008207C2"/>
    <w:rsid w:val="00820DC8"/>
    <w:rsid w:val="008210F4"/>
    <w:rsid w:val="00821200"/>
    <w:rsid w:val="00821330"/>
    <w:rsid w:val="0082183C"/>
    <w:rsid w:val="00821B54"/>
    <w:rsid w:val="008223FE"/>
    <w:rsid w:val="008224EF"/>
    <w:rsid w:val="00822939"/>
    <w:rsid w:val="008230F5"/>
    <w:rsid w:val="00823579"/>
    <w:rsid w:val="00823688"/>
    <w:rsid w:val="008238C1"/>
    <w:rsid w:val="00823953"/>
    <w:rsid w:val="00823B43"/>
    <w:rsid w:val="00823D3F"/>
    <w:rsid w:val="008247AC"/>
    <w:rsid w:val="00824A27"/>
    <w:rsid w:val="00825058"/>
    <w:rsid w:val="00825798"/>
    <w:rsid w:val="008258FB"/>
    <w:rsid w:val="00826086"/>
    <w:rsid w:val="008263B1"/>
    <w:rsid w:val="0082646A"/>
    <w:rsid w:val="00826566"/>
    <w:rsid w:val="008265A6"/>
    <w:rsid w:val="0082661F"/>
    <w:rsid w:val="00826661"/>
    <w:rsid w:val="008269E0"/>
    <w:rsid w:val="00826B25"/>
    <w:rsid w:val="00827072"/>
    <w:rsid w:val="00827179"/>
    <w:rsid w:val="00827255"/>
    <w:rsid w:val="0082748F"/>
    <w:rsid w:val="008274F9"/>
    <w:rsid w:val="008277CD"/>
    <w:rsid w:val="0082794C"/>
    <w:rsid w:val="00827B17"/>
    <w:rsid w:val="00827BD9"/>
    <w:rsid w:val="00827C1B"/>
    <w:rsid w:val="00830283"/>
    <w:rsid w:val="0083076A"/>
    <w:rsid w:val="008309F6"/>
    <w:rsid w:val="00830B38"/>
    <w:rsid w:val="00830D38"/>
    <w:rsid w:val="00830D97"/>
    <w:rsid w:val="00831101"/>
    <w:rsid w:val="008312B1"/>
    <w:rsid w:val="008314C9"/>
    <w:rsid w:val="008316D8"/>
    <w:rsid w:val="0083186E"/>
    <w:rsid w:val="008319B7"/>
    <w:rsid w:val="008319EC"/>
    <w:rsid w:val="00831BB7"/>
    <w:rsid w:val="00832204"/>
    <w:rsid w:val="00832B67"/>
    <w:rsid w:val="008336DD"/>
    <w:rsid w:val="008337B3"/>
    <w:rsid w:val="00833B1A"/>
    <w:rsid w:val="00833CF0"/>
    <w:rsid w:val="00833FBB"/>
    <w:rsid w:val="00833FD5"/>
    <w:rsid w:val="008341B9"/>
    <w:rsid w:val="00834217"/>
    <w:rsid w:val="008344C6"/>
    <w:rsid w:val="00834852"/>
    <w:rsid w:val="0083492D"/>
    <w:rsid w:val="00834B0D"/>
    <w:rsid w:val="00834B65"/>
    <w:rsid w:val="00834C84"/>
    <w:rsid w:val="00834D89"/>
    <w:rsid w:val="008352A2"/>
    <w:rsid w:val="00835840"/>
    <w:rsid w:val="0083606D"/>
    <w:rsid w:val="008361E0"/>
    <w:rsid w:val="0083634F"/>
    <w:rsid w:val="00836BA6"/>
    <w:rsid w:val="00836C72"/>
    <w:rsid w:val="00836CFC"/>
    <w:rsid w:val="00836E72"/>
    <w:rsid w:val="008376B4"/>
    <w:rsid w:val="00837845"/>
    <w:rsid w:val="008402D2"/>
    <w:rsid w:val="008408D2"/>
    <w:rsid w:val="00840A39"/>
    <w:rsid w:val="00840AC4"/>
    <w:rsid w:val="00840ACA"/>
    <w:rsid w:val="00840DC3"/>
    <w:rsid w:val="00840F38"/>
    <w:rsid w:val="00841147"/>
    <w:rsid w:val="00841202"/>
    <w:rsid w:val="008415AB"/>
    <w:rsid w:val="008416A5"/>
    <w:rsid w:val="008416F1"/>
    <w:rsid w:val="00841869"/>
    <w:rsid w:val="008419A5"/>
    <w:rsid w:val="00841C51"/>
    <w:rsid w:val="00841C62"/>
    <w:rsid w:val="00841D07"/>
    <w:rsid w:val="00841DD2"/>
    <w:rsid w:val="00841ED7"/>
    <w:rsid w:val="008424F6"/>
    <w:rsid w:val="00842673"/>
    <w:rsid w:val="00842832"/>
    <w:rsid w:val="008428C3"/>
    <w:rsid w:val="00842A26"/>
    <w:rsid w:val="00842E4F"/>
    <w:rsid w:val="008436DF"/>
    <w:rsid w:val="00843B8A"/>
    <w:rsid w:val="00843CA7"/>
    <w:rsid w:val="00843CF6"/>
    <w:rsid w:val="00843D3D"/>
    <w:rsid w:val="00844030"/>
    <w:rsid w:val="0084424F"/>
    <w:rsid w:val="008443E6"/>
    <w:rsid w:val="0084454F"/>
    <w:rsid w:val="008449D2"/>
    <w:rsid w:val="00844B8E"/>
    <w:rsid w:val="00844BAE"/>
    <w:rsid w:val="00845129"/>
    <w:rsid w:val="008451A0"/>
    <w:rsid w:val="008453B8"/>
    <w:rsid w:val="00845510"/>
    <w:rsid w:val="00845895"/>
    <w:rsid w:val="008458BD"/>
    <w:rsid w:val="00845FF7"/>
    <w:rsid w:val="008463D9"/>
    <w:rsid w:val="00846420"/>
    <w:rsid w:val="008465D0"/>
    <w:rsid w:val="00846F55"/>
    <w:rsid w:val="00847064"/>
    <w:rsid w:val="008474B5"/>
    <w:rsid w:val="00847FDE"/>
    <w:rsid w:val="00850142"/>
    <w:rsid w:val="008501FE"/>
    <w:rsid w:val="0085029E"/>
    <w:rsid w:val="00850609"/>
    <w:rsid w:val="00850A70"/>
    <w:rsid w:val="00850BCF"/>
    <w:rsid w:val="00850E71"/>
    <w:rsid w:val="0085114B"/>
    <w:rsid w:val="0085128C"/>
    <w:rsid w:val="00851571"/>
    <w:rsid w:val="008516AD"/>
    <w:rsid w:val="0085174E"/>
    <w:rsid w:val="00851A57"/>
    <w:rsid w:val="00851BEE"/>
    <w:rsid w:val="00851CE5"/>
    <w:rsid w:val="00851E3E"/>
    <w:rsid w:val="00851F85"/>
    <w:rsid w:val="00852256"/>
    <w:rsid w:val="008524DE"/>
    <w:rsid w:val="008529C7"/>
    <w:rsid w:val="00852AD7"/>
    <w:rsid w:val="00853026"/>
    <w:rsid w:val="008533A0"/>
    <w:rsid w:val="008537A4"/>
    <w:rsid w:val="00853904"/>
    <w:rsid w:val="00853CCD"/>
    <w:rsid w:val="00853E06"/>
    <w:rsid w:val="00853FDA"/>
    <w:rsid w:val="00854139"/>
    <w:rsid w:val="008545AE"/>
    <w:rsid w:val="008547CD"/>
    <w:rsid w:val="00854AC5"/>
    <w:rsid w:val="00854AD6"/>
    <w:rsid w:val="00854D51"/>
    <w:rsid w:val="00854F99"/>
    <w:rsid w:val="0085513F"/>
    <w:rsid w:val="00855202"/>
    <w:rsid w:val="00855350"/>
    <w:rsid w:val="0085573B"/>
    <w:rsid w:val="008557D1"/>
    <w:rsid w:val="00855B98"/>
    <w:rsid w:val="00855D8F"/>
    <w:rsid w:val="00855FAA"/>
    <w:rsid w:val="00855FCE"/>
    <w:rsid w:val="0085628C"/>
    <w:rsid w:val="008564FD"/>
    <w:rsid w:val="00856573"/>
    <w:rsid w:val="00856649"/>
    <w:rsid w:val="00856AB6"/>
    <w:rsid w:val="00856CE2"/>
    <w:rsid w:val="00860421"/>
    <w:rsid w:val="00860601"/>
    <w:rsid w:val="00860765"/>
    <w:rsid w:val="00860B2D"/>
    <w:rsid w:val="008618F2"/>
    <w:rsid w:val="00861E93"/>
    <w:rsid w:val="00862004"/>
    <w:rsid w:val="00862047"/>
    <w:rsid w:val="008621BD"/>
    <w:rsid w:val="0086224B"/>
    <w:rsid w:val="00862335"/>
    <w:rsid w:val="00862B5B"/>
    <w:rsid w:val="00862C81"/>
    <w:rsid w:val="00862EE5"/>
    <w:rsid w:val="0086365E"/>
    <w:rsid w:val="00863675"/>
    <w:rsid w:val="008636EB"/>
    <w:rsid w:val="008637FC"/>
    <w:rsid w:val="00863D38"/>
    <w:rsid w:val="00863EEC"/>
    <w:rsid w:val="00863F20"/>
    <w:rsid w:val="0086425C"/>
    <w:rsid w:val="00864338"/>
    <w:rsid w:val="0086440D"/>
    <w:rsid w:val="0086450D"/>
    <w:rsid w:val="008645D9"/>
    <w:rsid w:val="00864BE2"/>
    <w:rsid w:val="00864F43"/>
    <w:rsid w:val="00864F9A"/>
    <w:rsid w:val="00865216"/>
    <w:rsid w:val="008652A4"/>
    <w:rsid w:val="008653A0"/>
    <w:rsid w:val="0086541F"/>
    <w:rsid w:val="008658EE"/>
    <w:rsid w:val="00865942"/>
    <w:rsid w:val="008659F9"/>
    <w:rsid w:val="00865BB3"/>
    <w:rsid w:val="00865E4C"/>
    <w:rsid w:val="008660B0"/>
    <w:rsid w:val="00866405"/>
    <w:rsid w:val="008665A1"/>
    <w:rsid w:val="008665DE"/>
    <w:rsid w:val="008666DF"/>
    <w:rsid w:val="00866FB1"/>
    <w:rsid w:val="008671B7"/>
    <w:rsid w:val="0086741F"/>
    <w:rsid w:val="0086747C"/>
    <w:rsid w:val="0086751B"/>
    <w:rsid w:val="0086751C"/>
    <w:rsid w:val="008676F4"/>
    <w:rsid w:val="008676F9"/>
    <w:rsid w:val="00867C94"/>
    <w:rsid w:val="00867D62"/>
    <w:rsid w:val="00867F4D"/>
    <w:rsid w:val="008700C0"/>
    <w:rsid w:val="00870265"/>
    <w:rsid w:val="00870331"/>
    <w:rsid w:val="0087049B"/>
    <w:rsid w:val="00870799"/>
    <w:rsid w:val="0087088B"/>
    <w:rsid w:val="008712AB"/>
    <w:rsid w:val="00871874"/>
    <w:rsid w:val="00871948"/>
    <w:rsid w:val="00871A4D"/>
    <w:rsid w:val="00871D96"/>
    <w:rsid w:val="00871EF9"/>
    <w:rsid w:val="00872216"/>
    <w:rsid w:val="008722FD"/>
    <w:rsid w:val="0087247D"/>
    <w:rsid w:val="00872BED"/>
    <w:rsid w:val="00873ABA"/>
    <w:rsid w:val="00873B26"/>
    <w:rsid w:val="00873B28"/>
    <w:rsid w:val="0087405B"/>
    <w:rsid w:val="00874196"/>
    <w:rsid w:val="008743B9"/>
    <w:rsid w:val="00874694"/>
    <w:rsid w:val="008748BC"/>
    <w:rsid w:val="00874AA8"/>
    <w:rsid w:val="00874B0C"/>
    <w:rsid w:val="00874C02"/>
    <w:rsid w:val="00874CB7"/>
    <w:rsid w:val="00874DFC"/>
    <w:rsid w:val="00875049"/>
    <w:rsid w:val="0087506B"/>
    <w:rsid w:val="008751D0"/>
    <w:rsid w:val="00875763"/>
    <w:rsid w:val="00875950"/>
    <w:rsid w:val="00875A0B"/>
    <w:rsid w:val="00875C83"/>
    <w:rsid w:val="00875C9A"/>
    <w:rsid w:val="00875FDD"/>
    <w:rsid w:val="0087616B"/>
    <w:rsid w:val="00876215"/>
    <w:rsid w:val="008767C2"/>
    <w:rsid w:val="00876826"/>
    <w:rsid w:val="008769EC"/>
    <w:rsid w:val="00876C14"/>
    <w:rsid w:val="00876C50"/>
    <w:rsid w:val="00876CCF"/>
    <w:rsid w:val="00876E56"/>
    <w:rsid w:val="00876F89"/>
    <w:rsid w:val="00876FFE"/>
    <w:rsid w:val="00877839"/>
    <w:rsid w:val="0087793B"/>
    <w:rsid w:val="00877A7C"/>
    <w:rsid w:val="00877EAC"/>
    <w:rsid w:val="00880519"/>
    <w:rsid w:val="0088067F"/>
    <w:rsid w:val="008809D0"/>
    <w:rsid w:val="00880BAA"/>
    <w:rsid w:val="00880D4A"/>
    <w:rsid w:val="00880EAF"/>
    <w:rsid w:val="0088101E"/>
    <w:rsid w:val="0088199A"/>
    <w:rsid w:val="00881C48"/>
    <w:rsid w:val="0088277C"/>
    <w:rsid w:val="00882AA1"/>
    <w:rsid w:val="00882D51"/>
    <w:rsid w:val="00882DEE"/>
    <w:rsid w:val="00883037"/>
    <w:rsid w:val="00883671"/>
    <w:rsid w:val="00883FF0"/>
    <w:rsid w:val="0088420B"/>
    <w:rsid w:val="0088437B"/>
    <w:rsid w:val="0088446E"/>
    <w:rsid w:val="00884BA1"/>
    <w:rsid w:val="00885751"/>
    <w:rsid w:val="00886079"/>
    <w:rsid w:val="00886566"/>
    <w:rsid w:val="008866F2"/>
    <w:rsid w:val="00886AD4"/>
    <w:rsid w:val="00886AF6"/>
    <w:rsid w:val="00886BA0"/>
    <w:rsid w:val="00886DC9"/>
    <w:rsid w:val="00886E23"/>
    <w:rsid w:val="00886F43"/>
    <w:rsid w:val="00887397"/>
    <w:rsid w:val="00887718"/>
    <w:rsid w:val="00887C16"/>
    <w:rsid w:val="00887C40"/>
    <w:rsid w:val="00887DBF"/>
    <w:rsid w:val="008903A3"/>
    <w:rsid w:val="008903B9"/>
    <w:rsid w:val="0089050D"/>
    <w:rsid w:val="00890A8E"/>
    <w:rsid w:val="00890CE8"/>
    <w:rsid w:val="00891AA2"/>
    <w:rsid w:val="00891E7C"/>
    <w:rsid w:val="00892AE4"/>
    <w:rsid w:val="00892BC2"/>
    <w:rsid w:val="00892BC9"/>
    <w:rsid w:val="00892D6E"/>
    <w:rsid w:val="00892F04"/>
    <w:rsid w:val="00892F12"/>
    <w:rsid w:val="00892F52"/>
    <w:rsid w:val="0089327A"/>
    <w:rsid w:val="00893480"/>
    <w:rsid w:val="00893564"/>
    <w:rsid w:val="00893967"/>
    <w:rsid w:val="00893B43"/>
    <w:rsid w:val="0089411F"/>
    <w:rsid w:val="008941E9"/>
    <w:rsid w:val="008946AD"/>
    <w:rsid w:val="008946B8"/>
    <w:rsid w:val="00894888"/>
    <w:rsid w:val="00894C65"/>
    <w:rsid w:val="00894D38"/>
    <w:rsid w:val="00894D68"/>
    <w:rsid w:val="00894F99"/>
    <w:rsid w:val="0089563C"/>
    <w:rsid w:val="00895893"/>
    <w:rsid w:val="00895D7A"/>
    <w:rsid w:val="00895FC7"/>
    <w:rsid w:val="00896079"/>
    <w:rsid w:val="0089616A"/>
    <w:rsid w:val="008961A6"/>
    <w:rsid w:val="008964E3"/>
    <w:rsid w:val="00896518"/>
    <w:rsid w:val="00896783"/>
    <w:rsid w:val="0089690F"/>
    <w:rsid w:val="00896E66"/>
    <w:rsid w:val="00897119"/>
    <w:rsid w:val="0089733D"/>
    <w:rsid w:val="00897374"/>
    <w:rsid w:val="0089755F"/>
    <w:rsid w:val="00897672"/>
    <w:rsid w:val="00897A36"/>
    <w:rsid w:val="00897B7E"/>
    <w:rsid w:val="008A03E3"/>
    <w:rsid w:val="008A08A5"/>
    <w:rsid w:val="008A10B8"/>
    <w:rsid w:val="008A10FB"/>
    <w:rsid w:val="008A1188"/>
    <w:rsid w:val="008A1C4A"/>
    <w:rsid w:val="008A1D82"/>
    <w:rsid w:val="008A1ED4"/>
    <w:rsid w:val="008A1FF4"/>
    <w:rsid w:val="008A2427"/>
    <w:rsid w:val="008A2552"/>
    <w:rsid w:val="008A2773"/>
    <w:rsid w:val="008A3217"/>
    <w:rsid w:val="008A3403"/>
    <w:rsid w:val="008A3673"/>
    <w:rsid w:val="008A3AD8"/>
    <w:rsid w:val="008A402D"/>
    <w:rsid w:val="008A4174"/>
    <w:rsid w:val="008A4297"/>
    <w:rsid w:val="008A43E1"/>
    <w:rsid w:val="008A4753"/>
    <w:rsid w:val="008A487E"/>
    <w:rsid w:val="008A4EEC"/>
    <w:rsid w:val="008A5256"/>
    <w:rsid w:val="008A53C2"/>
    <w:rsid w:val="008A543D"/>
    <w:rsid w:val="008A55EC"/>
    <w:rsid w:val="008A5862"/>
    <w:rsid w:val="008A591A"/>
    <w:rsid w:val="008A5D63"/>
    <w:rsid w:val="008A63C3"/>
    <w:rsid w:val="008A63E8"/>
    <w:rsid w:val="008A6460"/>
    <w:rsid w:val="008A6804"/>
    <w:rsid w:val="008A69AF"/>
    <w:rsid w:val="008A69DB"/>
    <w:rsid w:val="008A6AE1"/>
    <w:rsid w:val="008A6BF1"/>
    <w:rsid w:val="008A744F"/>
    <w:rsid w:val="008A7475"/>
    <w:rsid w:val="008A7512"/>
    <w:rsid w:val="008A765B"/>
    <w:rsid w:val="008A7859"/>
    <w:rsid w:val="008A7AC3"/>
    <w:rsid w:val="008A7C1C"/>
    <w:rsid w:val="008A7F4F"/>
    <w:rsid w:val="008B02BB"/>
    <w:rsid w:val="008B0763"/>
    <w:rsid w:val="008B09D1"/>
    <w:rsid w:val="008B0AE1"/>
    <w:rsid w:val="008B0B2D"/>
    <w:rsid w:val="008B0BAD"/>
    <w:rsid w:val="008B0C17"/>
    <w:rsid w:val="008B0F40"/>
    <w:rsid w:val="008B130B"/>
    <w:rsid w:val="008B1427"/>
    <w:rsid w:val="008B17EA"/>
    <w:rsid w:val="008B19E4"/>
    <w:rsid w:val="008B1B7D"/>
    <w:rsid w:val="008B1BE5"/>
    <w:rsid w:val="008B1D58"/>
    <w:rsid w:val="008B1D70"/>
    <w:rsid w:val="008B1DE5"/>
    <w:rsid w:val="008B20B9"/>
    <w:rsid w:val="008B22C0"/>
    <w:rsid w:val="008B2593"/>
    <w:rsid w:val="008B28C0"/>
    <w:rsid w:val="008B2960"/>
    <w:rsid w:val="008B3617"/>
    <w:rsid w:val="008B376E"/>
    <w:rsid w:val="008B39BB"/>
    <w:rsid w:val="008B3A25"/>
    <w:rsid w:val="008B3C8B"/>
    <w:rsid w:val="008B408B"/>
    <w:rsid w:val="008B4686"/>
    <w:rsid w:val="008B4810"/>
    <w:rsid w:val="008B4B54"/>
    <w:rsid w:val="008B4CE1"/>
    <w:rsid w:val="008B4DF6"/>
    <w:rsid w:val="008B4F2C"/>
    <w:rsid w:val="008B5187"/>
    <w:rsid w:val="008B535B"/>
    <w:rsid w:val="008B54C5"/>
    <w:rsid w:val="008B5CB0"/>
    <w:rsid w:val="008B6281"/>
    <w:rsid w:val="008B63BF"/>
    <w:rsid w:val="008B6563"/>
    <w:rsid w:val="008B6650"/>
    <w:rsid w:val="008B6CDB"/>
    <w:rsid w:val="008B6DBD"/>
    <w:rsid w:val="008B6DDA"/>
    <w:rsid w:val="008B70EE"/>
    <w:rsid w:val="008B72F9"/>
    <w:rsid w:val="008B74A2"/>
    <w:rsid w:val="008B74C0"/>
    <w:rsid w:val="008B777F"/>
    <w:rsid w:val="008B78B7"/>
    <w:rsid w:val="008B7A5D"/>
    <w:rsid w:val="008B7CF0"/>
    <w:rsid w:val="008C01BF"/>
    <w:rsid w:val="008C039A"/>
    <w:rsid w:val="008C088B"/>
    <w:rsid w:val="008C0920"/>
    <w:rsid w:val="008C0AC2"/>
    <w:rsid w:val="008C0B1A"/>
    <w:rsid w:val="008C0B4A"/>
    <w:rsid w:val="008C10CE"/>
    <w:rsid w:val="008C1551"/>
    <w:rsid w:val="008C1A40"/>
    <w:rsid w:val="008C1ABD"/>
    <w:rsid w:val="008C1AD0"/>
    <w:rsid w:val="008C1C9A"/>
    <w:rsid w:val="008C1D39"/>
    <w:rsid w:val="008C1F1E"/>
    <w:rsid w:val="008C20B0"/>
    <w:rsid w:val="008C2475"/>
    <w:rsid w:val="008C24AE"/>
    <w:rsid w:val="008C2704"/>
    <w:rsid w:val="008C276D"/>
    <w:rsid w:val="008C2842"/>
    <w:rsid w:val="008C2B5B"/>
    <w:rsid w:val="008C334A"/>
    <w:rsid w:val="008C376D"/>
    <w:rsid w:val="008C3A0C"/>
    <w:rsid w:val="008C47D9"/>
    <w:rsid w:val="008C4B8A"/>
    <w:rsid w:val="008C4C32"/>
    <w:rsid w:val="008C4C9A"/>
    <w:rsid w:val="008C4CA8"/>
    <w:rsid w:val="008C4CE8"/>
    <w:rsid w:val="008C4E67"/>
    <w:rsid w:val="008C4ED3"/>
    <w:rsid w:val="008C4F38"/>
    <w:rsid w:val="008C55BA"/>
    <w:rsid w:val="008C5AC5"/>
    <w:rsid w:val="008C5D09"/>
    <w:rsid w:val="008C5DA9"/>
    <w:rsid w:val="008C5F4C"/>
    <w:rsid w:val="008C61F0"/>
    <w:rsid w:val="008C6257"/>
    <w:rsid w:val="008C6332"/>
    <w:rsid w:val="008C63C7"/>
    <w:rsid w:val="008C63CB"/>
    <w:rsid w:val="008C6D92"/>
    <w:rsid w:val="008C6F50"/>
    <w:rsid w:val="008C703A"/>
    <w:rsid w:val="008C72B2"/>
    <w:rsid w:val="008C72E0"/>
    <w:rsid w:val="008C731A"/>
    <w:rsid w:val="008C736B"/>
    <w:rsid w:val="008C7A20"/>
    <w:rsid w:val="008C7B56"/>
    <w:rsid w:val="008C7D07"/>
    <w:rsid w:val="008C7D40"/>
    <w:rsid w:val="008C7E5A"/>
    <w:rsid w:val="008D0308"/>
    <w:rsid w:val="008D03C9"/>
    <w:rsid w:val="008D0589"/>
    <w:rsid w:val="008D06F1"/>
    <w:rsid w:val="008D0778"/>
    <w:rsid w:val="008D0946"/>
    <w:rsid w:val="008D0F25"/>
    <w:rsid w:val="008D0FA0"/>
    <w:rsid w:val="008D1293"/>
    <w:rsid w:val="008D12C0"/>
    <w:rsid w:val="008D142D"/>
    <w:rsid w:val="008D14C6"/>
    <w:rsid w:val="008D1D7F"/>
    <w:rsid w:val="008D2279"/>
    <w:rsid w:val="008D26FF"/>
    <w:rsid w:val="008D2979"/>
    <w:rsid w:val="008D297B"/>
    <w:rsid w:val="008D2BDC"/>
    <w:rsid w:val="008D2D54"/>
    <w:rsid w:val="008D30E7"/>
    <w:rsid w:val="008D3BCC"/>
    <w:rsid w:val="008D3C94"/>
    <w:rsid w:val="008D417B"/>
    <w:rsid w:val="008D4239"/>
    <w:rsid w:val="008D4527"/>
    <w:rsid w:val="008D463B"/>
    <w:rsid w:val="008D4B11"/>
    <w:rsid w:val="008D4E35"/>
    <w:rsid w:val="008D523B"/>
    <w:rsid w:val="008D5400"/>
    <w:rsid w:val="008D5E6F"/>
    <w:rsid w:val="008D603B"/>
    <w:rsid w:val="008D64B3"/>
    <w:rsid w:val="008D654E"/>
    <w:rsid w:val="008D6607"/>
    <w:rsid w:val="008D6627"/>
    <w:rsid w:val="008D6829"/>
    <w:rsid w:val="008D68EF"/>
    <w:rsid w:val="008D7331"/>
    <w:rsid w:val="008D74E6"/>
    <w:rsid w:val="008D7620"/>
    <w:rsid w:val="008D786E"/>
    <w:rsid w:val="008D78F1"/>
    <w:rsid w:val="008D7BA8"/>
    <w:rsid w:val="008D7CFB"/>
    <w:rsid w:val="008E0087"/>
    <w:rsid w:val="008E00DF"/>
    <w:rsid w:val="008E04C2"/>
    <w:rsid w:val="008E0557"/>
    <w:rsid w:val="008E078A"/>
    <w:rsid w:val="008E09BD"/>
    <w:rsid w:val="008E0B2A"/>
    <w:rsid w:val="008E0D04"/>
    <w:rsid w:val="008E0DF5"/>
    <w:rsid w:val="008E12C7"/>
    <w:rsid w:val="008E1992"/>
    <w:rsid w:val="008E1A51"/>
    <w:rsid w:val="008E1BE5"/>
    <w:rsid w:val="008E1D07"/>
    <w:rsid w:val="008E1E58"/>
    <w:rsid w:val="008E25D3"/>
    <w:rsid w:val="008E2B41"/>
    <w:rsid w:val="008E2C13"/>
    <w:rsid w:val="008E31A2"/>
    <w:rsid w:val="008E35A7"/>
    <w:rsid w:val="008E3671"/>
    <w:rsid w:val="008E375C"/>
    <w:rsid w:val="008E3905"/>
    <w:rsid w:val="008E3B0A"/>
    <w:rsid w:val="008E3DEB"/>
    <w:rsid w:val="008E3E22"/>
    <w:rsid w:val="008E3E37"/>
    <w:rsid w:val="008E4055"/>
    <w:rsid w:val="008E40CF"/>
    <w:rsid w:val="008E4460"/>
    <w:rsid w:val="008E456B"/>
    <w:rsid w:val="008E4956"/>
    <w:rsid w:val="008E4A12"/>
    <w:rsid w:val="008E59ED"/>
    <w:rsid w:val="008E5ACD"/>
    <w:rsid w:val="008E5D56"/>
    <w:rsid w:val="008E6279"/>
    <w:rsid w:val="008E6734"/>
    <w:rsid w:val="008E67DA"/>
    <w:rsid w:val="008E69F6"/>
    <w:rsid w:val="008E6AA3"/>
    <w:rsid w:val="008E6EDF"/>
    <w:rsid w:val="008E7103"/>
    <w:rsid w:val="008E71A9"/>
    <w:rsid w:val="008E72BF"/>
    <w:rsid w:val="008E7423"/>
    <w:rsid w:val="008E7A87"/>
    <w:rsid w:val="008E7AF7"/>
    <w:rsid w:val="008E7D79"/>
    <w:rsid w:val="008F0189"/>
    <w:rsid w:val="008F0239"/>
    <w:rsid w:val="008F0259"/>
    <w:rsid w:val="008F0550"/>
    <w:rsid w:val="008F0AB2"/>
    <w:rsid w:val="008F0D33"/>
    <w:rsid w:val="008F0EB9"/>
    <w:rsid w:val="008F101A"/>
    <w:rsid w:val="008F1121"/>
    <w:rsid w:val="008F1243"/>
    <w:rsid w:val="008F1B6A"/>
    <w:rsid w:val="008F1BA2"/>
    <w:rsid w:val="008F224A"/>
    <w:rsid w:val="008F24DD"/>
    <w:rsid w:val="008F24E7"/>
    <w:rsid w:val="008F2757"/>
    <w:rsid w:val="008F2DD9"/>
    <w:rsid w:val="008F2F36"/>
    <w:rsid w:val="008F304E"/>
    <w:rsid w:val="008F31CE"/>
    <w:rsid w:val="008F3388"/>
    <w:rsid w:val="008F3C6D"/>
    <w:rsid w:val="008F3F0F"/>
    <w:rsid w:val="008F4630"/>
    <w:rsid w:val="008F4C4F"/>
    <w:rsid w:val="008F4EA6"/>
    <w:rsid w:val="008F4F11"/>
    <w:rsid w:val="008F5083"/>
    <w:rsid w:val="008F51F9"/>
    <w:rsid w:val="008F555F"/>
    <w:rsid w:val="008F5BD8"/>
    <w:rsid w:val="008F5C61"/>
    <w:rsid w:val="008F60E7"/>
    <w:rsid w:val="008F62BA"/>
    <w:rsid w:val="008F658A"/>
    <w:rsid w:val="008F7222"/>
    <w:rsid w:val="008F7560"/>
    <w:rsid w:val="008F77F8"/>
    <w:rsid w:val="008F7825"/>
    <w:rsid w:val="008F7F17"/>
    <w:rsid w:val="008F7F5B"/>
    <w:rsid w:val="009003CB"/>
    <w:rsid w:val="0090044C"/>
    <w:rsid w:val="00900480"/>
    <w:rsid w:val="00900569"/>
    <w:rsid w:val="009006FA"/>
    <w:rsid w:val="00900893"/>
    <w:rsid w:val="00900B59"/>
    <w:rsid w:val="00900BA9"/>
    <w:rsid w:val="00900F2E"/>
    <w:rsid w:val="009011BC"/>
    <w:rsid w:val="00901668"/>
    <w:rsid w:val="0090169A"/>
    <w:rsid w:val="00901A7A"/>
    <w:rsid w:val="00901F3F"/>
    <w:rsid w:val="00902B78"/>
    <w:rsid w:val="00903E20"/>
    <w:rsid w:val="00903FFB"/>
    <w:rsid w:val="00904686"/>
    <w:rsid w:val="009047DB"/>
    <w:rsid w:val="0090509D"/>
    <w:rsid w:val="009053DB"/>
    <w:rsid w:val="0090598D"/>
    <w:rsid w:val="00905B2F"/>
    <w:rsid w:val="00905D5E"/>
    <w:rsid w:val="00905F39"/>
    <w:rsid w:val="00906209"/>
    <w:rsid w:val="00906729"/>
    <w:rsid w:val="009068C3"/>
    <w:rsid w:val="00906902"/>
    <w:rsid w:val="00906C28"/>
    <w:rsid w:val="00906C61"/>
    <w:rsid w:val="00907031"/>
    <w:rsid w:val="00907217"/>
    <w:rsid w:val="00907614"/>
    <w:rsid w:val="009079FE"/>
    <w:rsid w:val="00907B36"/>
    <w:rsid w:val="00907BD2"/>
    <w:rsid w:val="0091084D"/>
    <w:rsid w:val="00910F52"/>
    <w:rsid w:val="00911078"/>
    <w:rsid w:val="009111E3"/>
    <w:rsid w:val="009111FD"/>
    <w:rsid w:val="0091148C"/>
    <w:rsid w:val="009116F7"/>
    <w:rsid w:val="00911877"/>
    <w:rsid w:val="00911AAC"/>
    <w:rsid w:val="00912235"/>
    <w:rsid w:val="00912819"/>
    <w:rsid w:val="00912882"/>
    <w:rsid w:val="00912981"/>
    <w:rsid w:val="00912984"/>
    <w:rsid w:val="009129BA"/>
    <w:rsid w:val="00912B94"/>
    <w:rsid w:val="0091312F"/>
    <w:rsid w:val="0091322D"/>
    <w:rsid w:val="009135B3"/>
    <w:rsid w:val="009136A0"/>
    <w:rsid w:val="009137AA"/>
    <w:rsid w:val="0091381F"/>
    <w:rsid w:val="009139D3"/>
    <w:rsid w:val="00913A06"/>
    <w:rsid w:val="00913B0E"/>
    <w:rsid w:val="00914002"/>
    <w:rsid w:val="00914077"/>
    <w:rsid w:val="00914104"/>
    <w:rsid w:val="00914193"/>
    <w:rsid w:val="00914996"/>
    <w:rsid w:val="00914AF7"/>
    <w:rsid w:val="00914C39"/>
    <w:rsid w:val="00914E76"/>
    <w:rsid w:val="00914EFD"/>
    <w:rsid w:val="00914FE4"/>
    <w:rsid w:val="00915239"/>
    <w:rsid w:val="009153FF"/>
    <w:rsid w:val="009154D3"/>
    <w:rsid w:val="00915930"/>
    <w:rsid w:val="00915A7E"/>
    <w:rsid w:val="00915CC3"/>
    <w:rsid w:val="009161C1"/>
    <w:rsid w:val="009164B4"/>
    <w:rsid w:val="0091653C"/>
    <w:rsid w:val="009166CE"/>
    <w:rsid w:val="0091691C"/>
    <w:rsid w:val="00916CAD"/>
    <w:rsid w:val="0091720E"/>
    <w:rsid w:val="00917222"/>
    <w:rsid w:val="00917263"/>
    <w:rsid w:val="00917364"/>
    <w:rsid w:val="00917814"/>
    <w:rsid w:val="00920004"/>
    <w:rsid w:val="00920410"/>
    <w:rsid w:val="00920500"/>
    <w:rsid w:val="00920870"/>
    <w:rsid w:val="00920B07"/>
    <w:rsid w:val="00920CE3"/>
    <w:rsid w:val="0092143F"/>
    <w:rsid w:val="0092193A"/>
    <w:rsid w:val="00921BE4"/>
    <w:rsid w:val="009222D3"/>
    <w:rsid w:val="00922504"/>
    <w:rsid w:val="00922A77"/>
    <w:rsid w:val="009230B3"/>
    <w:rsid w:val="0092333E"/>
    <w:rsid w:val="00923F24"/>
    <w:rsid w:val="009243BF"/>
    <w:rsid w:val="00924653"/>
    <w:rsid w:val="0092492A"/>
    <w:rsid w:val="00924E9D"/>
    <w:rsid w:val="009253BE"/>
    <w:rsid w:val="00925450"/>
    <w:rsid w:val="009255C9"/>
    <w:rsid w:val="00925806"/>
    <w:rsid w:val="009258EE"/>
    <w:rsid w:val="00925A47"/>
    <w:rsid w:val="00925E72"/>
    <w:rsid w:val="00925F97"/>
    <w:rsid w:val="00926092"/>
    <w:rsid w:val="009262F0"/>
    <w:rsid w:val="00926541"/>
    <w:rsid w:val="009265B4"/>
    <w:rsid w:val="0092691E"/>
    <w:rsid w:val="00926B88"/>
    <w:rsid w:val="00926B8E"/>
    <w:rsid w:val="00927589"/>
    <w:rsid w:val="009279B3"/>
    <w:rsid w:val="00927A69"/>
    <w:rsid w:val="00927B19"/>
    <w:rsid w:val="00927C47"/>
    <w:rsid w:val="00930007"/>
    <w:rsid w:val="0093053A"/>
    <w:rsid w:val="0093076F"/>
    <w:rsid w:val="00930A0B"/>
    <w:rsid w:val="00930C4F"/>
    <w:rsid w:val="00930C9F"/>
    <w:rsid w:val="00930E14"/>
    <w:rsid w:val="00930ECD"/>
    <w:rsid w:val="0093177F"/>
    <w:rsid w:val="00931944"/>
    <w:rsid w:val="00931F7F"/>
    <w:rsid w:val="00932015"/>
    <w:rsid w:val="00932096"/>
    <w:rsid w:val="00932257"/>
    <w:rsid w:val="009323C9"/>
    <w:rsid w:val="0093247D"/>
    <w:rsid w:val="00932EB9"/>
    <w:rsid w:val="0093351D"/>
    <w:rsid w:val="0093353A"/>
    <w:rsid w:val="00933953"/>
    <w:rsid w:val="00933B94"/>
    <w:rsid w:val="00933BD8"/>
    <w:rsid w:val="0093411E"/>
    <w:rsid w:val="009341F5"/>
    <w:rsid w:val="009344D9"/>
    <w:rsid w:val="00934644"/>
    <w:rsid w:val="00934842"/>
    <w:rsid w:val="00934E19"/>
    <w:rsid w:val="00934E1C"/>
    <w:rsid w:val="009356C6"/>
    <w:rsid w:val="009357F2"/>
    <w:rsid w:val="00935A7A"/>
    <w:rsid w:val="00935E59"/>
    <w:rsid w:val="00936189"/>
    <w:rsid w:val="00936589"/>
    <w:rsid w:val="00936927"/>
    <w:rsid w:val="0093694A"/>
    <w:rsid w:val="00936A69"/>
    <w:rsid w:val="00936C31"/>
    <w:rsid w:val="00936E11"/>
    <w:rsid w:val="00936E55"/>
    <w:rsid w:val="00936F20"/>
    <w:rsid w:val="00937168"/>
    <w:rsid w:val="0093743A"/>
    <w:rsid w:val="00937475"/>
    <w:rsid w:val="009374C0"/>
    <w:rsid w:val="00937633"/>
    <w:rsid w:val="00937704"/>
    <w:rsid w:val="00937765"/>
    <w:rsid w:val="0093785F"/>
    <w:rsid w:val="00937A89"/>
    <w:rsid w:val="00937AF7"/>
    <w:rsid w:val="00937CF2"/>
    <w:rsid w:val="00937DE5"/>
    <w:rsid w:val="00940285"/>
    <w:rsid w:val="0094086E"/>
    <w:rsid w:val="009408D0"/>
    <w:rsid w:val="00940979"/>
    <w:rsid w:val="0094098D"/>
    <w:rsid w:val="00940A60"/>
    <w:rsid w:val="00940AD9"/>
    <w:rsid w:val="00940B7B"/>
    <w:rsid w:val="00940C0A"/>
    <w:rsid w:val="00940D6D"/>
    <w:rsid w:val="009410A6"/>
    <w:rsid w:val="00941311"/>
    <w:rsid w:val="00941366"/>
    <w:rsid w:val="0094154B"/>
    <w:rsid w:val="00941719"/>
    <w:rsid w:val="009417DC"/>
    <w:rsid w:val="00941AA7"/>
    <w:rsid w:val="00941AEC"/>
    <w:rsid w:val="00941EF7"/>
    <w:rsid w:val="00942359"/>
    <w:rsid w:val="009427C9"/>
    <w:rsid w:val="009427EC"/>
    <w:rsid w:val="00942821"/>
    <w:rsid w:val="0094286B"/>
    <w:rsid w:val="009429D2"/>
    <w:rsid w:val="00942C50"/>
    <w:rsid w:val="00942D74"/>
    <w:rsid w:val="00943524"/>
    <w:rsid w:val="00943968"/>
    <w:rsid w:val="00943D75"/>
    <w:rsid w:val="00943F58"/>
    <w:rsid w:val="009440C8"/>
    <w:rsid w:val="00944118"/>
    <w:rsid w:val="009441BA"/>
    <w:rsid w:val="009442A3"/>
    <w:rsid w:val="009442D1"/>
    <w:rsid w:val="0094433C"/>
    <w:rsid w:val="0094439D"/>
    <w:rsid w:val="00944899"/>
    <w:rsid w:val="009449A8"/>
    <w:rsid w:val="00944BDE"/>
    <w:rsid w:val="00944BEF"/>
    <w:rsid w:val="00944F5A"/>
    <w:rsid w:val="00945197"/>
    <w:rsid w:val="00945559"/>
    <w:rsid w:val="00945653"/>
    <w:rsid w:val="009456E3"/>
    <w:rsid w:val="00945753"/>
    <w:rsid w:val="00945C29"/>
    <w:rsid w:val="00945C3B"/>
    <w:rsid w:val="00945CAA"/>
    <w:rsid w:val="00945D19"/>
    <w:rsid w:val="0094689D"/>
    <w:rsid w:val="00946E05"/>
    <w:rsid w:val="009472A6"/>
    <w:rsid w:val="009474F3"/>
    <w:rsid w:val="00947689"/>
    <w:rsid w:val="00947C63"/>
    <w:rsid w:val="00947E9F"/>
    <w:rsid w:val="009502B4"/>
    <w:rsid w:val="00950745"/>
    <w:rsid w:val="009507BE"/>
    <w:rsid w:val="00950A88"/>
    <w:rsid w:val="00950AB3"/>
    <w:rsid w:val="00950C01"/>
    <w:rsid w:val="00950DDD"/>
    <w:rsid w:val="00951086"/>
    <w:rsid w:val="00951460"/>
    <w:rsid w:val="0095166D"/>
    <w:rsid w:val="009518A8"/>
    <w:rsid w:val="00951AC1"/>
    <w:rsid w:val="00951AF8"/>
    <w:rsid w:val="00951B81"/>
    <w:rsid w:val="00951F30"/>
    <w:rsid w:val="00952094"/>
    <w:rsid w:val="00952353"/>
    <w:rsid w:val="009523A8"/>
    <w:rsid w:val="00952596"/>
    <w:rsid w:val="0095291A"/>
    <w:rsid w:val="00952940"/>
    <w:rsid w:val="009529C4"/>
    <w:rsid w:val="00952B44"/>
    <w:rsid w:val="00952E9E"/>
    <w:rsid w:val="0095363B"/>
    <w:rsid w:val="0095377D"/>
    <w:rsid w:val="00953816"/>
    <w:rsid w:val="00953852"/>
    <w:rsid w:val="009549B0"/>
    <w:rsid w:val="00954D02"/>
    <w:rsid w:val="00954FE5"/>
    <w:rsid w:val="00955022"/>
    <w:rsid w:val="009555C5"/>
    <w:rsid w:val="0095571A"/>
    <w:rsid w:val="00955A6B"/>
    <w:rsid w:val="00955AC2"/>
    <w:rsid w:val="00955BA1"/>
    <w:rsid w:val="00955CCD"/>
    <w:rsid w:val="00955F19"/>
    <w:rsid w:val="00955F1D"/>
    <w:rsid w:val="009560A0"/>
    <w:rsid w:val="009568BF"/>
    <w:rsid w:val="00956DB7"/>
    <w:rsid w:val="009576B1"/>
    <w:rsid w:val="009579A9"/>
    <w:rsid w:val="00957E95"/>
    <w:rsid w:val="00957EA3"/>
    <w:rsid w:val="00960025"/>
    <w:rsid w:val="009600BE"/>
    <w:rsid w:val="0096031C"/>
    <w:rsid w:val="009609E3"/>
    <w:rsid w:val="009610C4"/>
    <w:rsid w:val="0096136D"/>
    <w:rsid w:val="00961910"/>
    <w:rsid w:val="00961C9D"/>
    <w:rsid w:val="00961CAC"/>
    <w:rsid w:val="009626BA"/>
    <w:rsid w:val="009631E6"/>
    <w:rsid w:val="00963273"/>
    <w:rsid w:val="00963274"/>
    <w:rsid w:val="0096328B"/>
    <w:rsid w:val="009632D0"/>
    <w:rsid w:val="009635C6"/>
    <w:rsid w:val="00963920"/>
    <w:rsid w:val="00963CD2"/>
    <w:rsid w:val="00963EE6"/>
    <w:rsid w:val="0096427C"/>
    <w:rsid w:val="009644D1"/>
    <w:rsid w:val="009645C6"/>
    <w:rsid w:val="009645DB"/>
    <w:rsid w:val="009646C4"/>
    <w:rsid w:val="009648B9"/>
    <w:rsid w:val="0096496B"/>
    <w:rsid w:val="00964B75"/>
    <w:rsid w:val="00964EB9"/>
    <w:rsid w:val="00965001"/>
    <w:rsid w:val="009652E5"/>
    <w:rsid w:val="009655E4"/>
    <w:rsid w:val="00965616"/>
    <w:rsid w:val="00965B1E"/>
    <w:rsid w:val="00966021"/>
    <w:rsid w:val="00966159"/>
    <w:rsid w:val="009661DC"/>
    <w:rsid w:val="009664C2"/>
    <w:rsid w:val="00966807"/>
    <w:rsid w:val="00967D7F"/>
    <w:rsid w:val="00967E77"/>
    <w:rsid w:val="00967F6C"/>
    <w:rsid w:val="00970519"/>
    <w:rsid w:val="00970536"/>
    <w:rsid w:val="00970702"/>
    <w:rsid w:val="0097090B"/>
    <w:rsid w:val="00970B1D"/>
    <w:rsid w:val="0097114F"/>
    <w:rsid w:val="009713D1"/>
    <w:rsid w:val="00971790"/>
    <w:rsid w:val="00971957"/>
    <w:rsid w:val="00971A05"/>
    <w:rsid w:val="00971CB0"/>
    <w:rsid w:val="00971DF4"/>
    <w:rsid w:val="00971E0A"/>
    <w:rsid w:val="00971F91"/>
    <w:rsid w:val="009720A3"/>
    <w:rsid w:val="00972223"/>
    <w:rsid w:val="0097237B"/>
    <w:rsid w:val="00972901"/>
    <w:rsid w:val="00972A10"/>
    <w:rsid w:val="00973346"/>
    <w:rsid w:val="009736CF"/>
    <w:rsid w:val="00973AAF"/>
    <w:rsid w:val="00973E34"/>
    <w:rsid w:val="00974253"/>
    <w:rsid w:val="0097439C"/>
    <w:rsid w:val="009745F5"/>
    <w:rsid w:val="009748EF"/>
    <w:rsid w:val="00974CF1"/>
    <w:rsid w:val="00974E16"/>
    <w:rsid w:val="00975403"/>
    <w:rsid w:val="00975508"/>
    <w:rsid w:val="0097557F"/>
    <w:rsid w:val="00975782"/>
    <w:rsid w:val="00975C81"/>
    <w:rsid w:val="00976060"/>
    <w:rsid w:val="009760DC"/>
    <w:rsid w:val="009762E9"/>
    <w:rsid w:val="009767E0"/>
    <w:rsid w:val="00976F36"/>
    <w:rsid w:val="0097731D"/>
    <w:rsid w:val="00977336"/>
    <w:rsid w:val="009774EC"/>
    <w:rsid w:val="00977A14"/>
    <w:rsid w:val="00977EA7"/>
    <w:rsid w:val="009804E9"/>
    <w:rsid w:val="00980597"/>
    <w:rsid w:val="00980955"/>
    <w:rsid w:val="00980D09"/>
    <w:rsid w:val="00980F6F"/>
    <w:rsid w:val="009811AF"/>
    <w:rsid w:val="00981407"/>
    <w:rsid w:val="00981655"/>
    <w:rsid w:val="0098181B"/>
    <w:rsid w:val="00981A1D"/>
    <w:rsid w:val="00981A29"/>
    <w:rsid w:val="00981E1D"/>
    <w:rsid w:val="00981F53"/>
    <w:rsid w:val="0098210F"/>
    <w:rsid w:val="009822DB"/>
    <w:rsid w:val="00982578"/>
    <w:rsid w:val="0098276B"/>
    <w:rsid w:val="00982D78"/>
    <w:rsid w:val="0098302A"/>
    <w:rsid w:val="00983196"/>
    <w:rsid w:val="00983248"/>
    <w:rsid w:val="009832BC"/>
    <w:rsid w:val="009835AA"/>
    <w:rsid w:val="00983831"/>
    <w:rsid w:val="00983F43"/>
    <w:rsid w:val="009842D7"/>
    <w:rsid w:val="00984352"/>
    <w:rsid w:val="009847B9"/>
    <w:rsid w:val="00984E0D"/>
    <w:rsid w:val="00984E5D"/>
    <w:rsid w:val="00984FB4"/>
    <w:rsid w:val="0098539C"/>
    <w:rsid w:val="00985403"/>
    <w:rsid w:val="00985701"/>
    <w:rsid w:val="00985825"/>
    <w:rsid w:val="00985C46"/>
    <w:rsid w:val="00985DB9"/>
    <w:rsid w:val="009863F4"/>
    <w:rsid w:val="009865C9"/>
    <w:rsid w:val="0098668E"/>
    <w:rsid w:val="00986773"/>
    <w:rsid w:val="0098685C"/>
    <w:rsid w:val="00986860"/>
    <w:rsid w:val="009868F0"/>
    <w:rsid w:val="00986B3B"/>
    <w:rsid w:val="00986BC6"/>
    <w:rsid w:val="00987098"/>
    <w:rsid w:val="009874B4"/>
    <w:rsid w:val="00987662"/>
    <w:rsid w:val="0098771F"/>
    <w:rsid w:val="00987824"/>
    <w:rsid w:val="00990215"/>
    <w:rsid w:val="00990664"/>
    <w:rsid w:val="00990786"/>
    <w:rsid w:val="00990892"/>
    <w:rsid w:val="00990AD0"/>
    <w:rsid w:val="00990AD1"/>
    <w:rsid w:val="00990B77"/>
    <w:rsid w:val="00990D70"/>
    <w:rsid w:val="00990FDA"/>
    <w:rsid w:val="009910FC"/>
    <w:rsid w:val="0099147C"/>
    <w:rsid w:val="00991521"/>
    <w:rsid w:val="00991A97"/>
    <w:rsid w:val="00991F98"/>
    <w:rsid w:val="00992086"/>
    <w:rsid w:val="0099289A"/>
    <w:rsid w:val="00992A16"/>
    <w:rsid w:val="00992A5C"/>
    <w:rsid w:val="00992B16"/>
    <w:rsid w:val="00992DA7"/>
    <w:rsid w:val="00992F17"/>
    <w:rsid w:val="0099343F"/>
    <w:rsid w:val="009934F8"/>
    <w:rsid w:val="00993A99"/>
    <w:rsid w:val="009945A4"/>
    <w:rsid w:val="00994860"/>
    <w:rsid w:val="009948D5"/>
    <w:rsid w:val="00994920"/>
    <w:rsid w:val="00994BFB"/>
    <w:rsid w:val="00994C16"/>
    <w:rsid w:val="00994CA7"/>
    <w:rsid w:val="00995602"/>
    <w:rsid w:val="00995774"/>
    <w:rsid w:val="00995C6A"/>
    <w:rsid w:val="00995C96"/>
    <w:rsid w:val="009960BF"/>
    <w:rsid w:val="009962BC"/>
    <w:rsid w:val="009963BD"/>
    <w:rsid w:val="00996577"/>
    <w:rsid w:val="00996769"/>
    <w:rsid w:val="00996886"/>
    <w:rsid w:val="009969E9"/>
    <w:rsid w:val="00996D1E"/>
    <w:rsid w:val="009971CD"/>
    <w:rsid w:val="009979B3"/>
    <w:rsid w:val="009979C1"/>
    <w:rsid w:val="009A0AA8"/>
    <w:rsid w:val="009A0D47"/>
    <w:rsid w:val="009A0DA1"/>
    <w:rsid w:val="009A0E23"/>
    <w:rsid w:val="009A1000"/>
    <w:rsid w:val="009A10D4"/>
    <w:rsid w:val="009A12A0"/>
    <w:rsid w:val="009A13BF"/>
    <w:rsid w:val="009A13CA"/>
    <w:rsid w:val="009A15DD"/>
    <w:rsid w:val="009A1788"/>
    <w:rsid w:val="009A199F"/>
    <w:rsid w:val="009A19F5"/>
    <w:rsid w:val="009A1E27"/>
    <w:rsid w:val="009A1E38"/>
    <w:rsid w:val="009A2172"/>
    <w:rsid w:val="009A22D8"/>
    <w:rsid w:val="009A27FB"/>
    <w:rsid w:val="009A2CEB"/>
    <w:rsid w:val="009A2DB2"/>
    <w:rsid w:val="009A3082"/>
    <w:rsid w:val="009A31E2"/>
    <w:rsid w:val="009A359E"/>
    <w:rsid w:val="009A37B5"/>
    <w:rsid w:val="009A3967"/>
    <w:rsid w:val="009A3B65"/>
    <w:rsid w:val="009A3CE9"/>
    <w:rsid w:val="009A3D13"/>
    <w:rsid w:val="009A453C"/>
    <w:rsid w:val="009A46ED"/>
    <w:rsid w:val="009A4824"/>
    <w:rsid w:val="009A48A8"/>
    <w:rsid w:val="009A49E6"/>
    <w:rsid w:val="009A49FE"/>
    <w:rsid w:val="009A4EA4"/>
    <w:rsid w:val="009A4F40"/>
    <w:rsid w:val="009A5233"/>
    <w:rsid w:val="009A52C5"/>
    <w:rsid w:val="009A5820"/>
    <w:rsid w:val="009A58BC"/>
    <w:rsid w:val="009A5C51"/>
    <w:rsid w:val="009A60E6"/>
    <w:rsid w:val="009A616F"/>
    <w:rsid w:val="009A6303"/>
    <w:rsid w:val="009A6318"/>
    <w:rsid w:val="009A65FA"/>
    <w:rsid w:val="009A6D10"/>
    <w:rsid w:val="009A72F5"/>
    <w:rsid w:val="009B022C"/>
    <w:rsid w:val="009B02C6"/>
    <w:rsid w:val="009B043A"/>
    <w:rsid w:val="009B0870"/>
    <w:rsid w:val="009B08B5"/>
    <w:rsid w:val="009B11C4"/>
    <w:rsid w:val="009B17DB"/>
    <w:rsid w:val="009B17EC"/>
    <w:rsid w:val="009B1CDD"/>
    <w:rsid w:val="009B1F2F"/>
    <w:rsid w:val="009B208D"/>
    <w:rsid w:val="009B213B"/>
    <w:rsid w:val="009B2325"/>
    <w:rsid w:val="009B2571"/>
    <w:rsid w:val="009B2954"/>
    <w:rsid w:val="009B32C4"/>
    <w:rsid w:val="009B397D"/>
    <w:rsid w:val="009B3D90"/>
    <w:rsid w:val="009B3E47"/>
    <w:rsid w:val="009B43F3"/>
    <w:rsid w:val="009B48F3"/>
    <w:rsid w:val="009B4960"/>
    <w:rsid w:val="009B50EF"/>
    <w:rsid w:val="009B55D2"/>
    <w:rsid w:val="009B58D7"/>
    <w:rsid w:val="009B5B4A"/>
    <w:rsid w:val="009B5DC6"/>
    <w:rsid w:val="009B6402"/>
    <w:rsid w:val="009B670C"/>
    <w:rsid w:val="009B6D94"/>
    <w:rsid w:val="009B6F7F"/>
    <w:rsid w:val="009B709F"/>
    <w:rsid w:val="009B7168"/>
    <w:rsid w:val="009B721D"/>
    <w:rsid w:val="009B75FA"/>
    <w:rsid w:val="009B7AB8"/>
    <w:rsid w:val="009B7C44"/>
    <w:rsid w:val="009B7E25"/>
    <w:rsid w:val="009C054E"/>
    <w:rsid w:val="009C061B"/>
    <w:rsid w:val="009C0824"/>
    <w:rsid w:val="009C091A"/>
    <w:rsid w:val="009C0B81"/>
    <w:rsid w:val="009C0DF2"/>
    <w:rsid w:val="009C1308"/>
    <w:rsid w:val="009C1355"/>
    <w:rsid w:val="009C14A2"/>
    <w:rsid w:val="009C14D6"/>
    <w:rsid w:val="009C1524"/>
    <w:rsid w:val="009C178A"/>
    <w:rsid w:val="009C1A19"/>
    <w:rsid w:val="009C1AF5"/>
    <w:rsid w:val="009C2012"/>
    <w:rsid w:val="009C202E"/>
    <w:rsid w:val="009C2618"/>
    <w:rsid w:val="009C267C"/>
    <w:rsid w:val="009C283F"/>
    <w:rsid w:val="009C2A09"/>
    <w:rsid w:val="009C2D18"/>
    <w:rsid w:val="009C2E9E"/>
    <w:rsid w:val="009C3151"/>
    <w:rsid w:val="009C329B"/>
    <w:rsid w:val="009C33C0"/>
    <w:rsid w:val="009C3549"/>
    <w:rsid w:val="009C3915"/>
    <w:rsid w:val="009C3C0D"/>
    <w:rsid w:val="009C3D8B"/>
    <w:rsid w:val="009C4182"/>
    <w:rsid w:val="009C4323"/>
    <w:rsid w:val="009C4743"/>
    <w:rsid w:val="009C4B46"/>
    <w:rsid w:val="009C4DC8"/>
    <w:rsid w:val="009C4FC0"/>
    <w:rsid w:val="009C527C"/>
    <w:rsid w:val="009C53C0"/>
    <w:rsid w:val="009C54BF"/>
    <w:rsid w:val="009C55E2"/>
    <w:rsid w:val="009C56CB"/>
    <w:rsid w:val="009C58A2"/>
    <w:rsid w:val="009C5C42"/>
    <w:rsid w:val="009C629D"/>
    <w:rsid w:val="009C62C1"/>
    <w:rsid w:val="009C652B"/>
    <w:rsid w:val="009C667B"/>
    <w:rsid w:val="009C6921"/>
    <w:rsid w:val="009C6B9F"/>
    <w:rsid w:val="009C6D19"/>
    <w:rsid w:val="009C6D9D"/>
    <w:rsid w:val="009C7372"/>
    <w:rsid w:val="009C7EA0"/>
    <w:rsid w:val="009D01F5"/>
    <w:rsid w:val="009D0303"/>
    <w:rsid w:val="009D0702"/>
    <w:rsid w:val="009D07E6"/>
    <w:rsid w:val="009D0D66"/>
    <w:rsid w:val="009D0E18"/>
    <w:rsid w:val="009D16F8"/>
    <w:rsid w:val="009D1809"/>
    <w:rsid w:val="009D1B04"/>
    <w:rsid w:val="009D1B40"/>
    <w:rsid w:val="009D1D75"/>
    <w:rsid w:val="009D2277"/>
    <w:rsid w:val="009D2557"/>
    <w:rsid w:val="009D283C"/>
    <w:rsid w:val="009D2BC0"/>
    <w:rsid w:val="009D2CC3"/>
    <w:rsid w:val="009D3074"/>
    <w:rsid w:val="009D32DB"/>
    <w:rsid w:val="009D33BC"/>
    <w:rsid w:val="009D3511"/>
    <w:rsid w:val="009D39CA"/>
    <w:rsid w:val="009D3A48"/>
    <w:rsid w:val="009D3D5D"/>
    <w:rsid w:val="009D44B2"/>
    <w:rsid w:val="009D4541"/>
    <w:rsid w:val="009D4941"/>
    <w:rsid w:val="009D4B56"/>
    <w:rsid w:val="009D4E04"/>
    <w:rsid w:val="009D4E8B"/>
    <w:rsid w:val="009D5FDB"/>
    <w:rsid w:val="009D665B"/>
    <w:rsid w:val="009D6764"/>
    <w:rsid w:val="009D68F5"/>
    <w:rsid w:val="009D6970"/>
    <w:rsid w:val="009D6ADE"/>
    <w:rsid w:val="009D6CA1"/>
    <w:rsid w:val="009D6EF3"/>
    <w:rsid w:val="009D6F47"/>
    <w:rsid w:val="009D7279"/>
    <w:rsid w:val="009D72F0"/>
    <w:rsid w:val="009D7620"/>
    <w:rsid w:val="009D7704"/>
    <w:rsid w:val="009D7CAA"/>
    <w:rsid w:val="009E0154"/>
    <w:rsid w:val="009E01A9"/>
    <w:rsid w:val="009E025E"/>
    <w:rsid w:val="009E032D"/>
    <w:rsid w:val="009E03FB"/>
    <w:rsid w:val="009E0647"/>
    <w:rsid w:val="009E0723"/>
    <w:rsid w:val="009E084D"/>
    <w:rsid w:val="009E0A0D"/>
    <w:rsid w:val="009E0B28"/>
    <w:rsid w:val="009E0C21"/>
    <w:rsid w:val="009E12D2"/>
    <w:rsid w:val="009E1816"/>
    <w:rsid w:val="009E1951"/>
    <w:rsid w:val="009E1F11"/>
    <w:rsid w:val="009E21B5"/>
    <w:rsid w:val="009E2632"/>
    <w:rsid w:val="009E26E4"/>
    <w:rsid w:val="009E2A18"/>
    <w:rsid w:val="009E2C7B"/>
    <w:rsid w:val="009E305E"/>
    <w:rsid w:val="009E30BF"/>
    <w:rsid w:val="009E31B3"/>
    <w:rsid w:val="009E3373"/>
    <w:rsid w:val="009E34A0"/>
    <w:rsid w:val="009E3765"/>
    <w:rsid w:val="009E3798"/>
    <w:rsid w:val="009E3A09"/>
    <w:rsid w:val="009E3A66"/>
    <w:rsid w:val="009E415F"/>
    <w:rsid w:val="009E43F2"/>
    <w:rsid w:val="009E444D"/>
    <w:rsid w:val="009E4A38"/>
    <w:rsid w:val="009E4D6E"/>
    <w:rsid w:val="009E5111"/>
    <w:rsid w:val="009E5CD8"/>
    <w:rsid w:val="009E6545"/>
    <w:rsid w:val="009E67C8"/>
    <w:rsid w:val="009E67E5"/>
    <w:rsid w:val="009E68B7"/>
    <w:rsid w:val="009E6CB6"/>
    <w:rsid w:val="009E6D75"/>
    <w:rsid w:val="009E7376"/>
    <w:rsid w:val="009E73FD"/>
    <w:rsid w:val="009E74C5"/>
    <w:rsid w:val="009E7A1E"/>
    <w:rsid w:val="009E7ABE"/>
    <w:rsid w:val="009F003F"/>
    <w:rsid w:val="009F07D1"/>
    <w:rsid w:val="009F0CE7"/>
    <w:rsid w:val="009F101D"/>
    <w:rsid w:val="009F12C1"/>
    <w:rsid w:val="009F157A"/>
    <w:rsid w:val="009F167B"/>
    <w:rsid w:val="009F190A"/>
    <w:rsid w:val="009F1CBB"/>
    <w:rsid w:val="009F1CD2"/>
    <w:rsid w:val="009F1DD4"/>
    <w:rsid w:val="009F1F33"/>
    <w:rsid w:val="009F2087"/>
    <w:rsid w:val="009F2317"/>
    <w:rsid w:val="009F2F2F"/>
    <w:rsid w:val="009F3361"/>
    <w:rsid w:val="009F34F5"/>
    <w:rsid w:val="009F3688"/>
    <w:rsid w:val="009F38C7"/>
    <w:rsid w:val="009F3EAE"/>
    <w:rsid w:val="009F4026"/>
    <w:rsid w:val="009F407B"/>
    <w:rsid w:val="009F41AE"/>
    <w:rsid w:val="009F44C3"/>
    <w:rsid w:val="009F4503"/>
    <w:rsid w:val="009F46AE"/>
    <w:rsid w:val="009F4736"/>
    <w:rsid w:val="009F4837"/>
    <w:rsid w:val="009F48B6"/>
    <w:rsid w:val="009F4909"/>
    <w:rsid w:val="009F4EE8"/>
    <w:rsid w:val="009F5068"/>
    <w:rsid w:val="009F50C3"/>
    <w:rsid w:val="009F5957"/>
    <w:rsid w:val="009F5B8C"/>
    <w:rsid w:val="009F64B4"/>
    <w:rsid w:val="009F655C"/>
    <w:rsid w:val="009F6684"/>
    <w:rsid w:val="009F66F1"/>
    <w:rsid w:val="009F6AB3"/>
    <w:rsid w:val="009F7013"/>
    <w:rsid w:val="009F7447"/>
    <w:rsid w:val="009F750A"/>
    <w:rsid w:val="009F76BB"/>
    <w:rsid w:val="009F79D1"/>
    <w:rsid w:val="009F7AD0"/>
    <w:rsid w:val="009F7B5B"/>
    <w:rsid w:val="009F7E78"/>
    <w:rsid w:val="009F7FB5"/>
    <w:rsid w:val="00A0079C"/>
    <w:rsid w:val="00A009CF"/>
    <w:rsid w:val="00A00A05"/>
    <w:rsid w:val="00A00B25"/>
    <w:rsid w:val="00A00C63"/>
    <w:rsid w:val="00A00DED"/>
    <w:rsid w:val="00A010B7"/>
    <w:rsid w:val="00A011E2"/>
    <w:rsid w:val="00A01782"/>
    <w:rsid w:val="00A017A8"/>
    <w:rsid w:val="00A01D02"/>
    <w:rsid w:val="00A01EAB"/>
    <w:rsid w:val="00A021EF"/>
    <w:rsid w:val="00A0236A"/>
    <w:rsid w:val="00A025A3"/>
    <w:rsid w:val="00A026D7"/>
    <w:rsid w:val="00A028EB"/>
    <w:rsid w:val="00A0301D"/>
    <w:rsid w:val="00A03337"/>
    <w:rsid w:val="00A03603"/>
    <w:rsid w:val="00A0362F"/>
    <w:rsid w:val="00A039B5"/>
    <w:rsid w:val="00A03B69"/>
    <w:rsid w:val="00A03D9E"/>
    <w:rsid w:val="00A03F44"/>
    <w:rsid w:val="00A041EF"/>
    <w:rsid w:val="00A04868"/>
    <w:rsid w:val="00A048EB"/>
    <w:rsid w:val="00A04B50"/>
    <w:rsid w:val="00A050D6"/>
    <w:rsid w:val="00A05199"/>
    <w:rsid w:val="00A056A3"/>
    <w:rsid w:val="00A05789"/>
    <w:rsid w:val="00A05922"/>
    <w:rsid w:val="00A05A8A"/>
    <w:rsid w:val="00A05B55"/>
    <w:rsid w:val="00A05E3B"/>
    <w:rsid w:val="00A05EF2"/>
    <w:rsid w:val="00A06476"/>
    <w:rsid w:val="00A06BB2"/>
    <w:rsid w:val="00A06BDD"/>
    <w:rsid w:val="00A06D03"/>
    <w:rsid w:val="00A06F65"/>
    <w:rsid w:val="00A06F8B"/>
    <w:rsid w:val="00A07245"/>
    <w:rsid w:val="00A0728A"/>
    <w:rsid w:val="00A0783A"/>
    <w:rsid w:val="00A07887"/>
    <w:rsid w:val="00A07A6C"/>
    <w:rsid w:val="00A07B48"/>
    <w:rsid w:val="00A07B6C"/>
    <w:rsid w:val="00A07C21"/>
    <w:rsid w:val="00A07F33"/>
    <w:rsid w:val="00A10079"/>
    <w:rsid w:val="00A101C7"/>
    <w:rsid w:val="00A10217"/>
    <w:rsid w:val="00A10305"/>
    <w:rsid w:val="00A103E4"/>
    <w:rsid w:val="00A1057D"/>
    <w:rsid w:val="00A105FD"/>
    <w:rsid w:val="00A106C8"/>
    <w:rsid w:val="00A10A74"/>
    <w:rsid w:val="00A10BCB"/>
    <w:rsid w:val="00A10C6A"/>
    <w:rsid w:val="00A10D5D"/>
    <w:rsid w:val="00A10DB4"/>
    <w:rsid w:val="00A10F0E"/>
    <w:rsid w:val="00A1104C"/>
    <w:rsid w:val="00A112A1"/>
    <w:rsid w:val="00A11CCB"/>
    <w:rsid w:val="00A11D4E"/>
    <w:rsid w:val="00A12089"/>
    <w:rsid w:val="00A12525"/>
    <w:rsid w:val="00A12B52"/>
    <w:rsid w:val="00A12D58"/>
    <w:rsid w:val="00A130EF"/>
    <w:rsid w:val="00A1357E"/>
    <w:rsid w:val="00A13C45"/>
    <w:rsid w:val="00A142AB"/>
    <w:rsid w:val="00A142BC"/>
    <w:rsid w:val="00A144D3"/>
    <w:rsid w:val="00A14659"/>
    <w:rsid w:val="00A1472F"/>
    <w:rsid w:val="00A147B2"/>
    <w:rsid w:val="00A14A12"/>
    <w:rsid w:val="00A14A78"/>
    <w:rsid w:val="00A14EA1"/>
    <w:rsid w:val="00A153C6"/>
    <w:rsid w:val="00A15493"/>
    <w:rsid w:val="00A156E6"/>
    <w:rsid w:val="00A162A3"/>
    <w:rsid w:val="00A163EC"/>
    <w:rsid w:val="00A1642C"/>
    <w:rsid w:val="00A166FF"/>
    <w:rsid w:val="00A16AE4"/>
    <w:rsid w:val="00A16E98"/>
    <w:rsid w:val="00A16EC3"/>
    <w:rsid w:val="00A17326"/>
    <w:rsid w:val="00A1736E"/>
    <w:rsid w:val="00A17418"/>
    <w:rsid w:val="00A1764E"/>
    <w:rsid w:val="00A17781"/>
    <w:rsid w:val="00A17E31"/>
    <w:rsid w:val="00A17F6A"/>
    <w:rsid w:val="00A201F6"/>
    <w:rsid w:val="00A20A25"/>
    <w:rsid w:val="00A2138C"/>
    <w:rsid w:val="00A21624"/>
    <w:rsid w:val="00A218F7"/>
    <w:rsid w:val="00A21A15"/>
    <w:rsid w:val="00A21BDB"/>
    <w:rsid w:val="00A21E0F"/>
    <w:rsid w:val="00A2206A"/>
    <w:rsid w:val="00A22467"/>
    <w:rsid w:val="00A224F3"/>
    <w:rsid w:val="00A22600"/>
    <w:rsid w:val="00A239AF"/>
    <w:rsid w:val="00A23A94"/>
    <w:rsid w:val="00A23AF9"/>
    <w:rsid w:val="00A23DDE"/>
    <w:rsid w:val="00A240C0"/>
    <w:rsid w:val="00A241B6"/>
    <w:rsid w:val="00A241CD"/>
    <w:rsid w:val="00A245A5"/>
    <w:rsid w:val="00A245B0"/>
    <w:rsid w:val="00A246F3"/>
    <w:rsid w:val="00A2496F"/>
    <w:rsid w:val="00A24A06"/>
    <w:rsid w:val="00A24A57"/>
    <w:rsid w:val="00A24E01"/>
    <w:rsid w:val="00A2532B"/>
    <w:rsid w:val="00A25351"/>
    <w:rsid w:val="00A2539C"/>
    <w:rsid w:val="00A25574"/>
    <w:rsid w:val="00A25AD3"/>
    <w:rsid w:val="00A25B53"/>
    <w:rsid w:val="00A261A5"/>
    <w:rsid w:val="00A2693A"/>
    <w:rsid w:val="00A26A49"/>
    <w:rsid w:val="00A26AC1"/>
    <w:rsid w:val="00A26D0C"/>
    <w:rsid w:val="00A26D54"/>
    <w:rsid w:val="00A26D6B"/>
    <w:rsid w:val="00A27190"/>
    <w:rsid w:val="00A273E5"/>
    <w:rsid w:val="00A27546"/>
    <w:rsid w:val="00A27716"/>
    <w:rsid w:val="00A27C6B"/>
    <w:rsid w:val="00A27D8D"/>
    <w:rsid w:val="00A27EB7"/>
    <w:rsid w:val="00A27F07"/>
    <w:rsid w:val="00A3077E"/>
    <w:rsid w:val="00A30789"/>
    <w:rsid w:val="00A3078A"/>
    <w:rsid w:val="00A309F9"/>
    <w:rsid w:val="00A30B17"/>
    <w:rsid w:val="00A30BB4"/>
    <w:rsid w:val="00A30D6E"/>
    <w:rsid w:val="00A31FEF"/>
    <w:rsid w:val="00A320F1"/>
    <w:rsid w:val="00A322E1"/>
    <w:rsid w:val="00A324A9"/>
    <w:rsid w:val="00A32BD2"/>
    <w:rsid w:val="00A32C6A"/>
    <w:rsid w:val="00A32F0D"/>
    <w:rsid w:val="00A32F2B"/>
    <w:rsid w:val="00A32F72"/>
    <w:rsid w:val="00A33460"/>
    <w:rsid w:val="00A33C71"/>
    <w:rsid w:val="00A33D54"/>
    <w:rsid w:val="00A343B9"/>
    <w:rsid w:val="00A34425"/>
    <w:rsid w:val="00A34560"/>
    <w:rsid w:val="00A34768"/>
    <w:rsid w:val="00A347AD"/>
    <w:rsid w:val="00A34907"/>
    <w:rsid w:val="00A35110"/>
    <w:rsid w:val="00A351D3"/>
    <w:rsid w:val="00A352F0"/>
    <w:rsid w:val="00A35816"/>
    <w:rsid w:val="00A35EC3"/>
    <w:rsid w:val="00A35EFA"/>
    <w:rsid w:val="00A361F5"/>
    <w:rsid w:val="00A3653F"/>
    <w:rsid w:val="00A368DA"/>
    <w:rsid w:val="00A36D1E"/>
    <w:rsid w:val="00A36D24"/>
    <w:rsid w:val="00A37565"/>
    <w:rsid w:val="00A37BD2"/>
    <w:rsid w:val="00A37E15"/>
    <w:rsid w:val="00A40216"/>
    <w:rsid w:val="00A40353"/>
    <w:rsid w:val="00A4058B"/>
    <w:rsid w:val="00A40656"/>
    <w:rsid w:val="00A4065A"/>
    <w:rsid w:val="00A407B9"/>
    <w:rsid w:val="00A40A49"/>
    <w:rsid w:val="00A40DAA"/>
    <w:rsid w:val="00A40E45"/>
    <w:rsid w:val="00A4151A"/>
    <w:rsid w:val="00A41D60"/>
    <w:rsid w:val="00A42350"/>
    <w:rsid w:val="00A424CD"/>
    <w:rsid w:val="00A429E2"/>
    <w:rsid w:val="00A42A5B"/>
    <w:rsid w:val="00A42CD5"/>
    <w:rsid w:val="00A42DCC"/>
    <w:rsid w:val="00A42E7F"/>
    <w:rsid w:val="00A43455"/>
    <w:rsid w:val="00A4368A"/>
    <w:rsid w:val="00A43716"/>
    <w:rsid w:val="00A43964"/>
    <w:rsid w:val="00A43AB3"/>
    <w:rsid w:val="00A43AC7"/>
    <w:rsid w:val="00A43D35"/>
    <w:rsid w:val="00A43F27"/>
    <w:rsid w:val="00A44213"/>
    <w:rsid w:val="00A446B0"/>
    <w:rsid w:val="00A44904"/>
    <w:rsid w:val="00A44E43"/>
    <w:rsid w:val="00A44EC6"/>
    <w:rsid w:val="00A451AB"/>
    <w:rsid w:val="00A45F45"/>
    <w:rsid w:val="00A46134"/>
    <w:rsid w:val="00A4641A"/>
    <w:rsid w:val="00A4651B"/>
    <w:rsid w:val="00A467C7"/>
    <w:rsid w:val="00A46812"/>
    <w:rsid w:val="00A46962"/>
    <w:rsid w:val="00A46ADC"/>
    <w:rsid w:val="00A46F54"/>
    <w:rsid w:val="00A4717B"/>
    <w:rsid w:val="00A4742D"/>
    <w:rsid w:val="00A4774F"/>
    <w:rsid w:val="00A4799C"/>
    <w:rsid w:val="00A5012F"/>
    <w:rsid w:val="00A503BA"/>
    <w:rsid w:val="00A503C7"/>
    <w:rsid w:val="00A507BB"/>
    <w:rsid w:val="00A51042"/>
    <w:rsid w:val="00A517BD"/>
    <w:rsid w:val="00A51A95"/>
    <w:rsid w:val="00A51F5F"/>
    <w:rsid w:val="00A52188"/>
    <w:rsid w:val="00A52297"/>
    <w:rsid w:val="00A5252F"/>
    <w:rsid w:val="00A527A4"/>
    <w:rsid w:val="00A528F1"/>
    <w:rsid w:val="00A52BE0"/>
    <w:rsid w:val="00A5328D"/>
    <w:rsid w:val="00A532B3"/>
    <w:rsid w:val="00A533EE"/>
    <w:rsid w:val="00A535C5"/>
    <w:rsid w:val="00A535DF"/>
    <w:rsid w:val="00A5396B"/>
    <w:rsid w:val="00A539B4"/>
    <w:rsid w:val="00A539CF"/>
    <w:rsid w:val="00A53A33"/>
    <w:rsid w:val="00A53B5E"/>
    <w:rsid w:val="00A53B67"/>
    <w:rsid w:val="00A54082"/>
    <w:rsid w:val="00A540D5"/>
    <w:rsid w:val="00A541EF"/>
    <w:rsid w:val="00A54476"/>
    <w:rsid w:val="00A54647"/>
    <w:rsid w:val="00A546FF"/>
    <w:rsid w:val="00A5477B"/>
    <w:rsid w:val="00A54B5A"/>
    <w:rsid w:val="00A54D29"/>
    <w:rsid w:val="00A54EA4"/>
    <w:rsid w:val="00A5589C"/>
    <w:rsid w:val="00A55C80"/>
    <w:rsid w:val="00A55C81"/>
    <w:rsid w:val="00A56411"/>
    <w:rsid w:val="00A56A15"/>
    <w:rsid w:val="00A56A23"/>
    <w:rsid w:val="00A56BBD"/>
    <w:rsid w:val="00A56DE1"/>
    <w:rsid w:val="00A56DF0"/>
    <w:rsid w:val="00A56E34"/>
    <w:rsid w:val="00A575AB"/>
    <w:rsid w:val="00A57618"/>
    <w:rsid w:val="00A57686"/>
    <w:rsid w:val="00A57C8D"/>
    <w:rsid w:val="00A602CD"/>
    <w:rsid w:val="00A6030F"/>
    <w:rsid w:val="00A6032B"/>
    <w:rsid w:val="00A6036A"/>
    <w:rsid w:val="00A60E29"/>
    <w:rsid w:val="00A60FC5"/>
    <w:rsid w:val="00A61317"/>
    <w:rsid w:val="00A6131C"/>
    <w:rsid w:val="00A615BF"/>
    <w:rsid w:val="00A6180C"/>
    <w:rsid w:val="00A618FF"/>
    <w:rsid w:val="00A6193B"/>
    <w:rsid w:val="00A619FD"/>
    <w:rsid w:val="00A61B4A"/>
    <w:rsid w:val="00A61BA2"/>
    <w:rsid w:val="00A61DB1"/>
    <w:rsid w:val="00A621E9"/>
    <w:rsid w:val="00A62542"/>
    <w:rsid w:val="00A629FE"/>
    <w:rsid w:val="00A62C04"/>
    <w:rsid w:val="00A62FCA"/>
    <w:rsid w:val="00A63112"/>
    <w:rsid w:val="00A634B6"/>
    <w:rsid w:val="00A63855"/>
    <w:rsid w:val="00A638F0"/>
    <w:rsid w:val="00A63A41"/>
    <w:rsid w:val="00A63AFC"/>
    <w:rsid w:val="00A63B64"/>
    <w:rsid w:val="00A63CA9"/>
    <w:rsid w:val="00A63D11"/>
    <w:rsid w:val="00A6478B"/>
    <w:rsid w:val="00A649A1"/>
    <w:rsid w:val="00A64C03"/>
    <w:rsid w:val="00A650C7"/>
    <w:rsid w:val="00A650FE"/>
    <w:rsid w:val="00A6530A"/>
    <w:rsid w:val="00A654DB"/>
    <w:rsid w:val="00A664D5"/>
    <w:rsid w:val="00A66740"/>
    <w:rsid w:val="00A66CB4"/>
    <w:rsid w:val="00A66EA4"/>
    <w:rsid w:val="00A67156"/>
    <w:rsid w:val="00A6757D"/>
    <w:rsid w:val="00A6762B"/>
    <w:rsid w:val="00A678D6"/>
    <w:rsid w:val="00A6797F"/>
    <w:rsid w:val="00A679F9"/>
    <w:rsid w:val="00A67B60"/>
    <w:rsid w:val="00A67BD5"/>
    <w:rsid w:val="00A67C04"/>
    <w:rsid w:val="00A67DC1"/>
    <w:rsid w:val="00A67F98"/>
    <w:rsid w:val="00A70176"/>
    <w:rsid w:val="00A705CA"/>
    <w:rsid w:val="00A70820"/>
    <w:rsid w:val="00A70BC8"/>
    <w:rsid w:val="00A70D35"/>
    <w:rsid w:val="00A7110B"/>
    <w:rsid w:val="00A7127A"/>
    <w:rsid w:val="00A71514"/>
    <w:rsid w:val="00A71AF9"/>
    <w:rsid w:val="00A71E28"/>
    <w:rsid w:val="00A72482"/>
    <w:rsid w:val="00A72491"/>
    <w:rsid w:val="00A72501"/>
    <w:rsid w:val="00A72907"/>
    <w:rsid w:val="00A72C2D"/>
    <w:rsid w:val="00A73091"/>
    <w:rsid w:val="00A73637"/>
    <w:rsid w:val="00A7385B"/>
    <w:rsid w:val="00A7389C"/>
    <w:rsid w:val="00A73C9E"/>
    <w:rsid w:val="00A73D0E"/>
    <w:rsid w:val="00A74086"/>
    <w:rsid w:val="00A74207"/>
    <w:rsid w:val="00A74CAA"/>
    <w:rsid w:val="00A75155"/>
    <w:rsid w:val="00A7516B"/>
    <w:rsid w:val="00A751CC"/>
    <w:rsid w:val="00A75D12"/>
    <w:rsid w:val="00A75D7B"/>
    <w:rsid w:val="00A75E9F"/>
    <w:rsid w:val="00A75FB2"/>
    <w:rsid w:val="00A7614F"/>
    <w:rsid w:val="00A762F6"/>
    <w:rsid w:val="00A764B8"/>
    <w:rsid w:val="00A76618"/>
    <w:rsid w:val="00A76AAA"/>
    <w:rsid w:val="00A76D58"/>
    <w:rsid w:val="00A76E95"/>
    <w:rsid w:val="00A77161"/>
    <w:rsid w:val="00A771AA"/>
    <w:rsid w:val="00A77216"/>
    <w:rsid w:val="00A77743"/>
    <w:rsid w:val="00A777DC"/>
    <w:rsid w:val="00A779B5"/>
    <w:rsid w:val="00A779E2"/>
    <w:rsid w:val="00A779FB"/>
    <w:rsid w:val="00A77B3C"/>
    <w:rsid w:val="00A80111"/>
    <w:rsid w:val="00A8051D"/>
    <w:rsid w:val="00A80595"/>
    <w:rsid w:val="00A8070A"/>
    <w:rsid w:val="00A807A1"/>
    <w:rsid w:val="00A80D36"/>
    <w:rsid w:val="00A80EC1"/>
    <w:rsid w:val="00A8107A"/>
    <w:rsid w:val="00A8120E"/>
    <w:rsid w:val="00A814E8"/>
    <w:rsid w:val="00A817AB"/>
    <w:rsid w:val="00A818BF"/>
    <w:rsid w:val="00A81ED2"/>
    <w:rsid w:val="00A82B07"/>
    <w:rsid w:val="00A82CBF"/>
    <w:rsid w:val="00A82F0C"/>
    <w:rsid w:val="00A83351"/>
    <w:rsid w:val="00A83485"/>
    <w:rsid w:val="00A838DB"/>
    <w:rsid w:val="00A838EE"/>
    <w:rsid w:val="00A8396D"/>
    <w:rsid w:val="00A83C9E"/>
    <w:rsid w:val="00A840AF"/>
    <w:rsid w:val="00A845A3"/>
    <w:rsid w:val="00A84783"/>
    <w:rsid w:val="00A849E1"/>
    <w:rsid w:val="00A84D83"/>
    <w:rsid w:val="00A84E27"/>
    <w:rsid w:val="00A85150"/>
    <w:rsid w:val="00A85317"/>
    <w:rsid w:val="00A8545A"/>
    <w:rsid w:val="00A855BA"/>
    <w:rsid w:val="00A857C1"/>
    <w:rsid w:val="00A85E04"/>
    <w:rsid w:val="00A86446"/>
    <w:rsid w:val="00A86CAC"/>
    <w:rsid w:val="00A86EB7"/>
    <w:rsid w:val="00A87079"/>
    <w:rsid w:val="00A87180"/>
    <w:rsid w:val="00A87529"/>
    <w:rsid w:val="00A87615"/>
    <w:rsid w:val="00A87BEB"/>
    <w:rsid w:val="00A87E3A"/>
    <w:rsid w:val="00A9001C"/>
    <w:rsid w:val="00A90640"/>
    <w:rsid w:val="00A90788"/>
    <w:rsid w:val="00A90CE1"/>
    <w:rsid w:val="00A90E6E"/>
    <w:rsid w:val="00A91310"/>
    <w:rsid w:val="00A915E9"/>
    <w:rsid w:val="00A91ADA"/>
    <w:rsid w:val="00A91D43"/>
    <w:rsid w:val="00A91FF2"/>
    <w:rsid w:val="00A9209A"/>
    <w:rsid w:val="00A92933"/>
    <w:rsid w:val="00A92AB4"/>
    <w:rsid w:val="00A92B78"/>
    <w:rsid w:val="00A931D0"/>
    <w:rsid w:val="00A93B58"/>
    <w:rsid w:val="00A93DD2"/>
    <w:rsid w:val="00A94401"/>
    <w:rsid w:val="00A945CE"/>
    <w:rsid w:val="00A94D0E"/>
    <w:rsid w:val="00A956FC"/>
    <w:rsid w:val="00A957D0"/>
    <w:rsid w:val="00A95882"/>
    <w:rsid w:val="00A95A20"/>
    <w:rsid w:val="00A95B05"/>
    <w:rsid w:val="00A95B79"/>
    <w:rsid w:val="00A95BC6"/>
    <w:rsid w:val="00A95BDB"/>
    <w:rsid w:val="00A95D28"/>
    <w:rsid w:val="00A95D2A"/>
    <w:rsid w:val="00A95FE1"/>
    <w:rsid w:val="00A96525"/>
    <w:rsid w:val="00A9682E"/>
    <w:rsid w:val="00A96D62"/>
    <w:rsid w:val="00A97193"/>
    <w:rsid w:val="00A9741F"/>
    <w:rsid w:val="00A97464"/>
    <w:rsid w:val="00A97784"/>
    <w:rsid w:val="00A979B9"/>
    <w:rsid w:val="00A979C3"/>
    <w:rsid w:val="00A97B85"/>
    <w:rsid w:val="00AA02C5"/>
    <w:rsid w:val="00AA0758"/>
    <w:rsid w:val="00AA09B7"/>
    <w:rsid w:val="00AA0A42"/>
    <w:rsid w:val="00AA0CAD"/>
    <w:rsid w:val="00AA0FC4"/>
    <w:rsid w:val="00AA1310"/>
    <w:rsid w:val="00AA1D16"/>
    <w:rsid w:val="00AA1FDF"/>
    <w:rsid w:val="00AA2193"/>
    <w:rsid w:val="00AA2398"/>
    <w:rsid w:val="00AA252E"/>
    <w:rsid w:val="00AA2792"/>
    <w:rsid w:val="00AA3300"/>
    <w:rsid w:val="00AA3523"/>
    <w:rsid w:val="00AA360C"/>
    <w:rsid w:val="00AA37CD"/>
    <w:rsid w:val="00AA3CA5"/>
    <w:rsid w:val="00AA41FA"/>
    <w:rsid w:val="00AA4295"/>
    <w:rsid w:val="00AA452D"/>
    <w:rsid w:val="00AA4F11"/>
    <w:rsid w:val="00AA4F89"/>
    <w:rsid w:val="00AA5109"/>
    <w:rsid w:val="00AA5228"/>
    <w:rsid w:val="00AA53BC"/>
    <w:rsid w:val="00AA5C48"/>
    <w:rsid w:val="00AA5F6A"/>
    <w:rsid w:val="00AA693F"/>
    <w:rsid w:val="00AA6974"/>
    <w:rsid w:val="00AA6CCF"/>
    <w:rsid w:val="00AA6F1F"/>
    <w:rsid w:val="00AA74DA"/>
    <w:rsid w:val="00AA750E"/>
    <w:rsid w:val="00AA786A"/>
    <w:rsid w:val="00AA7C84"/>
    <w:rsid w:val="00AA7CF2"/>
    <w:rsid w:val="00AB017B"/>
    <w:rsid w:val="00AB065B"/>
    <w:rsid w:val="00AB0C20"/>
    <w:rsid w:val="00AB0C23"/>
    <w:rsid w:val="00AB0DB5"/>
    <w:rsid w:val="00AB1013"/>
    <w:rsid w:val="00AB1159"/>
    <w:rsid w:val="00AB11F9"/>
    <w:rsid w:val="00AB133C"/>
    <w:rsid w:val="00AB188D"/>
    <w:rsid w:val="00AB195B"/>
    <w:rsid w:val="00AB1C1D"/>
    <w:rsid w:val="00AB1D60"/>
    <w:rsid w:val="00AB2023"/>
    <w:rsid w:val="00AB2096"/>
    <w:rsid w:val="00AB26AF"/>
    <w:rsid w:val="00AB26EE"/>
    <w:rsid w:val="00AB28D1"/>
    <w:rsid w:val="00AB2A76"/>
    <w:rsid w:val="00AB2BFC"/>
    <w:rsid w:val="00AB315D"/>
    <w:rsid w:val="00AB3223"/>
    <w:rsid w:val="00AB3976"/>
    <w:rsid w:val="00AB3992"/>
    <w:rsid w:val="00AB3AD5"/>
    <w:rsid w:val="00AB3FD8"/>
    <w:rsid w:val="00AB3FEB"/>
    <w:rsid w:val="00AB40D7"/>
    <w:rsid w:val="00AB410C"/>
    <w:rsid w:val="00AB4132"/>
    <w:rsid w:val="00AB4284"/>
    <w:rsid w:val="00AB4938"/>
    <w:rsid w:val="00AB4BF3"/>
    <w:rsid w:val="00AB51B7"/>
    <w:rsid w:val="00AB51FF"/>
    <w:rsid w:val="00AB54E8"/>
    <w:rsid w:val="00AB5560"/>
    <w:rsid w:val="00AB561B"/>
    <w:rsid w:val="00AB573E"/>
    <w:rsid w:val="00AB5B33"/>
    <w:rsid w:val="00AB5D66"/>
    <w:rsid w:val="00AB5FCE"/>
    <w:rsid w:val="00AB67CB"/>
    <w:rsid w:val="00AB6B7B"/>
    <w:rsid w:val="00AB6C1F"/>
    <w:rsid w:val="00AB705D"/>
    <w:rsid w:val="00AB70B2"/>
    <w:rsid w:val="00AB7115"/>
    <w:rsid w:val="00AB7343"/>
    <w:rsid w:val="00AB7B7F"/>
    <w:rsid w:val="00AB7F78"/>
    <w:rsid w:val="00AC0785"/>
    <w:rsid w:val="00AC07BF"/>
    <w:rsid w:val="00AC14A1"/>
    <w:rsid w:val="00AC15A7"/>
    <w:rsid w:val="00AC163C"/>
    <w:rsid w:val="00AC1705"/>
    <w:rsid w:val="00AC18B5"/>
    <w:rsid w:val="00AC18EB"/>
    <w:rsid w:val="00AC1C32"/>
    <w:rsid w:val="00AC1D67"/>
    <w:rsid w:val="00AC1D72"/>
    <w:rsid w:val="00AC1EC8"/>
    <w:rsid w:val="00AC1F1B"/>
    <w:rsid w:val="00AC1F83"/>
    <w:rsid w:val="00AC25E8"/>
    <w:rsid w:val="00AC33B0"/>
    <w:rsid w:val="00AC35DC"/>
    <w:rsid w:val="00AC3758"/>
    <w:rsid w:val="00AC3ECF"/>
    <w:rsid w:val="00AC42BC"/>
    <w:rsid w:val="00AC4488"/>
    <w:rsid w:val="00AC4F61"/>
    <w:rsid w:val="00AC51DE"/>
    <w:rsid w:val="00AC5422"/>
    <w:rsid w:val="00AC576E"/>
    <w:rsid w:val="00AC5ECC"/>
    <w:rsid w:val="00AC61C7"/>
    <w:rsid w:val="00AC6B4B"/>
    <w:rsid w:val="00AC6EDD"/>
    <w:rsid w:val="00AC6FCF"/>
    <w:rsid w:val="00AC7024"/>
    <w:rsid w:val="00AC70EF"/>
    <w:rsid w:val="00AC745F"/>
    <w:rsid w:val="00AC75A5"/>
    <w:rsid w:val="00AC781F"/>
    <w:rsid w:val="00AC7936"/>
    <w:rsid w:val="00AC7CC5"/>
    <w:rsid w:val="00AC7D36"/>
    <w:rsid w:val="00AC7F48"/>
    <w:rsid w:val="00AD040C"/>
    <w:rsid w:val="00AD0902"/>
    <w:rsid w:val="00AD0A01"/>
    <w:rsid w:val="00AD0A8D"/>
    <w:rsid w:val="00AD10C6"/>
    <w:rsid w:val="00AD13FC"/>
    <w:rsid w:val="00AD15D2"/>
    <w:rsid w:val="00AD1C02"/>
    <w:rsid w:val="00AD1F68"/>
    <w:rsid w:val="00AD2146"/>
    <w:rsid w:val="00AD21D9"/>
    <w:rsid w:val="00AD22C8"/>
    <w:rsid w:val="00AD267E"/>
    <w:rsid w:val="00AD279B"/>
    <w:rsid w:val="00AD2802"/>
    <w:rsid w:val="00AD2CC8"/>
    <w:rsid w:val="00AD2D2F"/>
    <w:rsid w:val="00AD2EEC"/>
    <w:rsid w:val="00AD2F05"/>
    <w:rsid w:val="00AD31C7"/>
    <w:rsid w:val="00AD3260"/>
    <w:rsid w:val="00AD3BDA"/>
    <w:rsid w:val="00AD40E6"/>
    <w:rsid w:val="00AD40E8"/>
    <w:rsid w:val="00AD459F"/>
    <w:rsid w:val="00AD46ED"/>
    <w:rsid w:val="00AD5198"/>
    <w:rsid w:val="00AD531B"/>
    <w:rsid w:val="00AD53B1"/>
    <w:rsid w:val="00AD53C9"/>
    <w:rsid w:val="00AD57B5"/>
    <w:rsid w:val="00AD5DD6"/>
    <w:rsid w:val="00AD6189"/>
    <w:rsid w:val="00AD643C"/>
    <w:rsid w:val="00AD6506"/>
    <w:rsid w:val="00AD68B3"/>
    <w:rsid w:val="00AD72AB"/>
    <w:rsid w:val="00AD7E1B"/>
    <w:rsid w:val="00AD7E91"/>
    <w:rsid w:val="00AE02C7"/>
    <w:rsid w:val="00AE044A"/>
    <w:rsid w:val="00AE06A8"/>
    <w:rsid w:val="00AE097A"/>
    <w:rsid w:val="00AE0BCE"/>
    <w:rsid w:val="00AE0D38"/>
    <w:rsid w:val="00AE1203"/>
    <w:rsid w:val="00AE1278"/>
    <w:rsid w:val="00AE1D0D"/>
    <w:rsid w:val="00AE1FD8"/>
    <w:rsid w:val="00AE2094"/>
    <w:rsid w:val="00AE2212"/>
    <w:rsid w:val="00AE23C8"/>
    <w:rsid w:val="00AE247B"/>
    <w:rsid w:val="00AE2669"/>
    <w:rsid w:val="00AE2991"/>
    <w:rsid w:val="00AE2C86"/>
    <w:rsid w:val="00AE2ED1"/>
    <w:rsid w:val="00AE3457"/>
    <w:rsid w:val="00AE35A6"/>
    <w:rsid w:val="00AE3AF8"/>
    <w:rsid w:val="00AE4138"/>
    <w:rsid w:val="00AE41A7"/>
    <w:rsid w:val="00AE437E"/>
    <w:rsid w:val="00AE45C0"/>
    <w:rsid w:val="00AE465F"/>
    <w:rsid w:val="00AE497E"/>
    <w:rsid w:val="00AE4BAA"/>
    <w:rsid w:val="00AE51BD"/>
    <w:rsid w:val="00AE5466"/>
    <w:rsid w:val="00AE5974"/>
    <w:rsid w:val="00AE5CE8"/>
    <w:rsid w:val="00AE5FF6"/>
    <w:rsid w:val="00AE6003"/>
    <w:rsid w:val="00AE60A2"/>
    <w:rsid w:val="00AE678A"/>
    <w:rsid w:val="00AE69BB"/>
    <w:rsid w:val="00AE7068"/>
    <w:rsid w:val="00AE72BF"/>
    <w:rsid w:val="00AE7740"/>
    <w:rsid w:val="00AE7842"/>
    <w:rsid w:val="00AE7982"/>
    <w:rsid w:val="00AE7B11"/>
    <w:rsid w:val="00AE7C18"/>
    <w:rsid w:val="00AE7E22"/>
    <w:rsid w:val="00AF01CC"/>
    <w:rsid w:val="00AF0D5B"/>
    <w:rsid w:val="00AF0F1B"/>
    <w:rsid w:val="00AF147D"/>
    <w:rsid w:val="00AF1548"/>
    <w:rsid w:val="00AF16B0"/>
    <w:rsid w:val="00AF1775"/>
    <w:rsid w:val="00AF1A3F"/>
    <w:rsid w:val="00AF1A7D"/>
    <w:rsid w:val="00AF1BC3"/>
    <w:rsid w:val="00AF1E86"/>
    <w:rsid w:val="00AF1F85"/>
    <w:rsid w:val="00AF2096"/>
    <w:rsid w:val="00AF20DC"/>
    <w:rsid w:val="00AF2819"/>
    <w:rsid w:val="00AF2AD8"/>
    <w:rsid w:val="00AF2BAB"/>
    <w:rsid w:val="00AF318C"/>
    <w:rsid w:val="00AF38A6"/>
    <w:rsid w:val="00AF3A8B"/>
    <w:rsid w:val="00AF3C28"/>
    <w:rsid w:val="00AF3D59"/>
    <w:rsid w:val="00AF3D86"/>
    <w:rsid w:val="00AF3DFC"/>
    <w:rsid w:val="00AF3E82"/>
    <w:rsid w:val="00AF4390"/>
    <w:rsid w:val="00AF43D5"/>
    <w:rsid w:val="00AF4465"/>
    <w:rsid w:val="00AF4722"/>
    <w:rsid w:val="00AF496F"/>
    <w:rsid w:val="00AF4C46"/>
    <w:rsid w:val="00AF53EC"/>
    <w:rsid w:val="00AF5735"/>
    <w:rsid w:val="00AF5BEC"/>
    <w:rsid w:val="00AF6133"/>
    <w:rsid w:val="00AF6E04"/>
    <w:rsid w:val="00AF6FFB"/>
    <w:rsid w:val="00AF705A"/>
    <w:rsid w:val="00AF7709"/>
    <w:rsid w:val="00AF7A30"/>
    <w:rsid w:val="00AF7A61"/>
    <w:rsid w:val="00B005DE"/>
    <w:rsid w:val="00B00636"/>
    <w:rsid w:val="00B00E24"/>
    <w:rsid w:val="00B01049"/>
    <w:rsid w:val="00B01113"/>
    <w:rsid w:val="00B013B2"/>
    <w:rsid w:val="00B01413"/>
    <w:rsid w:val="00B014C3"/>
    <w:rsid w:val="00B014F7"/>
    <w:rsid w:val="00B01573"/>
    <w:rsid w:val="00B01650"/>
    <w:rsid w:val="00B01DFA"/>
    <w:rsid w:val="00B02157"/>
    <w:rsid w:val="00B02317"/>
    <w:rsid w:val="00B0236C"/>
    <w:rsid w:val="00B029BB"/>
    <w:rsid w:val="00B02A3F"/>
    <w:rsid w:val="00B02B31"/>
    <w:rsid w:val="00B02E4B"/>
    <w:rsid w:val="00B030A0"/>
    <w:rsid w:val="00B0339E"/>
    <w:rsid w:val="00B03468"/>
    <w:rsid w:val="00B03524"/>
    <w:rsid w:val="00B03A54"/>
    <w:rsid w:val="00B03CBD"/>
    <w:rsid w:val="00B03E60"/>
    <w:rsid w:val="00B04038"/>
    <w:rsid w:val="00B04235"/>
    <w:rsid w:val="00B04239"/>
    <w:rsid w:val="00B04ACC"/>
    <w:rsid w:val="00B04DE3"/>
    <w:rsid w:val="00B04E0D"/>
    <w:rsid w:val="00B04F73"/>
    <w:rsid w:val="00B04F9D"/>
    <w:rsid w:val="00B05342"/>
    <w:rsid w:val="00B0557D"/>
    <w:rsid w:val="00B05AC4"/>
    <w:rsid w:val="00B05BC5"/>
    <w:rsid w:val="00B05D97"/>
    <w:rsid w:val="00B06176"/>
    <w:rsid w:val="00B06450"/>
    <w:rsid w:val="00B06636"/>
    <w:rsid w:val="00B0684D"/>
    <w:rsid w:val="00B06D97"/>
    <w:rsid w:val="00B06FDB"/>
    <w:rsid w:val="00B070D1"/>
    <w:rsid w:val="00B0750B"/>
    <w:rsid w:val="00B07539"/>
    <w:rsid w:val="00B076D7"/>
    <w:rsid w:val="00B07CD1"/>
    <w:rsid w:val="00B10035"/>
    <w:rsid w:val="00B101D1"/>
    <w:rsid w:val="00B107C5"/>
    <w:rsid w:val="00B10BF8"/>
    <w:rsid w:val="00B10E92"/>
    <w:rsid w:val="00B10F6F"/>
    <w:rsid w:val="00B11131"/>
    <w:rsid w:val="00B11465"/>
    <w:rsid w:val="00B114B5"/>
    <w:rsid w:val="00B11AEC"/>
    <w:rsid w:val="00B11BEC"/>
    <w:rsid w:val="00B11D4B"/>
    <w:rsid w:val="00B12D4D"/>
    <w:rsid w:val="00B13182"/>
    <w:rsid w:val="00B1321D"/>
    <w:rsid w:val="00B13336"/>
    <w:rsid w:val="00B13715"/>
    <w:rsid w:val="00B13956"/>
    <w:rsid w:val="00B13B46"/>
    <w:rsid w:val="00B13B6B"/>
    <w:rsid w:val="00B13EEF"/>
    <w:rsid w:val="00B140F2"/>
    <w:rsid w:val="00B14213"/>
    <w:rsid w:val="00B147D5"/>
    <w:rsid w:val="00B14D0F"/>
    <w:rsid w:val="00B15852"/>
    <w:rsid w:val="00B15C4C"/>
    <w:rsid w:val="00B15E9E"/>
    <w:rsid w:val="00B16965"/>
    <w:rsid w:val="00B16AA8"/>
    <w:rsid w:val="00B16AEF"/>
    <w:rsid w:val="00B1721E"/>
    <w:rsid w:val="00B173CC"/>
    <w:rsid w:val="00B1740D"/>
    <w:rsid w:val="00B176A6"/>
    <w:rsid w:val="00B177C7"/>
    <w:rsid w:val="00B17A51"/>
    <w:rsid w:val="00B17C8C"/>
    <w:rsid w:val="00B17EA7"/>
    <w:rsid w:val="00B2000C"/>
    <w:rsid w:val="00B20171"/>
    <w:rsid w:val="00B208DC"/>
    <w:rsid w:val="00B20B8F"/>
    <w:rsid w:val="00B20C19"/>
    <w:rsid w:val="00B20C62"/>
    <w:rsid w:val="00B21065"/>
    <w:rsid w:val="00B210F5"/>
    <w:rsid w:val="00B21545"/>
    <w:rsid w:val="00B217FE"/>
    <w:rsid w:val="00B2183F"/>
    <w:rsid w:val="00B21CFA"/>
    <w:rsid w:val="00B21DA3"/>
    <w:rsid w:val="00B21DB6"/>
    <w:rsid w:val="00B21F97"/>
    <w:rsid w:val="00B220ED"/>
    <w:rsid w:val="00B22286"/>
    <w:rsid w:val="00B222CB"/>
    <w:rsid w:val="00B22A6B"/>
    <w:rsid w:val="00B22CD8"/>
    <w:rsid w:val="00B22D1E"/>
    <w:rsid w:val="00B23626"/>
    <w:rsid w:val="00B2397E"/>
    <w:rsid w:val="00B23992"/>
    <w:rsid w:val="00B23A92"/>
    <w:rsid w:val="00B23E30"/>
    <w:rsid w:val="00B23F8F"/>
    <w:rsid w:val="00B23FE8"/>
    <w:rsid w:val="00B241C9"/>
    <w:rsid w:val="00B24239"/>
    <w:rsid w:val="00B24299"/>
    <w:rsid w:val="00B247FD"/>
    <w:rsid w:val="00B24838"/>
    <w:rsid w:val="00B2490E"/>
    <w:rsid w:val="00B24988"/>
    <w:rsid w:val="00B24A27"/>
    <w:rsid w:val="00B24C30"/>
    <w:rsid w:val="00B25131"/>
    <w:rsid w:val="00B251A7"/>
    <w:rsid w:val="00B255E6"/>
    <w:rsid w:val="00B25B40"/>
    <w:rsid w:val="00B25BCB"/>
    <w:rsid w:val="00B25F43"/>
    <w:rsid w:val="00B2644F"/>
    <w:rsid w:val="00B26928"/>
    <w:rsid w:val="00B26A75"/>
    <w:rsid w:val="00B26B20"/>
    <w:rsid w:val="00B26C44"/>
    <w:rsid w:val="00B26DA7"/>
    <w:rsid w:val="00B27787"/>
    <w:rsid w:val="00B27A0E"/>
    <w:rsid w:val="00B27BAA"/>
    <w:rsid w:val="00B27DD9"/>
    <w:rsid w:val="00B27F44"/>
    <w:rsid w:val="00B30147"/>
    <w:rsid w:val="00B3091F"/>
    <w:rsid w:val="00B30BA5"/>
    <w:rsid w:val="00B31062"/>
    <w:rsid w:val="00B31A8E"/>
    <w:rsid w:val="00B31B0B"/>
    <w:rsid w:val="00B31DA7"/>
    <w:rsid w:val="00B3215C"/>
    <w:rsid w:val="00B3223C"/>
    <w:rsid w:val="00B3253C"/>
    <w:rsid w:val="00B32638"/>
    <w:rsid w:val="00B32689"/>
    <w:rsid w:val="00B32CFF"/>
    <w:rsid w:val="00B33E10"/>
    <w:rsid w:val="00B3400C"/>
    <w:rsid w:val="00B34153"/>
    <w:rsid w:val="00B343B0"/>
    <w:rsid w:val="00B345BB"/>
    <w:rsid w:val="00B34744"/>
    <w:rsid w:val="00B34CF1"/>
    <w:rsid w:val="00B351DC"/>
    <w:rsid w:val="00B352B9"/>
    <w:rsid w:val="00B353C1"/>
    <w:rsid w:val="00B35413"/>
    <w:rsid w:val="00B35560"/>
    <w:rsid w:val="00B359F6"/>
    <w:rsid w:val="00B35B36"/>
    <w:rsid w:val="00B35D9E"/>
    <w:rsid w:val="00B35EE2"/>
    <w:rsid w:val="00B3638E"/>
    <w:rsid w:val="00B36776"/>
    <w:rsid w:val="00B36848"/>
    <w:rsid w:val="00B36896"/>
    <w:rsid w:val="00B36977"/>
    <w:rsid w:val="00B36CFF"/>
    <w:rsid w:val="00B36F8C"/>
    <w:rsid w:val="00B377BA"/>
    <w:rsid w:val="00B37CAF"/>
    <w:rsid w:val="00B37D4B"/>
    <w:rsid w:val="00B37F4F"/>
    <w:rsid w:val="00B37F7C"/>
    <w:rsid w:val="00B400AD"/>
    <w:rsid w:val="00B4019F"/>
    <w:rsid w:val="00B404F3"/>
    <w:rsid w:val="00B40638"/>
    <w:rsid w:val="00B40816"/>
    <w:rsid w:val="00B408A7"/>
    <w:rsid w:val="00B408DC"/>
    <w:rsid w:val="00B410BD"/>
    <w:rsid w:val="00B4117E"/>
    <w:rsid w:val="00B411BE"/>
    <w:rsid w:val="00B4135A"/>
    <w:rsid w:val="00B415F5"/>
    <w:rsid w:val="00B41902"/>
    <w:rsid w:val="00B41CA1"/>
    <w:rsid w:val="00B426AE"/>
    <w:rsid w:val="00B428C2"/>
    <w:rsid w:val="00B42BDE"/>
    <w:rsid w:val="00B430BD"/>
    <w:rsid w:val="00B436D0"/>
    <w:rsid w:val="00B43B60"/>
    <w:rsid w:val="00B43C7D"/>
    <w:rsid w:val="00B43CF9"/>
    <w:rsid w:val="00B43D8A"/>
    <w:rsid w:val="00B44054"/>
    <w:rsid w:val="00B4412C"/>
    <w:rsid w:val="00B448D5"/>
    <w:rsid w:val="00B448E8"/>
    <w:rsid w:val="00B448ED"/>
    <w:rsid w:val="00B44B49"/>
    <w:rsid w:val="00B44B67"/>
    <w:rsid w:val="00B45150"/>
    <w:rsid w:val="00B453B0"/>
    <w:rsid w:val="00B456D9"/>
    <w:rsid w:val="00B4580F"/>
    <w:rsid w:val="00B45AA7"/>
    <w:rsid w:val="00B45F41"/>
    <w:rsid w:val="00B4614A"/>
    <w:rsid w:val="00B4642F"/>
    <w:rsid w:val="00B4658B"/>
    <w:rsid w:val="00B467A8"/>
    <w:rsid w:val="00B46A0A"/>
    <w:rsid w:val="00B46A84"/>
    <w:rsid w:val="00B46E97"/>
    <w:rsid w:val="00B4763D"/>
    <w:rsid w:val="00B477A9"/>
    <w:rsid w:val="00B47C1C"/>
    <w:rsid w:val="00B47F9D"/>
    <w:rsid w:val="00B5023B"/>
    <w:rsid w:val="00B50A81"/>
    <w:rsid w:val="00B50C57"/>
    <w:rsid w:val="00B50C7E"/>
    <w:rsid w:val="00B50D20"/>
    <w:rsid w:val="00B50D82"/>
    <w:rsid w:val="00B50E49"/>
    <w:rsid w:val="00B50E60"/>
    <w:rsid w:val="00B5108E"/>
    <w:rsid w:val="00B510F3"/>
    <w:rsid w:val="00B513E9"/>
    <w:rsid w:val="00B5147E"/>
    <w:rsid w:val="00B51564"/>
    <w:rsid w:val="00B517D0"/>
    <w:rsid w:val="00B51880"/>
    <w:rsid w:val="00B5242A"/>
    <w:rsid w:val="00B5262B"/>
    <w:rsid w:val="00B527A8"/>
    <w:rsid w:val="00B52A87"/>
    <w:rsid w:val="00B531B0"/>
    <w:rsid w:val="00B53294"/>
    <w:rsid w:val="00B5337E"/>
    <w:rsid w:val="00B533B4"/>
    <w:rsid w:val="00B53467"/>
    <w:rsid w:val="00B53A2D"/>
    <w:rsid w:val="00B542B9"/>
    <w:rsid w:val="00B549F6"/>
    <w:rsid w:val="00B54BF2"/>
    <w:rsid w:val="00B54D85"/>
    <w:rsid w:val="00B550E4"/>
    <w:rsid w:val="00B5528E"/>
    <w:rsid w:val="00B552C5"/>
    <w:rsid w:val="00B55422"/>
    <w:rsid w:val="00B55D41"/>
    <w:rsid w:val="00B55D8C"/>
    <w:rsid w:val="00B5657E"/>
    <w:rsid w:val="00B56E17"/>
    <w:rsid w:val="00B5716D"/>
    <w:rsid w:val="00B57223"/>
    <w:rsid w:val="00B5731F"/>
    <w:rsid w:val="00B573B6"/>
    <w:rsid w:val="00B57C3F"/>
    <w:rsid w:val="00B57E36"/>
    <w:rsid w:val="00B6035F"/>
    <w:rsid w:val="00B6072D"/>
    <w:rsid w:val="00B60D3C"/>
    <w:rsid w:val="00B60D63"/>
    <w:rsid w:val="00B61012"/>
    <w:rsid w:val="00B6119F"/>
    <w:rsid w:val="00B61335"/>
    <w:rsid w:val="00B613AE"/>
    <w:rsid w:val="00B6153B"/>
    <w:rsid w:val="00B6193B"/>
    <w:rsid w:val="00B61E80"/>
    <w:rsid w:val="00B6206B"/>
    <w:rsid w:val="00B620DD"/>
    <w:rsid w:val="00B62E76"/>
    <w:rsid w:val="00B6313C"/>
    <w:rsid w:val="00B6385A"/>
    <w:rsid w:val="00B63C16"/>
    <w:rsid w:val="00B63CB5"/>
    <w:rsid w:val="00B63DFE"/>
    <w:rsid w:val="00B63E2F"/>
    <w:rsid w:val="00B64303"/>
    <w:rsid w:val="00B6431E"/>
    <w:rsid w:val="00B648C1"/>
    <w:rsid w:val="00B649C9"/>
    <w:rsid w:val="00B64BCA"/>
    <w:rsid w:val="00B64D1B"/>
    <w:rsid w:val="00B6525D"/>
    <w:rsid w:val="00B660E9"/>
    <w:rsid w:val="00B66135"/>
    <w:rsid w:val="00B661A5"/>
    <w:rsid w:val="00B6637C"/>
    <w:rsid w:val="00B663F7"/>
    <w:rsid w:val="00B667D5"/>
    <w:rsid w:val="00B66A95"/>
    <w:rsid w:val="00B66D46"/>
    <w:rsid w:val="00B66F13"/>
    <w:rsid w:val="00B673F9"/>
    <w:rsid w:val="00B67685"/>
    <w:rsid w:val="00B6769B"/>
    <w:rsid w:val="00B67869"/>
    <w:rsid w:val="00B70070"/>
    <w:rsid w:val="00B7015B"/>
    <w:rsid w:val="00B70917"/>
    <w:rsid w:val="00B70C53"/>
    <w:rsid w:val="00B70F5E"/>
    <w:rsid w:val="00B714C7"/>
    <w:rsid w:val="00B7160D"/>
    <w:rsid w:val="00B71A0C"/>
    <w:rsid w:val="00B71E23"/>
    <w:rsid w:val="00B71F1E"/>
    <w:rsid w:val="00B71F5D"/>
    <w:rsid w:val="00B7208A"/>
    <w:rsid w:val="00B7214A"/>
    <w:rsid w:val="00B72D75"/>
    <w:rsid w:val="00B73A00"/>
    <w:rsid w:val="00B742B4"/>
    <w:rsid w:val="00B743C9"/>
    <w:rsid w:val="00B7497A"/>
    <w:rsid w:val="00B74BC5"/>
    <w:rsid w:val="00B74CB1"/>
    <w:rsid w:val="00B74E44"/>
    <w:rsid w:val="00B74EE1"/>
    <w:rsid w:val="00B751B8"/>
    <w:rsid w:val="00B751CC"/>
    <w:rsid w:val="00B75608"/>
    <w:rsid w:val="00B7581D"/>
    <w:rsid w:val="00B75C78"/>
    <w:rsid w:val="00B75E8D"/>
    <w:rsid w:val="00B76327"/>
    <w:rsid w:val="00B76568"/>
    <w:rsid w:val="00B769C6"/>
    <w:rsid w:val="00B76F2D"/>
    <w:rsid w:val="00B77209"/>
    <w:rsid w:val="00B7773E"/>
    <w:rsid w:val="00B77AB2"/>
    <w:rsid w:val="00B77E13"/>
    <w:rsid w:val="00B77E5E"/>
    <w:rsid w:val="00B77EF6"/>
    <w:rsid w:val="00B80003"/>
    <w:rsid w:val="00B80008"/>
    <w:rsid w:val="00B805AE"/>
    <w:rsid w:val="00B80723"/>
    <w:rsid w:val="00B807B8"/>
    <w:rsid w:val="00B807E5"/>
    <w:rsid w:val="00B80F68"/>
    <w:rsid w:val="00B810D6"/>
    <w:rsid w:val="00B8119F"/>
    <w:rsid w:val="00B81241"/>
    <w:rsid w:val="00B81771"/>
    <w:rsid w:val="00B81930"/>
    <w:rsid w:val="00B819B1"/>
    <w:rsid w:val="00B81CD5"/>
    <w:rsid w:val="00B81F67"/>
    <w:rsid w:val="00B820B8"/>
    <w:rsid w:val="00B820EB"/>
    <w:rsid w:val="00B8233F"/>
    <w:rsid w:val="00B82398"/>
    <w:rsid w:val="00B8261F"/>
    <w:rsid w:val="00B82B94"/>
    <w:rsid w:val="00B82F88"/>
    <w:rsid w:val="00B8302B"/>
    <w:rsid w:val="00B833C9"/>
    <w:rsid w:val="00B8362A"/>
    <w:rsid w:val="00B83D46"/>
    <w:rsid w:val="00B8414C"/>
    <w:rsid w:val="00B845E2"/>
    <w:rsid w:val="00B8488B"/>
    <w:rsid w:val="00B84980"/>
    <w:rsid w:val="00B84BDB"/>
    <w:rsid w:val="00B84BDD"/>
    <w:rsid w:val="00B84C05"/>
    <w:rsid w:val="00B84FE6"/>
    <w:rsid w:val="00B85118"/>
    <w:rsid w:val="00B856CD"/>
    <w:rsid w:val="00B85EA4"/>
    <w:rsid w:val="00B863A7"/>
    <w:rsid w:val="00B8662D"/>
    <w:rsid w:val="00B8695D"/>
    <w:rsid w:val="00B86A50"/>
    <w:rsid w:val="00B86AAE"/>
    <w:rsid w:val="00B86D4B"/>
    <w:rsid w:val="00B86E25"/>
    <w:rsid w:val="00B87374"/>
    <w:rsid w:val="00B87487"/>
    <w:rsid w:val="00B879BA"/>
    <w:rsid w:val="00B87BDE"/>
    <w:rsid w:val="00B87CF7"/>
    <w:rsid w:val="00B90087"/>
    <w:rsid w:val="00B90332"/>
    <w:rsid w:val="00B9076D"/>
    <w:rsid w:val="00B907DA"/>
    <w:rsid w:val="00B909D0"/>
    <w:rsid w:val="00B909F4"/>
    <w:rsid w:val="00B90B05"/>
    <w:rsid w:val="00B90B71"/>
    <w:rsid w:val="00B90CE1"/>
    <w:rsid w:val="00B90CEC"/>
    <w:rsid w:val="00B90E9E"/>
    <w:rsid w:val="00B9130E"/>
    <w:rsid w:val="00B9137F"/>
    <w:rsid w:val="00B913EA"/>
    <w:rsid w:val="00B9144C"/>
    <w:rsid w:val="00B91E13"/>
    <w:rsid w:val="00B91F1B"/>
    <w:rsid w:val="00B9207F"/>
    <w:rsid w:val="00B92182"/>
    <w:rsid w:val="00B92641"/>
    <w:rsid w:val="00B928AE"/>
    <w:rsid w:val="00B9295B"/>
    <w:rsid w:val="00B92EB0"/>
    <w:rsid w:val="00B93764"/>
    <w:rsid w:val="00B93A1D"/>
    <w:rsid w:val="00B93A8A"/>
    <w:rsid w:val="00B93AC4"/>
    <w:rsid w:val="00B93D9E"/>
    <w:rsid w:val="00B93DE5"/>
    <w:rsid w:val="00B9406A"/>
    <w:rsid w:val="00B9407A"/>
    <w:rsid w:val="00B94778"/>
    <w:rsid w:val="00B948ED"/>
    <w:rsid w:val="00B94AD2"/>
    <w:rsid w:val="00B94D42"/>
    <w:rsid w:val="00B96072"/>
    <w:rsid w:val="00B963CA"/>
    <w:rsid w:val="00B96420"/>
    <w:rsid w:val="00B965F8"/>
    <w:rsid w:val="00B966B4"/>
    <w:rsid w:val="00B96EC0"/>
    <w:rsid w:val="00B96FAF"/>
    <w:rsid w:val="00B97453"/>
    <w:rsid w:val="00B9764C"/>
    <w:rsid w:val="00B9770A"/>
    <w:rsid w:val="00B9786D"/>
    <w:rsid w:val="00B97A2B"/>
    <w:rsid w:val="00BA004C"/>
    <w:rsid w:val="00BA02CE"/>
    <w:rsid w:val="00BA030D"/>
    <w:rsid w:val="00BA0374"/>
    <w:rsid w:val="00BA0478"/>
    <w:rsid w:val="00BA049D"/>
    <w:rsid w:val="00BA0578"/>
    <w:rsid w:val="00BA05C0"/>
    <w:rsid w:val="00BA0959"/>
    <w:rsid w:val="00BA0B2C"/>
    <w:rsid w:val="00BA119F"/>
    <w:rsid w:val="00BA1233"/>
    <w:rsid w:val="00BA1BEB"/>
    <w:rsid w:val="00BA1EC5"/>
    <w:rsid w:val="00BA1FAF"/>
    <w:rsid w:val="00BA236F"/>
    <w:rsid w:val="00BA23E1"/>
    <w:rsid w:val="00BA24A1"/>
    <w:rsid w:val="00BA270F"/>
    <w:rsid w:val="00BA3229"/>
    <w:rsid w:val="00BA32C0"/>
    <w:rsid w:val="00BA350F"/>
    <w:rsid w:val="00BA3CAD"/>
    <w:rsid w:val="00BA3E59"/>
    <w:rsid w:val="00BA40FE"/>
    <w:rsid w:val="00BA42F5"/>
    <w:rsid w:val="00BA4685"/>
    <w:rsid w:val="00BA4689"/>
    <w:rsid w:val="00BA47FE"/>
    <w:rsid w:val="00BA4ACD"/>
    <w:rsid w:val="00BA4B16"/>
    <w:rsid w:val="00BA4C3D"/>
    <w:rsid w:val="00BA50F2"/>
    <w:rsid w:val="00BA576E"/>
    <w:rsid w:val="00BA57F8"/>
    <w:rsid w:val="00BA5D48"/>
    <w:rsid w:val="00BA61CE"/>
    <w:rsid w:val="00BA6495"/>
    <w:rsid w:val="00BA678A"/>
    <w:rsid w:val="00BA6E8B"/>
    <w:rsid w:val="00BA7370"/>
    <w:rsid w:val="00BA7ADD"/>
    <w:rsid w:val="00BA7B9D"/>
    <w:rsid w:val="00BA7BBD"/>
    <w:rsid w:val="00BA7D1D"/>
    <w:rsid w:val="00BB027F"/>
    <w:rsid w:val="00BB0287"/>
    <w:rsid w:val="00BB02D0"/>
    <w:rsid w:val="00BB0601"/>
    <w:rsid w:val="00BB0980"/>
    <w:rsid w:val="00BB0D72"/>
    <w:rsid w:val="00BB10F5"/>
    <w:rsid w:val="00BB1150"/>
    <w:rsid w:val="00BB119E"/>
    <w:rsid w:val="00BB1202"/>
    <w:rsid w:val="00BB14A9"/>
    <w:rsid w:val="00BB16C5"/>
    <w:rsid w:val="00BB19D6"/>
    <w:rsid w:val="00BB1A98"/>
    <w:rsid w:val="00BB1CE7"/>
    <w:rsid w:val="00BB231A"/>
    <w:rsid w:val="00BB26F3"/>
    <w:rsid w:val="00BB292F"/>
    <w:rsid w:val="00BB2C0E"/>
    <w:rsid w:val="00BB2D27"/>
    <w:rsid w:val="00BB2F52"/>
    <w:rsid w:val="00BB3475"/>
    <w:rsid w:val="00BB38F6"/>
    <w:rsid w:val="00BB3B00"/>
    <w:rsid w:val="00BB3B10"/>
    <w:rsid w:val="00BB3C58"/>
    <w:rsid w:val="00BB3CF5"/>
    <w:rsid w:val="00BB3D4A"/>
    <w:rsid w:val="00BB3F64"/>
    <w:rsid w:val="00BB4361"/>
    <w:rsid w:val="00BB448E"/>
    <w:rsid w:val="00BB455F"/>
    <w:rsid w:val="00BB457C"/>
    <w:rsid w:val="00BB45EA"/>
    <w:rsid w:val="00BB46B7"/>
    <w:rsid w:val="00BB46F7"/>
    <w:rsid w:val="00BB4BFA"/>
    <w:rsid w:val="00BB4DE7"/>
    <w:rsid w:val="00BB4F1F"/>
    <w:rsid w:val="00BB509D"/>
    <w:rsid w:val="00BB53DD"/>
    <w:rsid w:val="00BB5698"/>
    <w:rsid w:val="00BB5939"/>
    <w:rsid w:val="00BB6A3C"/>
    <w:rsid w:val="00BB6D76"/>
    <w:rsid w:val="00BB745C"/>
    <w:rsid w:val="00BB79CF"/>
    <w:rsid w:val="00BC0096"/>
    <w:rsid w:val="00BC0CC6"/>
    <w:rsid w:val="00BC0F2A"/>
    <w:rsid w:val="00BC13D7"/>
    <w:rsid w:val="00BC18AF"/>
    <w:rsid w:val="00BC18EB"/>
    <w:rsid w:val="00BC1930"/>
    <w:rsid w:val="00BC1ECB"/>
    <w:rsid w:val="00BC20C6"/>
    <w:rsid w:val="00BC21FE"/>
    <w:rsid w:val="00BC2349"/>
    <w:rsid w:val="00BC265C"/>
    <w:rsid w:val="00BC2999"/>
    <w:rsid w:val="00BC29F4"/>
    <w:rsid w:val="00BC3194"/>
    <w:rsid w:val="00BC346E"/>
    <w:rsid w:val="00BC35BB"/>
    <w:rsid w:val="00BC4628"/>
    <w:rsid w:val="00BC4C74"/>
    <w:rsid w:val="00BC4E19"/>
    <w:rsid w:val="00BC4EA1"/>
    <w:rsid w:val="00BC50AA"/>
    <w:rsid w:val="00BC54FA"/>
    <w:rsid w:val="00BC56B6"/>
    <w:rsid w:val="00BC5864"/>
    <w:rsid w:val="00BC6099"/>
    <w:rsid w:val="00BC61E1"/>
    <w:rsid w:val="00BC68EF"/>
    <w:rsid w:val="00BC691C"/>
    <w:rsid w:val="00BC6B16"/>
    <w:rsid w:val="00BC6B37"/>
    <w:rsid w:val="00BC6CC4"/>
    <w:rsid w:val="00BC6FC3"/>
    <w:rsid w:val="00BC72FB"/>
    <w:rsid w:val="00BC7928"/>
    <w:rsid w:val="00BC7CF9"/>
    <w:rsid w:val="00BC7FCB"/>
    <w:rsid w:val="00BD0388"/>
    <w:rsid w:val="00BD0883"/>
    <w:rsid w:val="00BD0A53"/>
    <w:rsid w:val="00BD1519"/>
    <w:rsid w:val="00BD1D43"/>
    <w:rsid w:val="00BD1F29"/>
    <w:rsid w:val="00BD20E7"/>
    <w:rsid w:val="00BD24D7"/>
    <w:rsid w:val="00BD2973"/>
    <w:rsid w:val="00BD29EF"/>
    <w:rsid w:val="00BD2A49"/>
    <w:rsid w:val="00BD2F8E"/>
    <w:rsid w:val="00BD30D2"/>
    <w:rsid w:val="00BD364E"/>
    <w:rsid w:val="00BD3B89"/>
    <w:rsid w:val="00BD3C9E"/>
    <w:rsid w:val="00BD3E96"/>
    <w:rsid w:val="00BD3F75"/>
    <w:rsid w:val="00BD41A1"/>
    <w:rsid w:val="00BD4585"/>
    <w:rsid w:val="00BD4714"/>
    <w:rsid w:val="00BD4735"/>
    <w:rsid w:val="00BD4A9D"/>
    <w:rsid w:val="00BD4D88"/>
    <w:rsid w:val="00BD4FF1"/>
    <w:rsid w:val="00BD507F"/>
    <w:rsid w:val="00BD5335"/>
    <w:rsid w:val="00BD5408"/>
    <w:rsid w:val="00BD5563"/>
    <w:rsid w:val="00BD56D5"/>
    <w:rsid w:val="00BD5B6B"/>
    <w:rsid w:val="00BD5D98"/>
    <w:rsid w:val="00BD6043"/>
    <w:rsid w:val="00BD62C8"/>
    <w:rsid w:val="00BD62DC"/>
    <w:rsid w:val="00BD6357"/>
    <w:rsid w:val="00BD6646"/>
    <w:rsid w:val="00BD66EC"/>
    <w:rsid w:val="00BD6A91"/>
    <w:rsid w:val="00BD6FC1"/>
    <w:rsid w:val="00BD6FF5"/>
    <w:rsid w:val="00BD710E"/>
    <w:rsid w:val="00BD79E0"/>
    <w:rsid w:val="00BD7CE8"/>
    <w:rsid w:val="00BD7D55"/>
    <w:rsid w:val="00BE0070"/>
    <w:rsid w:val="00BE038A"/>
    <w:rsid w:val="00BE04CF"/>
    <w:rsid w:val="00BE0768"/>
    <w:rsid w:val="00BE1400"/>
    <w:rsid w:val="00BE1F5A"/>
    <w:rsid w:val="00BE25AA"/>
    <w:rsid w:val="00BE2672"/>
    <w:rsid w:val="00BE2B1E"/>
    <w:rsid w:val="00BE2B90"/>
    <w:rsid w:val="00BE2C56"/>
    <w:rsid w:val="00BE2FCF"/>
    <w:rsid w:val="00BE3114"/>
    <w:rsid w:val="00BE315D"/>
    <w:rsid w:val="00BE32B3"/>
    <w:rsid w:val="00BE3524"/>
    <w:rsid w:val="00BE37DE"/>
    <w:rsid w:val="00BE3B43"/>
    <w:rsid w:val="00BE3FBF"/>
    <w:rsid w:val="00BE410A"/>
    <w:rsid w:val="00BE4178"/>
    <w:rsid w:val="00BE418F"/>
    <w:rsid w:val="00BE4393"/>
    <w:rsid w:val="00BE4401"/>
    <w:rsid w:val="00BE4458"/>
    <w:rsid w:val="00BE44F4"/>
    <w:rsid w:val="00BE460B"/>
    <w:rsid w:val="00BE46B1"/>
    <w:rsid w:val="00BE472E"/>
    <w:rsid w:val="00BE4C23"/>
    <w:rsid w:val="00BE4FF4"/>
    <w:rsid w:val="00BE50A0"/>
    <w:rsid w:val="00BE5132"/>
    <w:rsid w:val="00BE5886"/>
    <w:rsid w:val="00BE58FB"/>
    <w:rsid w:val="00BE5A16"/>
    <w:rsid w:val="00BE5DCA"/>
    <w:rsid w:val="00BE6736"/>
    <w:rsid w:val="00BE67E2"/>
    <w:rsid w:val="00BE6C48"/>
    <w:rsid w:val="00BE76FA"/>
    <w:rsid w:val="00BE7988"/>
    <w:rsid w:val="00BE7A70"/>
    <w:rsid w:val="00BE7AAE"/>
    <w:rsid w:val="00BE7B6A"/>
    <w:rsid w:val="00BE7E5D"/>
    <w:rsid w:val="00BE7E71"/>
    <w:rsid w:val="00BE7F53"/>
    <w:rsid w:val="00BF06B1"/>
    <w:rsid w:val="00BF0C10"/>
    <w:rsid w:val="00BF0C1A"/>
    <w:rsid w:val="00BF102B"/>
    <w:rsid w:val="00BF1463"/>
    <w:rsid w:val="00BF1502"/>
    <w:rsid w:val="00BF160F"/>
    <w:rsid w:val="00BF16AA"/>
    <w:rsid w:val="00BF179D"/>
    <w:rsid w:val="00BF1892"/>
    <w:rsid w:val="00BF1987"/>
    <w:rsid w:val="00BF20FB"/>
    <w:rsid w:val="00BF2104"/>
    <w:rsid w:val="00BF218F"/>
    <w:rsid w:val="00BF2529"/>
    <w:rsid w:val="00BF29B2"/>
    <w:rsid w:val="00BF2B23"/>
    <w:rsid w:val="00BF2E13"/>
    <w:rsid w:val="00BF30B8"/>
    <w:rsid w:val="00BF30BB"/>
    <w:rsid w:val="00BF30BF"/>
    <w:rsid w:val="00BF367D"/>
    <w:rsid w:val="00BF36A3"/>
    <w:rsid w:val="00BF3DBD"/>
    <w:rsid w:val="00BF3DF3"/>
    <w:rsid w:val="00BF46BE"/>
    <w:rsid w:val="00BF4869"/>
    <w:rsid w:val="00BF4B17"/>
    <w:rsid w:val="00BF5098"/>
    <w:rsid w:val="00BF5121"/>
    <w:rsid w:val="00BF56F9"/>
    <w:rsid w:val="00BF58A0"/>
    <w:rsid w:val="00BF5CEC"/>
    <w:rsid w:val="00BF6367"/>
    <w:rsid w:val="00BF6412"/>
    <w:rsid w:val="00BF6470"/>
    <w:rsid w:val="00BF69C6"/>
    <w:rsid w:val="00BF6A60"/>
    <w:rsid w:val="00BF7820"/>
    <w:rsid w:val="00BF798E"/>
    <w:rsid w:val="00BF7C7E"/>
    <w:rsid w:val="00BF7CD8"/>
    <w:rsid w:val="00BF7E17"/>
    <w:rsid w:val="00BF7E44"/>
    <w:rsid w:val="00BF7F10"/>
    <w:rsid w:val="00C0003A"/>
    <w:rsid w:val="00C00349"/>
    <w:rsid w:val="00C00449"/>
    <w:rsid w:val="00C0044A"/>
    <w:rsid w:val="00C005CA"/>
    <w:rsid w:val="00C00B4E"/>
    <w:rsid w:val="00C00FD8"/>
    <w:rsid w:val="00C0113B"/>
    <w:rsid w:val="00C01250"/>
    <w:rsid w:val="00C01542"/>
    <w:rsid w:val="00C01609"/>
    <w:rsid w:val="00C0293F"/>
    <w:rsid w:val="00C02BAC"/>
    <w:rsid w:val="00C02CAE"/>
    <w:rsid w:val="00C02D43"/>
    <w:rsid w:val="00C031B1"/>
    <w:rsid w:val="00C031BE"/>
    <w:rsid w:val="00C032C9"/>
    <w:rsid w:val="00C033B0"/>
    <w:rsid w:val="00C03B19"/>
    <w:rsid w:val="00C03D1A"/>
    <w:rsid w:val="00C0401D"/>
    <w:rsid w:val="00C04332"/>
    <w:rsid w:val="00C045B1"/>
    <w:rsid w:val="00C0480E"/>
    <w:rsid w:val="00C0492C"/>
    <w:rsid w:val="00C04DAF"/>
    <w:rsid w:val="00C04F91"/>
    <w:rsid w:val="00C0506E"/>
    <w:rsid w:val="00C0543F"/>
    <w:rsid w:val="00C05486"/>
    <w:rsid w:val="00C058A4"/>
    <w:rsid w:val="00C05918"/>
    <w:rsid w:val="00C05C86"/>
    <w:rsid w:val="00C05D42"/>
    <w:rsid w:val="00C05E2B"/>
    <w:rsid w:val="00C0606D"/>
    <w:rsid w:val="00C06464"/>
    <w:rsid w:val="00C071FA"/>
    <w:rsid w:val="00C07AF0"/>
    <w:rsid w:val="00C07BBD"/>
    <w:rsid w:val="00C07C37"/>
    <w:rsid w:val="00C07C82"/>
    <w:rsid w:val="00C07CD4"/>
    <w:rsid w:val="00C1011F"/>
    <w:rsid w:val="00C10A94"/>
    <w:rsid w:val="00C10F2F"/>
    <w:rsid w:val="00C1168A"/>
    <w:rsid w:val="00C118B2"/>
    <w:rsid w:val="00C11FE0"/>
    <w:rsid w:val="00C12660"/>
    <w:rsid w:val="00C12745"/>
    <w:rsid w:val="00C127D8"/>
    <w:rsid w:val="00C12C83"/>
    <w:rsid w:val="00C12F1E"/>
    <w:rsid w:val="00C13270"/>
    <w:rsid w:val="00C1338D"/>
    <w:rsid w:val="00C13563"/>
    <w:rsid w:val="00C137E2"/>
    <w:rsid w:val="00C13B1F"/>
    <w:rsid w:val="00C13D24"/>
    <w:rsid w:val="00C13D84"/>
    <w:rsid w:val="00C13FDE"/>
    <w:rsid w:val="00C14167"/>
    <w:rsid w:val="00C14882"/>
    <w:rsid w:val="00C14A6B"/>
    <w:rsid w:val="00C14E18"/>
    <w:rsid w:val="00C154CB"/>
    <w:rsid w:val="00C154F6"/>
    <w:rsid w:val="00C15571"/>
    <w:rsid w:val="00C1579E"/>
    <w:rsid w:val="00C15D20"/>
    <w:rsid w:val="00C15E2A"/>
    <w:rsid w:val="00C15E55"/>
    <w:rsid w:val="00C15F78"/>
    <w:rsid w:val="00C1605B"/>
    <w:rsid w:val="00C160FA"/>
    <w:rsid w:val="00C164B9"/>
    <w:rsid w:val="00C1665F"/>
    <w:rsid w:val="00C166D6"/>
    <w:rsid w:val="00C16B24"/>
    <w:rsid w:val="00C16D7F"/>
    <w:rsid w:val="00C16E00"/>
    <w:rsid w:val="00C16E9C"/>
    <w:rsid w:val="00C1706C"/>
    <w:rsid w:val="00C173CA"/>
    <w:rsid w:val="00C1748D"/>
    <w:rsid w:val="00C179C4"/>
    <w:rsid w:val="00C17BB0"/>
    <w:rsid w:val="00C17D87"/>
    <w:rsid w:val="00C2008D"/>
    <w:rsid w:val="00C201D5"/>
    <w:rsid w:val="00C20441"/>
    <w:rsid w:val="00C20465"/>
    <w:rsid w:val="00C204F6"/>
    <w:rsid w:val="00C205AE"/>
    <w:rsid w:val="00C2068E"/>
    <w:rsid w:val="00C2073C"/>
    <w:rsid w:val="00C207C8"/>
    <w:rsid w:val="00C20AED"/>
    <w:rsid w:val="00C20B1A"/>
    <w:rsid w:val="00C20B20"/>
    <w:rsid w:val="00C20C9B"/>
    <w:rsid w:val="00C20EF2"/>
    <w:rsid w:val="00C210A0"/>
    <w:rsid w:val="00C212DC"/>
    <w:rsid w:val="00C2137D"/>
    <w:rsid w:val="00C219A5"/>
    <w:rsid w:val="00C21E5C"/>
    <w:rsid w:val="00C220F0"/>
    <w:rsid w:val="00C221A1"/>
    <w:rsid w:val="00C22602"/>
    <w:rsid w:val="00C22B66"/>
    <w:rsid w:val="00C22CF4"/>
    <w:rsid w:val="00C22CF9"/>
    <w:rsid w:val="00C231DD"/>
    <w:rsid w:val="00C235E9"/>
    <w:rsid w:val="00C2366A"/>
    <w:rsid w:val="00C2369E"/>
    <w:rsid w:val="00C23868"/>
    <w:rsid w:val="00C23A69"/>
    <w:rsid w:val="00C23BF0"/>
    <w:rsid w:val="00C23E13"/>
    <w:rsid w:val="00C2453C"/>
    <w:rsid w:val="00C2485F"/>
    <w:rsid w:val="00C24A54"/>
    <w:rsid w:val="00C24C41"/>
    <w:rsid w:val="00C24CC2"/>
    <w:rsid w:val="00C251B0"/>
    <w:rsid w:val="00C2525C"/>
    <w:rsid w:val="00C255E7"/>
    <w:rsid w:val="00C2595F"/>
    <w:rsid w:val="00C261A3"/>
    <w:rsid w:val="00C26300"/>
    <w:rsid w:val="00C26509"/>
    <w:rsid w:val="00C265D8"/>
    <w:rsid w:val="00C26863"/>
    <w:rsid w:val="00C26A49"/>
    <w:rsid w:val="00C26DF7"/>
    <w:rsid w:val="00C26E5B"/>
    <w:rsid w:val="00C27266"/>
    <w:rsid w:val="00C27674"/>
    <w:rsid w:val="00C27DFD"/>
    <w:rsid w:val="00C30436"/>
    <w:rsid w:val="00C30875"/>
    <w:rsid w:val="00C30934"/>
    <w:rsid w:val="00C30ADF"/>
    <w:rsid w:val="00C313D7"/>
    <w:rsid w:val="00C314DF"/>
    <w:rsid w:val="00C31581"/>
    <w:rsid w:val="00C317F0"/>
    <w:rsid w:val="00C31948"/>
    <w:rsid w:val="00C31EBE"/>
    <w:rsid w:val="00C32076"/>
    <w:rsid w:val="00C321D9"/>
    <w:rsid w:val="00C323BD"/>
    <w:rsid w:val="00C323F7"/>
    <w:rsid w:val="00C32A0F"/>
    <w:rsid w:val="00C32B5F"/>
    <w:rsid w:val="00C32D16"/>
    <w:rsid w:val="00C32F81"/>
    <w:rsid w:val="00C33058"/>
    <w:rsid w:val="00C33083"/>
    <w:rsid w:val="00C33683"/>
    <w:rsid w:val="00C33719"/>
    <w:rsid w:val="00C33740"/>
    <w:rsid w:val="00C33845"/>
    <w:rsid w:val="00C33979"/>
    <w:rsid w:val="00C33A07"/>
    <w:rsid w:val="00C33E87"/>
    <w:rsid w:val="00C342DA"/>
    <w:rsid w:val="00C3468D"/>
    <w:rsid w:val="00C34795"/>
    <w:rsid w:val="00C34BD8"/>
    <w:rsid w:val="00C34E24"/>
    <w:rsid w:val="00C34EB8"/>
    <w:rsid w:val="00C35295"/>
    <w:rsid w:val="00C35358"/>
    <w:rsid w:val="00C35369"/>
    <w:rsid w:val="00C3556F"/>
    <w:rsid w:val="00C356DC"/>
    <w:rsid w:val="00C359C7"/>
    <w:rsid w:val="00C35B14"/>
    <w:rsid w:val="00C35BD7"/>
    <w:rsid w:val="00C35C9F"/>
    <w:rsid w:val="00C35ED6"/>
    <w:rsid w:val="00C36037"/>
    <w:rsid w:val="00C36517"/>
    <w:rsid w:val="00C36596"/>
    <w:rsid w:val="00C365C0"/>
    <w:rsid w:val="00C36C2B"/>
    <w:rsid w:val="00C36C89"/>
    <w:rsid w:val="00C37084"/>
    <w:rsid w:val="00C370AC"/>
    <w:rsid w:val="00C3755D"/>
    <w:rsid w:val="00C376B8"/>
    <w:rsid w:val="00C377F7"/>
    <w:rsid w:val="00C37957"/>
    <w:rsid w:val="00C379B8"/>
    <w:rsid w:val="00C4048E"/>
    <w:rsid w:val="00C4053F"/>
    <w:rsid w:val="00C40646"/>
    <w:rsid w:val="00C4078F"/>
    <w:rsid w:val="00C40DF8"/>
    <w:rsid w:val="00C410E8"/>
    <w:rsid w:val="00C4132F"/>
    <w:rsid w:val="00C4156F"/>
    <w:rsid w:val="00C417F3"/>
    <w:rsid w:val="00C41A0C"/>
    <w:rsid w:val="00C41E27"/>
    <w:rsid w:val="00C421C0"/>
    <w:rsid w:val="00C42374"/>
    <w:rsid w:val="00C4238F"/>
    <w:rsid w:val="00C423A6"/>
    <w:rsid w:val="00C42560"/>
    <w:rsid w:val="00C4280B"/>
    <w:rsid w:val="00C42C15"/>
    <w:rsid w:val="00C42E3C"/>
    <w:rsid w:val="00C43088"/>
    <w:rsid w:val="00C4399C"/>
    <w:rsid w:val="00C43A57"/>
    <w:rsid w:val="00C43A94"/>
    <w:rsid w:val="00C443D6"/>
    <w:rsid w:val="00C44409"/>
    <w:rsid w:val="00C444A6"/>
    <w:rsid w:val="00C445E4"/>
    <w:rsid w:val="00C44649"/>
    <w:rsid w:val="00C44742"/>
    <w:rsid w:val="00C4474E"/>
    <w:rsid w:val="00C44B20"/>
    <w:rsid w:val="00C44CE4"/>
    <w:rsid w:val="00C45080"/>
    <w:rsid w:val="00C451AE"/>
    <w:rsid w:val="00C454D0"/>
    <w:rsid w:val="00C45B17"/>
    <w:rsid w:val="00C45C86"/>
    <w:rsid w:val="00C461B8"/>
    <w:rsid w:val="00C464E7"/>
    <w:rsid w:val="00C47350"/>
    <w:rsid w:val="00C47541"/>
    <w:rsid w:val="00C47615"/>
    <w:rsid w:val="00C479FF"/>
    <w:rsid w:val="00C5009B"/>
    <w:rsid w:val="00C50233"/>
    <w:rsid w:val="00C50313"/>
    <w:rsid w:val="00C50418"/>
    <w:rsid w:val="00C5090D"/>
    <w:rsid w:val="00C50ACF"/>
    <w:rsid w:val="00C50FA4"/>
    <w:rsid w:val="00C51162"/>
    <w:rsid w:val="00C51484"/>
    <w:rsid w:val="00C519F0"/>
    <w:rsid w:val="00C51C08"/>
    <w:rsid w:val="00C51C78"/>
    <w:rsid w:val="00C522A5"/>
    <w:rsid w:val="00C522CC"/>
    <w:rsid w:val="00C5254D"/>
    <w:rsid w:val="00C527A3"/>
    <w:rsid w:val="00C528EE"/>
    <w:rsid w:val="00C52A25"/>
    <w:rsid w:val="00C52B02"/>
    <w:rsid w:val="00C52B8A"/>
    <w:rsid w:val="00C52D6B"/>
    <w:rsid w:val="00C52DFC"/>
    <w:rsid w:val="00C52E33"/>
    <w:rsid w:val="00C52F85"/>
    <w:rsid w:val="00C532F4"/>
    <w:rsid w:val="00C53937"/>
    <w:rsid w:val="00C53988"/>
    <w:rsid w:val="00C53BDA"/>
    <w:rsid w:val="00C53D4E"/>
    <w:rsid w:val="00C53F1F"/>
    <w:rsid w:val="00C53F4A"/>
    <w:rsid w:val="00C540D0"/>
    <w:rsid w:val="00C54610"/>
    <w:rsid w:val="00C54A0F"/>
    <w:rsid w:val="00C54D5D"/>
    <w:rsid w:val="00C54DD3"/>
    <w:rsid w:val="00C54F05"/>
    <w:rsid w:val="00C55327"/>
    <w:rsid w:val="00C55559"/>
    <w:rsid w:val="00C55764"/>
    <w:rsid w:val="00C557C9"/>
    <w:rsid w:val="00C5581A"/>
    <w:rsid w:val="00C55832"/>
    <w:rsid w:val="00C558CD"/>
    <w:rsid w:val="00C55A51"/>
    <w:rsid w:val="00C5600F"/>
    <w:rsid w:val="00C56347"/>
    <w:rsid w:val="00C56906"/>
    <w:rsid w:val="00C570AB"/>
    <w:rsid w:val="00C571A0"/>
    <w:rsid w:val="00C577E8"/>
    <w:rsid w:val="00C578CC"/>
    <w:rsid w:val="00C57AF7"/>
    <w:rsid w:val="00C57D32"/>
    <w:rsid w:val="00C60272"/>
    <w:rsid w:val="00C602A1"/>
    <w:rsid w:val="00C6061F"/>
    <w:rsid w:val="00C60731"/>
    <w:rsid w:val="00C6078E"/>
    <w:rsid w:val="00C60E8B"/>
    <w:rsid w:val="00C6125B"/>
    <w:rsid w:val="00C61350"/>
    <w:rsid w:val="00C61699"/>
    <w:rsid w:val="00C618B3"/>
    <w:rsid w:val="00C61ED1"/>
    <w:rsid w:val="00C6227B"/>
    <w:rsid w:val="00C624F8"/>
    <w:rsid w:val="00C6251F"/>
    <w:rsid w:val="00C62A16"/>
    <w:rsid w:val="00C62F8F"/>
    <w:rsid w:val="00C6309D"/>
    <w:rsid w:val="00C6335B"/>
    <w:rsid w:val="00C633A8"/>
    <w:rsid w:val="00C633E8"/>
    <w:rsid w:val="00C637BC"/>
    <w:rsid w:val="00C63B8F"/>
    <w:rsid w:val="00C63DB4"/>
    <w:rsid w:val="00C63E21"/>
    <w:rsid w:val="00C63ED1"/>
    <w:rsid w:val="00C63FF5"/>
    <w:rsid w:val="00C6402B"/>
    <w:rsid w:val="00C6427F"/>
    <w:rsid w:val="00C649C1"/>
    <w:rsid w:val="00C64A53"/>
    <w:rsid w:val="00C64BAA"/>
    <w:rsid w:val="00C65095"/>
    <w:rsid w:val="00C651C6"/>
    <w:rsid w:val="00C6543F"/>
    <w:rsid w:val="00C65832"/>
    <w:rsid w:val="00C6588E"/>
    <w:rsid w:val="00C65908"/>
    <w:rsid w:val="00C659F2"/>
    <w:rsid w:val="00C65F04"/>
    <w:rsid w:val="00C65FB9"/>
    <w:rsid w:val="00C66059"/>
    <w:rsid w:val="00C660D4"/>
    <w:rsid w:val="00C66122"/>
    <w:rsid w:val="00C6625A"/>
    <w:rsid w:val="00C6631A"/>
    <w:rsid w:val="00C66622"/>
    <w:rsid w:val="00C66A56"/>
    <w:rsid w:val="00C66BCD"/>
    <w:rsid w:val="00C66C87"/>
    <w:rsid w:val="00C66D62"/>
    <w:rsid w:val="00C66EF6"/>
    <w:rsid w:val="00C671C9"/>
    <w:rsid w:val="00C67328"/>
    <w:rsid w:val="00C67A4D"/>
    <w:rsid w:val="00C67BB5"/>
    <w:rsid w:val="00C67C2F"/>
    <w:rsid w:val="00C67CD9"/>
    <w:rsid w:val="00C67FBD"/>
    <w:rsid w:val="00C70264"/>
    <w:rsid w:val="00C7053F"/>
    <w:rsid w:val="00C70E7F"/>
    <w:rsid w:val="00C710C5"/>
    <w:rsid w:val="00C7133F"/>
    <w:rsid w:val="00C7148E"/>
    <w:rsid w:val="00C714EB"/>
    <w:rsid w:val="00C7150D"/>
    <w:rsid w:val="00C7176E"/>
    <w:rsid w:val="00C71C33"/>
    <w:rsid w:val="00C71DD6"/>
    <w:rsid w:val="00C72216"/>
    <w:rsid w:val="00C7243A"/>
    <w:rsid w:val="00C72576"/>
    <w:rsid w:val="00C726F8"/>
    <w:rsid w:val="00C72A73"/>
    <w:rsid w:val="00C72A7A"/>
    <w:rsid w:val="00C72B1C"/>
    <w:rsid w:val="00C72ECC"/>
    <w:rsid w:val="00C734BD"/>
    <w:rsid w:val="00C739A1"/>
    <w:rsid w:val="00C741E7"/>
    <w:rsid w:val="00C74438"/>
    <w:rsid w:val="00C744E6"/>
    <w:rsid w:val="00C74575"/>
    <w:rsid w:val="00C745AA"/>
    <w:rsid w:val="00C749FE"/>
    <w:rsid w:val="00C74A31"/>
    <w:rsid w:val="00C7537A"/>
    <w:rsid w:val="00C756DC"/>
    <w:rsid w:val="00C75A05"/>
    <w:rsid w:val="00C76094"/>
    <w:rsid w:val="00C76917"/>
    <w:rsid w:val="00C76F70"/>
    <w:rsid w:val="00C7716D"/>
    <w:rsid w:val="00C772F7"/>
    <w:rsid w:val="00C7734A"/>
    <w:rsid w:val="00C7734C"/>
    <w:rsid w:val="00C77572"/>
    <w:rsid w:val="00C77C01"/>
    <w:rsid w:val="00C803C9"/>
    <w:rsid w:val="00C806C5"/>
    <w:rsid w:val="00C80D33"/>
    <w:rsid w:val="00C81011"/>
    <w:rsid w:val="00C81717"/>
    <w:rsid w:val="00C817CC"/>
    <w:rsid w:val="00C8195E"/>
    <w:rsid w:val="00C81B02"/>
    <w:rsid w:val="00C825BD"/>
    <w:rsid w:val="00C825C2"/>
    <w:rsid w:val="00C82775"/>
    <w:rsid w:val="00C82EA7"/>
    <w:rsid w:val="00C83197"/>
    <w:rsid w:val="00C834E7"/>
    <w:rsid w:val="00C8357B"/>
    <w:rsid w:val="00C8380C"/>
    <w:rsid w:val="00C83814"/>
    <w:rsid w:val="00C8384F"/>
    <w:rsid w:val="00C838E4"/>
    <w:rsid w:val="00C83A17"/>
    <w:rsid w:val="00C83B36"/>
    <w:rsid w:val="00C83C25"/>
    <w:rsid w:val="00C83E10"/>
    <w:rsid w:val="00C83E30"/>
    <w:rsid w:val="00C845CB"/>
    <w:rsid w:val="00C8462F"/>
    <w:rsid w:val="00C84A61"/>
    <w:rsid w:val="00C84C21"/>
    <w:rsid w:val="00C84F07"/>
    <w:rsid w:val="00C859E0"/>
    <w:rsid w:val="00C85DEA"/>
    <w:rsid w:val="00C85EFE"/>
    <w:rsid w:val="00C85F76"/>
    <w:rsid w:val="00C861AB"/>
    <w:rsid w:val="00C86292"/>
    <w:rsid w:val="00C8629C"/>
    <w:rsid w:val="00C8672A"/>
    <w:rsid w:val="00C8681B"/>
    <w:rsid w:val="00C86843"/>
    <w:rsid w:val="00C868DF"/>
    <w:rsid w:val="00C86AD8"/>
    <w:rsid w:val="00C86EDE"/>
    <w:rsid w:val="00C8721F"/>
    <w:rsid w:val="00C90019"/>
    <w:rsid w:val="00C90039"/>
    <w:rsid w:val="00C90048"/>
    <w:rsid w:val="00C90137"/>
    <w:rsid w:val="00C901D6"/>
    <w:rsid w:val="00C9042F"/>
    <w:rsid w:val="00C9048A"/>
    <w:rsid w:val="00C907CF"/>
    <w:rsid w:val="00C90883"/>
    <w:rsid w:val="00C90B3D"/>
    <w:rsid w:val="00C90B80"/>
    <w:rsid w:val="00C90B8A"/>
    <w:rsid w:val="00C90F71"/>
    <w:rsid w:val="00C90FE8"/>
    <w:rsid w:val="00C911FE"/>
    <w:rsid w:val="00C914E7"/>
    <w:rsid w:val="00C914FC"/>
    <w:rsid w:val="00C91545"/>
    <w:rsid w:val="00C9185C"/>
    <w:rsid w:val="00C91A40"/>
    <w:rsid w:val="00C91D15"/>
    <w:rsid w:val="00C9205E"/>
    <w:rsid w:val="00C92235"/>
    <w:rsid w:val="00C9259D"/>
    <w:rsid w:val="00C929E4"/>
    <w:rsid w:val="00C92AC9"/>
    <w:rsid w:val="00C92C12"/>
    <w:rsid w:val="00C93271"/>
    <w:rsid w:val="00C93367"/>
    <w:rsid w:val="00C93494"/>
    <w:rsid w:val="00C934D2"/>
    <w:rsid w:val="00C93546"/>
    <w:rsid w:val="00C9367B"/>
    <w:rsid w:val="00C93D8E"/>
    <w:rsid w:val="00C9440C"/>
    <w:rsid w:val="00C94419"/>
    <w:rsid w:val="00C94462"/>
    <w:rsid w:val="00C94982"/>
    <w:rsid w:val="00C94C37"/>
    <w:rsid w:val="00C94D42"/>
    <w:rsid w:val="00C9501E"/>
    <w:rsid w:val="00C9508E"/>
    <w:rsid w:val="00C952FD"/>
    <w:rsid w:val="00C9536A"/>
    <w:rsid w:val="00C9576A"/>
    <w:rsid w:val="00C95D53"/>
    <w:rsid w:val="00C9629E"/>
    <w:rsid w:val="00C96735"/>
    <w:rsid w:val="00C96811"/>
    <w:rsid w:val="00C96A5D"/>
    <w:rsid w:val="00C96B9B"/>
    <w:rsid w:val="00C96FD4"/>
    <w:rsid w:val="00C973B4"/>
    <w:rsid w:val="00C97A52"/>
    <w:rsid w:val="00C97FDF"/>
    <w:rsid w:val="00CA04C3"/>
    <w:rsid w:val="00CA04CC"/>
    <w:rsid w:val="00CA09E4"/>
    <w:rsid w:val="00CA0D30"/>
    <w:rsid w:val="00CA1630"/>
    <w:rsid w:val="00CA1D37"/>
    <w:rsid w:val="00CA1ED0"/>
    <w:rsid w:val="00CA25AD"/>
    <w:rsid w:val="00CA28A8"/>
    <w:rsid w:val="00CA2B08"/>
    <w:rsid w:val="00CA2CAD"/>
    <w:rsid w:val="00CA341A"/>
    <w:rsid w:val="00CA3432"/>
    <w:rsid w:val="00CA3529"/>
    <w:rsid w:val="00CA36F4"/>
    <w:rsid w:val="00CA3AD0"/>
    <w:rsid w:val="00CA3B4A"/>
    <w:rsid w:val="00CA3D1D"/>
    <w:rsid w:val="00CA3D3B"/>
    <w:rsid w:val="00CA40A5"/>
    <w:rsid w:val="00CA4611"/>
    <w:rsid w:val="00CA4958"/>
    <w:rsid w:val="00CA4A9D"/>
    <w:rsid w:val="00CA4CBD"/>
    <w:rsid w:val="00CA4D6A"/>
    <w:rsid w:val="00CA5056"/>
    <w:rsid w:val="00CA509C"/>
    <w:rsid w:val="00CA520F"/>
    <w:rsid w:val="00CA53C1"/>
    <w:rsid w:val="00CA5667"/>
    <w:rsid w:val="00CA5813"/>
    <w:rsid w:val="00CA58BD"/>
    <w:rsid w:val="00CA5EE6"/>
    <w:rsid w:val="00CA6038"/>
    <w:rsid w:val="00CA60B4"/>
    <w:rsid w:val="00CA61EF"/>
    <w:rsid w:val="00CA6452"/>
    <w:rsid w:val="00CA6688"/>
    <w:rsid w:val="00CA6961"/>
    <w:rsid w:val="00CA6A61"/>
    <w:rsid w:val="00CA6C31"/>
    <w:rsid w:val="00CA7627"/>
    <w:rsid w:val="00CA7729"/>
    <w:rsid w:val="00CA7749"/>
    <w:rsid w:val="00CA7B21"/>
    <w:rsid w:val="00CA7DD9"/>
    <w:rsid w:val="00CA7FFA"/>
    <w:rsid w:val="00CB0491"/>
    <w:rsid w:val="00CB0820"/>
    <w:rsid w:val="00CB0A03"/>
    <w:rsid w:val="00CB0A91"/>
    <w:rsid w:val="00CB0D52"/>
    <w:rsid w:val="00CB0F9E"/>
    <w:rsid w:val="00CB1023"/>
    <w:rsid w:val="00CB19C1"/>
    <w:rsid w:val="00CB1A73"/>
    <w:rsid w:val="00CB1A76"/>
    <w:rsid w:val="00CB1ECD"/>
    <w:rsid w:val="00CB2474"/>
    <w:rsid w:val="00CB25D6"/>
    <w:rsid w:val="00CB29E7"/>
    <w:rsid w:val="00CB2B9F"/>
    <w:rsid w:val="00CB2BEC"/>
    <w:rsid w:val="00CB2BF1"/>
    <w:rsid w:val="00CB2D67"/>
    <w:rsid w:val="00CB2FB4"/>
    <w:rsid w:val="00CB2FD5"/>
    <w:rsid w:val="00CB329F"/>
    <w:rsid w:val="00CB33BF"/>
    <w:rsid w:val="00CB3736"/>
    <w:rsid w:val="00CB3E19"/>
    <w:rsid w:val="00CB4139"/>
    <w:rsid w:val="00CB457C"/>
    <w:rsid w:val="00CB4CCF"/>
    <w:rsid w:val="00CB5226"/>
    <w:rsid w:val="00CB5651"/>
    <w:rsid w:val="00CB584D"/>
    <w:rsid w:val="00CB5A0C"/>
    <w:rsid w:val="00CB5D76"/>
    <w:rsid w:val="00CB5E79"/>
    <w:rsid w:val="00CB5F4E"/>
    <w:rsid w:val="00CB6071"/>
    <w:rsid w:val="00CB60CE"/>
    <w:rsid w:val="00CB6466"/>
    <w:rsid w:val="00CB660C"/>
    <w:rsid w:val="00CB6750"/>
    <w:rsid w:val="00CB69E5"/>
    <w:rsid w:val="00CB6C70"/>
    <w:rsid w:val="00CB6EAB"/>
    <w:rsid w:val="00CB71FE"/>
    <w:rsid w:val="00CB722C"/>
    <w:rsid w:val="00CB7499"/>
    <w:rsid w:val="00CB7C77"/>
    <w:rsid w:val="00CB7D33"/>
    <w:rsid w:val="00CB7D57"/>
    <w:rsid w:val="00CC00B7"/>
    <w:rsid w:val="00CC026A"/>
    <w:rsid w:val="00CC055E"/>
    <w:rsid w:val="00CC0778"/>
    <w:rsid w:val="00CC0BDE"/>
    <w:rsid w:val="00CC0E30"/>
    <w:rsid w:val="00CC0E94"/>
    <w:rsid w:val="00CC11BB"/>
    <w:rsid w:val="00CC1810"/>
    <w:rsid w:val="00CC1BC1"/>
    <w:rsid w:val="00CC24AF"/>
    <w:rsid w:val="00CC26D0"/>
    <w:rsid w:val="00CC2917"/>
    <w:rsid w:val="00CC331A"/>
    <w:rsid w:val="00CC35A5"/>
    <w:rsid w:val="00CC39B7"/>
    <w:rsid w:val="00CC3A6F"/>
    <w:rsid w:val="00CC4003"/>
    <w:rsid w:val="00CC407E"/>
    <w:rsid w:val="00CC4258"/>
    <w:rsid w:val="00CC442D"/>
    <w:rsid w:val="00CC4505"/>
    <w:rsid w:val="00CC492B"/>
    <w:rsid w:val="00CC4D96"/>
    <w:rsid w:val="00CC4FA0"/>
    <w:rsid w:val="00CC51AF"/>
    <w:rsid w:val="00CC5A61"/>
    <w:rsid w:val="00CC5B1D"/>
    <w:rsid w:val="00CC5CE6"/>
    <w:rsid w:val="00CC608E"/>
    <w:rsid w:val="00CC6663"/>
    <w:rsid w:val="00CC6826"/>
    <w:rsid w:val="00CC68DE"/>
    <w:rsid w:val="00CC6B8E"/>
    <w:rsid w:val="00CC6E51"/>
    <w:rsid w:val="00CC6EA0"/>
    <w:rsid w:val="00CC7733"/>
    <w:rsid w:val="00CC7736"/>
    <w:rsid w:val="00CC77F8"/>
    <w:rsid w:val="00CC7FD0"/>
    <w:rsid w:val="00CD0213"/>
    <w:rsid w:val="00CD023B"/>
    <w:rsid w:val="00CD0A87"/>
    <w:rsid w:val="00CD0BB9"/>
    <w:rsid w:val="00CD0FD9"/>
    <w:rsid w:val="00CD18A4"/>
    <w:rsid w:val="00CD1EDE"/>
    <w:rsid w:val="00CD1F05"/>
    <w:rsid w:val="00CD2407"/>
    <w:rsid w:val="00CD2540"/>
    <w:rsid w:val="00CD27BC"/>
    <w:rsid w:val="00CD2AB7"/>
    <w:rsid w:val="00CD2D79"/>
    <w:rsid w:val="00CD2E3B"/>
    <w:rsid w:val="00CD33DF"/>
    <w:rsid w:val="00CD353E"/>
    <w:rsid w:val="00CD378F"/>
    <w:rsid w:val="00CD392C"/>
    <w:rsid w:val="00CD3ABF"/>
    <w:rsid w:val="00CD4193"/>
    <w:rsid w:val="00CD41F9"/>
    <w:rsid w:val="00CD44A3"/>
    <w:rsid w:val="00CD4BFC"/>
    <w:rsid w:val="00CD5006"/>
    <w:rsid w:val="00CD5250"/>
    <w:rsid w:val="00CD54A5"/>
    <w:rsid w:val="00CD55C1"/>
    <w:rsid w:val="00CD5AA7"/>
    <w:rsid w:val="00CD5E02"/>
    <w:rsid w:val="00CD63A7"/>
    <w:rsid w:val="00CD6495"/>
    <w:rsid w:val="00CD657E"/>
    <w:rsid w:val="00CD65CE"/>
    <w:rsid w:val="00CD667B"/>
    <w:rsid w:val="00CD67A4"/>
    <w:rsid w:val="00CD6CBD"/>
    <w:rsid w:val="00CD6CE6"/>
    <w:rsid w:val="00CD6D5F"/>
    <w:rsid w:val="00CD7321"/>
    <w:rsid w:val="00CD732B"/>
    <w:rsid w:val="00CD73D1"/>
    <w:rsid w:val="00CD75A8"/>
    <w:rsid w:val="00CD7B64"/>
    <w:rsid w:val="00CD7BF5"/>
    <w:rsid w:val="00CD7E3A"/>
    <w:rsid w:val="00CD7FED"/>
    <w:rsid w:val="00CE01E2"/>
    <w:rsid w:val="00CE0295"/>
    <w:rsid w:val="00CE0402"/>
    <w:rsid w:val="00CE0590"/>
    <w:rsid w:val="00CE0735"/>
    <w:rsid w:val="00CE0891"/>
    <w:rsid w:val="00CE0C68"/>
    <w:rsid w:val="00CE0D6D"/>
    <w:rsid w:val="00CE0D8A"/>
    <w:rsid w:val="00CE1932"/>
    <w:rsid w:val="00CE1B18"/>
    <w:rsid w:val="00CE2C3D"/>
    <w:rsid w:val="00CE2E22"/>
    <w:rsid w:val="00CE30DA"/>
    <w:rsid w:val="00CE31DB"/>
    <w:rsid w:val="00CE329B"/>
    <w:rsid w:val="00CE3351"/>
    <w:rsid w:val="00CE40EE"/>
    <w:rsid w:val="00CE476F"/>
    <w:rsid w:val="00CE4C9B"/>
    <w:rsid w:val="00CE5227"/>
    <w:rsid w:val="00CE543D"/>
    <w:rsid w:val="00CE573F"/>
    <w:rsid w:val="00CE59C8"/>
    <w:rsid w:val="00CE5BC9"/>
    <w:rsid w:val="00CE5D34"/>
    <w:rsid w:val="00CE5D39"/>
    <w:rsid w:val="00CE61DA"/>
    <w:rsid w:val="00CE683B"/>
    <w:rsid w:val="00CE6B22"/>
    <w:rsid w:val="00CE6B65"/>
    <w:rsid w:val="00CE6D2A"/>
    <w:rsid w:val="00CE71B5"/>
    <w:rsid w:val="00CE7527"/>
    <w:rsid w:val="00CE77E1"/>
    <w:rsid w:val="00CE7F03"/>
    <w:rsid w:val="00CF0113"/>
    <w:rsid w:val="00CF090D"/>
    <w:rsid w:val="00CF0B27"/>
    <w:rsid w:val="00CF0EAC"/>
    <w:rsid w:val="00CF0F90"/>
    <w:rsid w:val="00CF1224"/>
    <w:rsid w:val="00CF122D"/>
    <w:rsid w:val="00CF15EB"/>
    <w:rsid w:val="00CF16CC"/>
    <w:rsid w:val="00CF176B"/>
    <w:rsid w:val="00CF19D3"/>
    <w:rsid w:val="00CF22F2"/>
    <w:rsid w:val="00CF23AF"/>
    <w:rsid w:val="00CF23E3"/>
    <w:rsid w:val="00CF2B1B"/>
    <w:rsid w:val="00CF344A"/>
    <w:rsid w:val="00CF3523"/>
    <w:rsid w:val="00CF35E0"/>
    <w:rsid w:val="00CF3852"/>
    <w:rsid w:val="00CF4948"/>
    <w:rsid w:val="00CF4C43"/>
    <w:rsid w:val="00CF4CF6"/>
    <w:rsid w:val="00CF4D97"/>
    <w:rsid w:val="00CF4DEE"/>
    <w:rsid w:val="00CF4E14"/>
    <w:rsid w:val="00CF4FA5"/>
    <w:rsid w:val="00CF511C"/>
    <w:rsid w:val="00CF52DC"/>
    <w:rsid w:val="00CF53D9"/>
    <w:rsid w:val="00CF55D5"/>
    <w:rsid w:val="00CF5C1D"/>
    <w:rsid w:val="00CF5CE6"/>
    <w:rsid w:val="00CF607E"/>
    <w:rsid w:val="00CF6768"/>
    <w:rsid w:val="00CF6797"/>
    <w:rsid w:val="00CF69D0"/>
    <w:rsid w:val="00CF6A5F"/>
    <w:rsid w:val="00CF6A7E"/>
    <w:rsid w:val="00CF6E24"/>
    <w:rsid w:val="00CF6E8D"/>
    <w:rsid w:val="00CF7672"/>
    <w:rsid w:val="00CF78C3"/>
    <w:rsid w:val="00CF78EB"/>
    <w:rsid w:val="00CF7CA8"/>
    <w:rsid w:val="00CF7D1A"/>
    <w:rsid w:val="00CF7E3A"/>
    <w:rsid w:val="00CF7F43"/>
    <w:rsid w:val="00CF7FD0"/>
    <w:rsid w:val="00D003B6"/>
    <w:rsid w:val="00D007A1"/>
    <w:rsid w:val="00D009EE"/>
    <w:rsid w:val="00D00D0A"/>
    <w:rsid w:val="00D014A9"/>
    <w:rsid w:val="00D016EE"/>
    <w:rsid w:val="00D01726"/>
    <w:rsid w:val="00D01810"/>
    <w:rsid w:val="00D0196C"/>
    <w:rsid w:val="00D01971"/>
    <w:rsid w:val="00D01AA0"/>
    <w:rsid w:val="00D01BE4"/>
    <w:rsid w:val="00D01FA9"/>
    <w:rsid w:val="00D026D0"/>
    <w:rsid w:val="00D02FF6"/>
    <w:rsid w:val="00D03479"/>
    <w:rsid w:val="00D03762"/>
    <w:rsid w:val="00D04DAC"/>
    <w:rsid w:val="00D0538E"/>
    <w:rsid w:val="00D059BD"/>
    <w:rsid w:val="00D05F8A"/>
    <w:rsid w:val="00D06A00"/>
    <w:rsid w:val="00D06C60"/>
    <w:rsid w:val="00D06D01"/>
    <w:rsid w:val="00D0764A"/>
    <w:rsid w:val="00D07818"/>
    <w:rsid w:val="00D0785B"/>
    <w:rsid w:val="00D07EE8"/>
    <w:rsid w:val="00D10344"/>
    <w:rsid w:val="00D103FE"/>
    <w:rsid w:val="00D104DA"/>
    <w:rsid w:val="00D10572"/>
    <w:rsid w:val="00D105DF"/>
    <w:rsid w:val="00D106DB"/>
    <w:rsid w:val="00D1076C"/>
    <w:rsid w:val="00D108FE"/>
    <w:rsid w:val="00D10994"/>
    <w:rsid w:val="00D10ACF"/>
    <w:rsid w:val="00D10AF5"/>
    <w:rsid w:val="00D10F55"/>
    <w:rsid w:val="00D113A8"/>
    <w:rsid w:val="00D11C08"/>
    <w:rsid w:val="00D11D53"/>
    <w:rsid w:val="00D11D87"/>
    <w:rsid w:val="00D1230A"/>
    <w:rsid w:val="00D1275B"/>
    <w:rsid w:val="00D12AF2"/>
    <w:rsid w:val="00D12CB5"/>
    <w:rsid w:val="00D1311F"/>
    <w:rsid w:val="00D13251"/>
    <w:rsid w:val="00D137DB"/>
    <w:rsid w:val="00D13818"/>
    <w:rsid w:val="00D13B93"/>
    <w:rsid w:val="00D13ED7"/>
    <w:rsid w:val="00D13F0C"/>
    <w:rsid w:val="00D1466F"/>
    <w:rsid w:val="00D146FA"/>
    <w:rsid w:val="00D148F4"/>
    <w:rsid w:val="00D14919"/>
    <w:rsid w:val="00D14926"/>
    <w:rsid w:val="00D14AF4"/>
    <w:rsid w:val="00D14CAF"/>
    <w:rsid w:val="00D14EE2"/>
    <w:rsid w:val="00D150EB"/>
    <w:rsid w:val="00D150FB"/>
    <w:rsid w:val="00D15170"/>
    <w:rsid w:val="00D1530B"/>
    <w:rsid w:val="00D154F3"/>
    <w:rsid w:val="00D157A6"/>
    <w:rsid w:val="00D15DC8"/>
    <w:rsid w:val="00D1612A"/>
    <w:rsid w:val="00D1696C"/>
    <w:rsid w:val="00D169BE"/>
    <w:rsid w:val="00D16CB5"/>
    <w:rsid w:val="00D16EF8"/>
    <w:rsid w:val="00D174FE"/>
    <w:rsid w:val="00D17C34"/>
    <w:rsid w:val="00D200D3"/>
    <w:rsid w:val="00D2014E"/>
    <w:rsid w:val="00D203D8"/>
    <w:rsid w:val="00D2044B"/>
    <w:rsid w:val="00D20522"/>
    <w:rsid w:val="00D20A85"/>
    <w:rsid w:val="00D20D87"/>
    <w:rsid w:val="00D20F47"/>
    <w:rsid w:val="00D21AD4"/>
    <w:rsid w:val="00D21B14"/>
    <w:rsid w:val="00D21C80"/>
    <w:rsid w:val="00D21F50"/>
    <w:rsid w:val="00D221FD"/>
    <w:rsid w:val="00D22795"/>
    <w:rsid w:val="00D229FC"/>
    <w:rsid w:val="00D22B3F"/>
    <w:rsid w:val="00D22E3F"/>
    <w:rsid w:val="00D2330D"/>
    <w:rsid w:val="00D23378"/>
    <w:rsid w:val="00D239B3"/>
    <w:rsid w:val="00D23AC3"/>
    <w:rsid w:val="00D2460A"/>
    <w:rsid w:val="00D24754"/>
    <w:rsid w:val="00D24993"/>
    <w:rsid w:val="00D249AC"/>
    <w:rsid w:val="00D24C0C"/>
    <w:rsid w:val="00D24F77"/>
    <w:rsid w:val="00D24F9E"/>
    <w:rsid w:val="00D25016"/>
    <w:rsid w:val="00D25289"/>
    <w:rsid w:val="00D25498"/>
    <w:rsid w:val="00D2593B"/>
    <w:rsid w:val="00D25A5F"/>
    <w:rsid w:val="00D25F57"/>
    <w:rsid w:val="00D261CD"/>
    <w:rsid w:val="00D2630D"/>
    <w:rsid w:val="00D268B8"/>
    <w:rsid w:val="00D26B12"/>
    <w:rsid w:val="00D26B72"/>
    <w:rsid w:val="00D270DD"/>
    <w:rsid w:val="00D2774B"/>
    <w:rsid w:val="00D2793C"/>
    <w:rsid w:val="00D27D79"/>
    <w:rsid w:val="00D27DF1"/>
    <w:rsid w:val="00D30223"/>
    <w:rsid w:val="00D305F4"/>
    <w:rsid w:val="00D30739"/>
    <w:rsid w:val="00D30B05"/>
    <w:rsid w:val="00D30C92"/>
    <w:rsid w:val="00D30E35"/>
    <w:rsid w:val="00D3108A"/>
    <w:rsid w:val="00D316B5"/>
    <w:rsid w:val="00D32052"/>
    <w:rsid w:val="00D3211B"/>
    <w:rsid w:val="00D3270E"/>
    <w:rsid w:val="00D329E7"/>
    <w:rsid w:val="00D33152"/>
    <w:rsid w:val="00D33162"/>
    <w:rsid w:val="00D33328"/>
    <w:rsid w:val="00D33832"/>
    <w:rsid w:val="00D3394C"/>
    <w:rsid w:val="00D33966"/>
    <w:rsid w:val="00D33A32"/>
    <w:rsid w:val="00D3406C"/>
    <w:rsid w:val="00D3429A"/>
    <w:rsid w:val="00D34AB2"/>
    <w:rsid w:val="00D34C86"/>
    <w:rsid w:val="00D34CE0"/>
    <w:rsid w:val="00D34EEC"/>
    <w:rsid w:val="00D35732"/>
    <w:rsid w:val="00D35CD6"/>
    <w:rsid w:val="00D35DC3"/>
    <w:rsid w:val="00D363F0"/>
    <w:rsid w:val="00D364DB"/>
    <w:rsid w:val="00D36779"/>
    <w:rsid w:val="00D36908"/>
    <w:rsid w:val="00D36936"/>
    <w:rsid w:val="00D36A49"/>
    <w:rsid w:val="00D3726E"/>
    <w:rsid w:val="00D37508"/>
    <w:rsid w:val="00D4012F"/>
    <w:rsid w:val="00D40714"/>
    <w:rsid w:val="00D409DA"/>
    <w:rsid w:val="00D40C49"/>
    <w:rsid w:val="00D40CB6"/>
    <w:rsid w:val="00D4137C"/>
    <w:rsid w:val="00D419E3"/>
    <w:rsid w:val="00D41BB2"/>
    <w:rsid w:val="00D41C58"/>
    <w:rsid w:val="00D41EEC"/>
    <w:rsid w:val="00D42010"/>
    <w:rsid w:val="00D422A2"/>
    <w:rsid w:val="00D42ABA"/>
    <w:rsid w:val="00D42B1A"/>
    <w:rsid w:val="00D43178"/>
    <w:rsid w:val="00D43198"/>
    <w:rsid w:val="00D432B1"/>
    <w:rsid w:val="00D434EA"/>
    <w:rsid w:val="00D435BE"/>
    <w:rsid w:val="00D435E5"/>
    <w:rsid w:val="00D43D83"/>
    <w:rsid w:val="00D44119"/>
    <w:rsid w:val="00D441B9"/>
    <w:rsid w:val="00D44251"/>
    <w:rsid w:val="00D44528"/>
    <w:rsid w:val="00D44A63"/>
    <w:rsid w:val="00D44CC2"/>
    <w:rsid w:val="00D452E5"/>
    <w:rsid w:val="00D45A87"/>
    <w:rsid w:val="00D45BF1"/>
    <w:rsid w:val="00D45E47"/>
    <w:rsid w:val="00D464E7"/>
    <w:rsid w:val="00D46F90"/>
    <w:rsid w:val="00D47647"/>
    <w:rsid w:val="00D476E1"/>
    <w:rsid w:val="00D47A8D"/>
    <w:rsid w:val="00D47B5A"/>
    <w:rsid w:val="00D47B93"/>
    <w:rsid w:val="00D502A6"/>
    <w:rsid w:val="00D50446"/>
    <w:rsid w:val="00D506A5"/>
    <w:rsid w:val="00D50A0D"/>
    <w:rsid w:val="00D50B27"/>
    <w:rsid w:val="00D50B66"/>
    <w:rsid w:val="00D50EC6"/>
    <w:rsid w:val="00D510D4"/>
    <w:rsid w:val="00D510DC"/>
    <w:rsid w:val="00D511E9"/>
    <w:rsid w:val="00D518B0"/>
    <w:rsid w:val="00D51EBB"/>
    <w:rsid w:val="00D52376"/>
    <w:rsid w:val="00D523BF"/>
    <w:rsid w:val="00D52851"/>
    <w:rsid w:val="00D52B16"/>
    <w:rsid w:val="00D52BBD"/>
    <w:rsid w:val="00D52F12"/>
    <w:rsid w:val="00D52FDD"/>
    <w:rsid w:val="00D5348C"/>
    <w:rsid w:val="00D534BD"/>
    <w:rsid w:val="00D534C5"/>
    <w:rsid w:val="00D536D6"/>
    <w:rsid w:val="00D5399A"/>
    <w:rsid w:val="00D53BB4"/>
    <w:rsid w:val="00D53BB6"/>
    <w:rsid w:val="00D54332"/>
    <w:rsid w:val="00D5496F"/>
    <w:rsid w:val="00D54983"/>
    <w:rsid w:val="00D54ADE"/>
    <w:rsid w:val="00D54D83"/>
    <w:rsid w:val="00D54FE8"/>
    <w:rsid w:val="00D55ACE"/>
    <w:rsid w:val="00D55DC0"/>
    <w:rsid w:val="00D55E6C"/>
    <w:rsid w:val="00D56165"/>
    <w:rsid w:val="00D562C6"/>
    <w:rsid w:val="00D563C9"/>
    <w:rsid w:val="00D566AD"/>
    <w:rsid w:val="00D56780"/>
    <w:rsid w:val="00D56CA6"/>
    <w:rsid w:val="00D56E4E"/>
    <w:rsid w:val="00D56F1B"/>
    <w:rsid w:val="00D56F86"/>
    <w:rsid w:val="00D57003"/>
    <w:rsid w:val="00D57179"/>
    <w:rsid w:val="00D5725A"/>
    <w:rsid w:val="00D57935"/>
    <w:rsid w:val="00D57DB2"/>
    <w:rsid w:val="00D57E32"/>
    <w:rsid w:val="00D600F2"/>
    <w:rsid w:val="00D60108"/>
    <w:rsid w:val="00D609F8"/>
    <w:rsid w:val="00D60D28"/>
    <w:rsid w:val="00D60DAE"/>
    <w:rsid w:val="00D613EA"/>
    <w:rsid w:val="00D614A9"/>
    <w:rsid w:val="00D614F5"/>
    <w:rsid w:val="00D615B1"/>
    <w:rsid w:val="00D6196F"/>
    <w:rsid w:val="00D62676"/>
    <w:rsid w:val="00D626FF"/>
    <w:rsid w:val="00D6275D"/>
    <w:rsid w:val="00D62AF9"/>
    <w:rsid w:val="00D62F52"/>
    <w:rsid w:val="00D6319B"/>
    <w:rsid w:val="00D631F8"/>
    <w:rsid w:val="00D633E7"/>
    <w:rsid w:val="00D633F3"/>
    <w:rsid w:val="00D634A1"/>
    <w:rsid w:val="00D6371C"/>
    <w:rsid w:val="00D63AE8"/>
    <w:rsid w:val="00D63DDA"/>
    <w:rsid w:val="00D63EFC"/>
    <w:rsid w:val="00D63F37"/>
    <w:rsid w:val="00D64234"/>
    <w:rsid w:val="00D64A13"/>
    <w:rsid w:val="00D64A9D"/>
    <w:rsid w:val="00D64C59"/>
    <w:rsid w:val="00D64DEB"/>
    <w:rsid w:val="00D654AF"/>
    <w:rsid w:val="00D6553E"/>
    <w:rsid w:val="00D65564"/>
    <w:rsid w:val="00D65679"/>
    <w:rsid w:val="00D65876"/>
    <w:rsid w:val="00D65941"/>
    <w:rsid w:val="00D65BA4"/>
    <w:rsid w:val="00D65D32"/>
    <w:rsid w:val="00D65DAC"/>
    <w:rsid w:val="00D66054"/>
    <w:rsid w:val="00D6614A"/>
    <w:rsid w:val="00D6644A"/>
    <w:rsid w:val="00D66F03"/>
    <w:rsid w:val="00D6769D"/>
    <w:rsid w:val="00D67F2B"/>
    <w:rsid w:val="00D70145"/>
    <w:rsid w:val="00D702CE"/>
    <w:rsid w:val="00D70548"/>
    <w:rsid w:val="00D70AD3"/>
    <w:rsid w:val="00D70B0F"/>
    <w:rsid w:val="00D715E2"/>
    <w:rsid w:val="00D71B35"/>
    <w:rsid w:val="00D7207E"/>
    <w:rsid w:val="00D7232D"/>
    <w:rsid w:val="00D72393"/>
    <w:rsid w:val="00D7273A"/>
    <w:rsid w:val="00D72905"/>
    <w:rsid w:val="00D72E1E"/>
    <w:rsid w:val="00D73167"/>
    <w:rsid w:val="00D732AC"/>
    <w:rsid w:val="00D7362E"/>
    <w:rsid w:val="00D73B11"/>
    <w:rsid w:val="00D74310"/>
    <w:rsid w:val="00D745BC"/>
    <w:rsid w:val="00D745C0"/>
    <w:rsid w:val="00D745EC"/>
    <w:rsid w:val="00D747CB"/>
    <w:rsid w:val="00D74C67"/>
    <w:rsid w:val="00D74E40"/>
    <w:rsid w:val="00D7500A"/>
    <w:rsid w:val="00D752C0"/>
    <w:rsid w:val="00D75348"/>
    <w:rsid w:val="00D75408"/>
    <w:rsid w:val="00D754D9"/>
    <w:rsid w:val="00D75505"/>
    <w:rsid w:val="00D7556B"/>
    <w:rsid w:val="00D7566D"/>
    <w:rsid w:val="00D758A8"/>
    <w:rsid w:val="00D7591E"/>
    <w:rsid w:val="00D75BF2"/>
    <w:rsid w:val="00D75F4C"/>
    <w:rsid w:val="00D7689C"/>
    <w:rsid w:val="00D7694D"/>
    <w:rsid w:val="00D76D91"/>
    <w:rsid w:val="00D76E1F"/>
    <w:rsid w:val="00D77070"/>
    <w:rsid w:val="00D77135"/>
    <w:rsid w:val="00D7772E"/>
    <w:rsid w:val="00D7774A"/>
    <w:rsid w:val="00D77C5A"/>
    <w:rsid w:val="00D77E4D"/>
    <w:rsid w:val="00D80055"/>
    <w:rsid w:val="00D8006F"/>
    <w:rsid w:val="00D80539"/>
    <w:rsid w:val="00D8056E"/>
    <w:rsid w:val="00D80770"/>
    <w:rsid w:val="00D809B1"/>
    <w:rsid w:val="00D80CD7"/>
    <w:rsid w:val="00D80E27"/>
    <w:rsid w:val="00D80FFA"/>
    <w:rsid w:val="00D810EF"/>
    <w:rsid w:val="00D811F2"/>
    <w:rsid w:val="00D81474"/>
    <w:rsid w:val="00D81D34"/>
    <w:rsid w:val="00D81EF9"/>
    <w:rsid w:val="00D82097"/>
    <w:rsid w:val="00D822BE"/>
    <w:rsid w:val="00D82D69"/>
    <w:rsid w:val="00D82E9A"/>
    <w:rsid w:val="00D8370E"/>
    <w:rsid w:val="00D8391F"/>
    <w:rsid w:val="00D839AC"/>
    <w:rsid w:val="00D83D0B"/>
    <w:rsid w:val="00D83F72"/>
    <w:rsid w:val="00D83FAB"/>
    <w:rsid w:val="00D84292"/>
    <w:rsid w:val="00D84355"/>
    <w:rsid w:val="00D845C2"/>
    <w:rsid w:val="00D84833"/>
    <w:rsid w:val="00D849E9"/>
    <w:rsid w:val="00D84A5C"/>
    <w:rsid w:val="00D84AE6"/>
    <w:rsid w:val="00D84DEF"/>
    <w:rsid w:val="00D84E6F"/>
    <w:rsid w:val="00D85249"/>
    <w:rsid w:val="00D8547F"/>
    <w:rsid w:val="00D8561F"/>
    <w:rsid w:val="00D859AD"/>
    <w:rsid w:val="00D85FD9"/>
    <w:rsid w:val="00D867C5"/>
    <w:rsid w:val="00D868CD"/>
    <w:rsid w:val="00D86A1C"/>
    <w:rsid w:val="00D86AA4"/>
    <w:rsid w:val="00D86CEF"/>
    <w:rsid w:val="00D86D20"/>
    <w:rsid w:val="00D8758F"/>
    <w:rsid w:val="00D8791E"/>
    <w:rsid w:val="00D87A2A"/>
    <w:rsid w:val="00D87C97"/>
    <w:rsid w:val="00D87FD3"/>
    <w:rsid w:val="00D903CB"/>
    <w:rsid w:val="00D904C1"/>
    <w:rsid w:val="00D90675"/>
    <w:rsid w:val="00D90A6B"/>
    <w:rsid w:val="00D90ABD"/>
    <w:rsid w:val="00D90C0A"/>
    <w:rsid w:val="00D90C1B"/>
    <w:rsid w:val="00D90CBD"/>
    <w:rsid w:val="00D9102F"/>
    <w:rsid w:val="00D911BD"/>
    <w:rsid w:val="00D91413"/>
    <w:rsid w:val="00D9180D"/>
    <w:rsid w:val="00D91823"/>
    <w:rsid w:val="00D91A6D"/>
    <w:rsid w:val="00D91C2F"/>
    <w:rsid w:val="00D91F9F"/>
    <w:rsid w:val="00D924CB"/>
    <w:rsid w:val="00D92C70"/>
    <w:rsid w:val="00D92FC6"/>
    <w:rsid w:val="00D931E4"/>
    <w:rsid w:val="00D93360"/>
    <w:rsid w:val="00D9343E"/>
    <w:rsid w:val="00D9352C"/>
    <w:rsid w:val="00D93AE5"/>
    <w:rsid w:val="00D93C60"/>
    <w:rsid w:val="00D942E6"/>
    <w:rsid w:val="00D94C3E"/>
    <w:rsid w:val="00D95536"/>
    <w:rsid w:val="00D959A7"/>
    <w:rsid w:val="00D95AB6"/>
    <w:rsid w:val="00D95D02"/>
    <w:rsid w:val="00D95F9C"/>
    <w:rsid w:val="00D9607C"/>
    <w:rsid w:val="00D96219"/>
    <w:rsid w:val="00D96906"/>
    <w:rsid w:val="00D97102"/>
    <w:rsid w:val="00D9750B"/>
    <w:rsid w:val="00D9776B"/>
    <w:rsid w:val="00D97859"/>
    <w:rsid w:val="00D9787C"/>
    <w:rsid w:val="00D978AD"/>
    <w:rsid w:val="00D97A99"/>
    <w:rsid w:val="00D97E24"/>
    <w:rsid w:val="00D97F80"/>
    <w:rsid w:val="00D97F84"/>
    <w:rsid w:val="00DA0273"/>
    <w:rsid w:val="00DA059F"/>
    <w:rsid w:val="00DA0661"/>
    <w:rsid w:val="00DA09DC"/>
    <w:rsid w:val="00DA09EE"/>
    <w:rsid w:val="00DA09FB"/>
    <w:rsid w:val="00DA0ABA"/>
    <w:rsid w:val="00DA0D57"/>
    <w:rsid w:val="00DA0EF2"/>
    <w:rsid w:val="00DA123A"/>
    <w:rsid w:val="00DA12B8"/>
    <w:rsid w:val="00DA140D"/>
    <w:rsid w:val="00DA182F"/>
    <w:rsid w:val="00DA18FE"/>
    <w:rsid w:val="00DA198C"/>
    <w:rsid w:val="00DA1A38"/>
    <w:rsid w:val="00DA1B82"/>
    <w:rsid w:val="00DA1E6A"/>
    <w:rsid w:val="00DA2538"/>
    <w:rsid w:val="00DA2E6C"/>
    <w:rsid w:val="00DA3164"/>
    <w:rsid w:val="00DA31F5"/>
    <w:rsid w:val="00DA344A"/>
    <w:rsid w:val="00DA3671"/>
    <w:rsid w:val="00DA394B"/>
    <w:rsid w:val="00DA3C7E"/>
    <w:rsid w:val="00DA3C96"/>
    <w:rsid w:val="00DA3F60"/>
    <w:rsid w:val="00DA3F9A"/>
    <w:rsid w:val="00DA49A4"/>
    <w:rsid w:val="00DA4C4C"/>
    <w:rsid w:val="00DA4D95"/>
    <w:rsid w:val="00DA528B"/>
    <w:rsid w:val="00DA551D"/>
    <w:rsid w:val="00DA56BA"/>
    <w:rsid w:val="00DA5819"/>
    <w:rsid w:val="00DA5856"/>
    <w:rsid w:val="00DA5A42"/>
    <w:rsid w:val="00DA5B78"/>
    <w:rsid w:val="00DA5D88"/>
    <w:rsid w:val="00DA5F30"/>
    <w:rsid w:val="00DA5FB3"/>
    <w:rsid w:val="00DA68AE"/>
    <w:rsid w:val="00DA7160"/>
    <w:rsid w:val="00DA730D"/>
    <w:rsid w:val="00DA737C"/>
    <w:rsid w:val="00DA73AC"/>
    <w:rsid w:val="00DA7861"/>
    <w:rsid w:val="00DA7AAB"/>
    <w:rsid w:val="00DA7DA3"/>
    <w:rsid w:val="00DB02DB"/>
    <w:rsid w:val="00DB03F9"/>
    <w:rsid w:val="00DB0E38"/>
    <w:rsid w:val="00DB100B"/>
    <w:rsid w:val="00DB10AC"/>
    <w:rsid w:val="00DB1B6E"/>
    <w:rsid w:val="00DB1F23"/>
    <w:rsid w:val="00DB1F35"/>
    <w:rsid w:val="00DB1F90"/>
    <w:rsid w:val="00DB2116"/>
    <w:rsid w:val="00DB2334"/>
    <w:rsid w:val="00DB267B"/>
    <w:rsid w:val="00DB2AE2"/>
    <w:rsid w:val="00DB2D39"/>
    <w:rsid w:val="00DB2D53"/>
    <w:rsid w:val="00DB3246"/>
    <w:rsid w:val="00DB3343"/>
    <w:rsid w:val="00DB3820"/>
    <w:rsid w:val="00DB386C"/>
    <w:rsid w:val="00DB3BB1"/>
    <w:rsid w:val="00DB3C4B"/>
    <w:rsid w:val="00DB3CC3"/>
    <w:rsid w:val="00DB3FE4"/>
    <w:rsid w:val="00DB4B27"/>
    <w:rsid w:val="00DB5098"/>
    <w:rsid w:val="00DB50E7"/>
    <w:rsid w:val="00DB5201"/>
    <w:rsid w:val="00DB5D9A"/>
    <w:rsid w:val="00DB5F04"/>
    <w:rsid w:val="00DB62CA"/>
    <w:rsid w:val="00DB63C7"/>
    <w:rsid w:val="00DB6587"/>
    <w:rsid w:val="00DB6781"/>
    <w:rsid w:val="00DB6A44"/>
    <w:rsid w:val="00DB6D20"/>
    <w:rsid w:val="00DB7326"/>
    <w:rsid w:val="00DB7474"/>
    <w:rsid w:val="00DB7B8D"/>
    <w:rsid w:val="00DC0045"/>
    <w:rsid w:val="00DC00DD"/>
    <w:rsid w:val="00DC02B8"/>
    <w:rsid w:val="00DC02CE"/>
    <w:rsid w:val="00DC046D"/>
    <w:rsid w:val="00DC10FE"/>
    <w:rsid w:val="00DC1E78"/>
    <w:rsid w:val="00DC1EB6"/>
    <w:rsid w:val="00DC22DE"/>
    <w:rsid w:val="00DC23A5"/>
    <w:rsid w:val="00DC2A33"/>
    <w:rsid w:val="00DC2C52"/>
    <w:rsid w:val="00DC2D41"/>
    <w:rsid w:val="00DC2D51"/>
    <w:rsid w:val="00DC32AE"/>
    <w:rsid w:val="00DC32CB"/>
    <w:rsid w:val="00DC32FC"/>
    <w:rsid w:val="00DC34C4"/>
    <w:rsid w:val="00DC3893"/>
    <w:rsid w:val="00DC3CE0"/>
    <w:rsid w:val="00DC4221"/>
    <w:rsid w:val="00DC43B7"/>
    <w:rsid w:val="00DC44EF"/>
    <w:rsid w:val="00DC4760"/>
    <w:rsid w:val="00DC47AA"/>
    <w:rsid w:val="00DC4C68"/>
    <w:rsid w:val="00DC4CA2"/>
    <w:rsid w:val="00DC4E68"/>
    <w:rsid w:val="00DC5BC7"/>
    <w:rsid w:val="00DC5C39"/>
    <w:rsid w:val="00DC6030"/>
    <w:rsid w:val="00DC62CA"/>
    <w:rsid w:val="00DC63E0"/>
    <w:rsid w:val="00DC6A79"/>
    <w:rsid w:val="00DC6E9B"/>
    <w:rsid w:val="00DC7458"/>
    <w:rsid w:val="00DD0019"/>
    <w:rsid w:val="00DD077F"/>
    <w:rsid w:val="00DD07A2"/>
    <w:rsid w:val="00DD08D3"/>
    <w:rsid w:val="00DD0F84"/>
    <w:rsid w:val="00DD11F7"/>
    <w:rsid w:val="00DD1293"/>
    <w:rsid w:val="00DD15EF"/>
    <w:rsid w:val="00DD1646"/>
    <w:rsid w:val="00DD1A35"/>
    <w:rsid w:val="00DD1A74"/>
    <w:rsid w:val="00DD1BBB"/>
    <w:rsid w:val="00DD1D46"/>
    <w:rsid w:val="00DD1F93"/>
    <w:rsid w:val="00DD21BD"/>
    <w:rsid w:val="00DD244A"/>
    <w:rsid w:val="00DD2522"/>
    <w:rsid w:val="00DD2617"/>
    <w:rsid w:val="00DD26D5"/>
    <w:rsid w:val="00DD26FB"/>
    <w:rsid w:val="00DD3314"/>
    <w:rsid w:val="00DD3877"/>
    <w:rsid w:val="00DD3B20"/>
    <w:rsid w:val="00DD3CCF"/>
    <w:rsid w:val="00DD3D9F"/>
    <w:rsid w:val="00DD4110"/>
    <w:rsid w:val="00DD4200"/>
    <w:rsid w:val="00DD4379"/>
    <w:rsid w:val="00DD4779"/>
    <w:rsid w:val="00DD49E1"/>
    <w:rsid w:val="00DD4A33"/>
    <w:rsid w:val="00DD4BAC"/>
    <w:rsid w:val="00DD4D26"/>
    <w:rsid w:val="00DD4E31"/>
    <w:rsid w:val="00DD584B"/>
    <w:rsid w:val="00DD585E"/>
    <w:rsid w:val="00DD5AB5"/>
    <w:rsid w:val="00DD5B6B"/>
    <w:rsid w:val="00DD5CBE"/>
    <w:rsid w:val="00DD5DBB"/>
    <w:rsid w:val="00DD68DB"/>
    <w:rsid w:val="00DD71B2"/>
    <w:rsid w:val="00DD746B"/>
    <w:rsid w:val="00DD75A3"/>
    <w:rsid w:val="00DD7C15"/>
    <w:rsid w:val="00DD7EB3"/>
    <w:rsid w:val="00DE0159"/>
    <w:rsid w:val="00DE0203"/>
    <w:rsid w:val="00DE0357"/>
    <w:rsid w:val="00DE05DB"/>
    <w:rsid w:val="00DE07A5"/>
    <w:rsid w:val="00DE0BD4"/>
    <w:rsid w:val="00DE0C68"/>
    <w:rsid w:val="00DE0E40"/>
    <w:rsid w:val="00DE0E48"/>
    <w:rsid w:val="00DE1006"/>
    <w:rsid w:val="00DE11E5"/>
    <w:rsid w:val="00DE1464"/>
    <w:rsid w:val="00DE15DB"/>
    <w:rsid w:val="00DE1689"/>
    <w:rsid w:val="00DE1E2C"/>
    <w:rsid w:val="00DE2799"/>
    <w:rsid w:val="00DE2A29"/>
    <w:rsid w:val="00DE2E75"/>
    <w:rsid w:val="00DE2F8E"/>
    <w:rsid w:val="00DE3C65"/>
    <w:rsid w:val="00DE4098"/>
    <w:rsid w:val="00DE440C"/>
    <w:rsid w:val="00DE4A34"/>
    <w:rsid w:val="00DE527D"/>
    <w:rsid w:val="00DE5655"/>
    <w:rsid w:val="00DE5AC2"/>
    <w:rsid w:val="00DE5CA1"/>
    <w:rsid w:val="00DE5D56"/>
    <w:rsid w:val="00DE5F20"/>
    <w:rsid w:val="00DE60C7"/>
    <w:rsid w:val="00DE662E"/>
    <w:rsid w:val="00DE69EA"/>
    <w:rsid w:val="00DE6B1F"/>
    <w:rsid w:val="00DE6D64"/>
    <w:rsid w:val="00DE6D7C"/>
    <w:rsid w:val="00DE6DF2"/>
    <w:rsid w:val="00DE75C4"/>
    <w:rsid w:val="00DE75F9"/>
    <w:rsid w:val="00DE796E"/>
    <w:rsid w:val="00DE79F2"/>
    <w:rsid w:val="00DE7EA4"/>
    <w:rsid w:val="00DE7F90"/>
    <w:rsid w:val="00DF0095"/>
    <w:rsid w:val="00DF0579"/>
    <w:rsid w:val="00DF05A4"/>
    <w:rsid w:val="00DF0AF1"/>
    <w:rsid w:val="00DF11AA"/>
    <w:rsid w:val="00DF1537"/>
    <w:rsid w:val="00DF176D"/>
    <w:rsid w:val="00DF17B6"/>
    <w:rsid w:val="00DF1B43"/>
    <w:rsid w:val="00DF21AC"/>
    <w:rsid w:val="00DF2211"/>
    <w:rsid w:val="00DF2A60"/>
    <w:rsid w:val="00DF34B6"/>
    <w:rsid w:val="00DF36DA"/>
    <w:rsid w:val="00DF37B1"/>
    <w:rsid w:val="00DF3B41"/>
    <w:rsid w:val="00DF3DAC"/>
    <w:rsid w:val="00DF3DB3"/>
    <w:rsid w:val="00DF3E69"/>
    <w:rsid w:val="00DF3EE0"/>
    <w:rsid w:val="00DF44BA"/>
    <w:rsid w:val="00DF468E"/>
    <w:rsid w:val="00DF4A5F"/>
    <w:rsid w:val="00DF4B48"/>
    <w:rsid w:val="00DF4BD5"/>
    <w:rsid w:val="00DF4D7C"/>
    <w:rsid w:val="00DF4E6E"/>
    <w:rsid w:val="00DF50FF"/>
    <w:rsid w:val="00DF51A6"/>
    <w:rsid w:val="00DF57D6"/>
    <w:rsid w:val="00DF590D"/>
    <w:rsid w:val="00DF5ABD"/>
    <w:rsid w:val="00DF5B6C"/>
    <w:rsid w:val="00DF5C3A"/>
    <w:rsid w:val="00DF5FB6"/>
    <w:rsid w:val="00DF66F4"/>
    <w:rsid w:val="00DF6E24"/>
    <w:rsid w:val="00DF7BD9"/>
    <w:rsid w:val="00E0004A"/>
    <w:rsid w:val="00E000F0"/>
    <w:rsid w:val="00E00338"/>
    <w:rsid w:val="00E004B4"/>
    <w:rsid w:val="00E0050E"/>
    <w:rsid w:val="00E00746"/>
    <w:rsid w:val="00E00AE3"/>
    <w:rsid w:val="00E00CDE"/>
    <w:rsid w:val="00E010A7"/>
    <w:rsid w:val="00E0134B"/>
    <w:rsid w:val="00E0198F"/>
    <w:rsid w:val="00E01B3B"/>
    <w:rsid w:val="00E01C70"/>
    <w:rsid w:val="00E01E17"/>
    <w:rsid w:val="00E01E94"/>
    <w:rsid w:val="00E01EB2"/>
    <w:rsid w:val="00E01FB4"/>
    <w:rsid w:val="00E01FC8"/>
    <w:rsid w:val="00E0204E"/>
    <w:rsid w:val="00E02975"/>
    <w:rsid w:val="00E02C0D"/>
    <w:rsid w:val="00E02C6E"/>
    <w:rsid w:val="00E02D11"/>
    <w:rsid w:val="00E02E70"/>
    <w:rsid w:val="00E0318B"/>
    <w:rsid w:val="00E031E5"/>
    <w:rsid w:val="00E03459"/>
    <w:rsid w:val="00E03B8D"/>
    <w:rsid w:val="00E03C63"/>
    <w:rsid w:val="00E03CDC"/>
    <w:rsid w:val="00E03D7A"/>
    <w:rsid w:val="00E03EC3"/>
    <w:rsid w:val="00E045BE"/>
    <w:rsid w:val="00E047F8"/>
    <w:rsid w:val="00E048CE"/>
    <w:rsid w:val="00E04BF9"/>
    <w:rsid w:val="00E05015"/>
    <w:rsid w:val="00E05395"/>
    <w:rsid w:val="00E05431"/>
    <w:rsid w:val="00E05583"/>
    <w:rsid w:val="00E058FA"/>
    <w:rsid w:val="00E05AC9"/>
    <w:rsid w:val="00E05FEC"/>
    <w:rsid w:val="00E060DD"/>
    <w:rsid w:val="00E06117"/>
    <w:rsid w:val="00E0616B"/>
    <w:rsid w:val="00E06187"/>
    <w:rsid w:val="00E066DD"/>
    <w:rsid w:val="00E06DB9"/>
    <w:rsid w:val="00E06E81"/>
    <w:rsid w:val="00E06F7B"/>
    <w:rsid w:val="00E07101"/>
    <w:rsid w:val="00E07124"/>
    <w:rsid w:val="00E07386"/>
    <w:rsid w:val="00E073AC"/>
    <w:rsid w:val="00E077F5"/>
    <w:rsid w:val="00E078FB"/>
    <w:rsid w:val="00E07B00"/>
    <w:rsid w:val="00E07F74"/>
    <w:rsid w:val="00E107DB"/>
    <w:rsid w:val="00E10B99"/>
    <w:rsid w:val="00E10BFB"/>
    <w:rsid w:val="00E1132B"/>
    <w:rsid w:val="00E11757"/>
    <w:rsid w:val="00E11CB1"/>
    <w:rsid w:val="00E11F04"/>
    <w:rsid w:val="00E1224F"/>
    <w:rsid w:val="00E12485"/>
    <w:rsid w:val="00E12704"/>
    <w:rsid w:val="00E127CA"/>
    <w:rsid w:val="00E129F0"/>
    <w:rsid w:val="00E12A92"/>
    <w:rsid w:val="00E131E9"/>
    <w:rsid w:val="00E13458"/>
    <w:rsid w:val="00E134D2"/>
    <w:rsid w:val="00E1376E"/>
    <w:rsid w:val="00E138BB"/>
    <w:rsid w:val="00E13907"/>
    <w:rsid w:val="00E139EF"/>
    <w:rsid w:val="00E13A1B"/>
    <w:rsid w:val="00E13A5B"/>
    <w:rsid w:val="00E13AA6"/>
    <w:rsid w:val="00E1413F"/>
    <w:rsid w:val="00E1433D"/>
    <w:rsid w:val="00E143B0"/>
    <w:rsid w:val="00E14576"/>
    <w:rsid w:val="00E14688"/>
    <w:rsid w:val="00E1468B"/>
    <w:rsid w:val="00E149C6"/>
    <w:rsid w:val="00E14D72"/>
    <w:rsid w:val="00E14DF3"/>
    <w:rsid w:val="00E14E3B"/>
    <w:rsid w:val="00E14EC2"/>
    <w:rsid w:val="00E150ED"/>
    <w:rsid w:val="00E153F0"/>
    <w:rsid w:val="00E15899"/>
    <w:rsid w:val="00E158D2"/>
    <w:rsid w:val="00E15A1C"/>
    <w:rsid w:val="00E15A49"/>
    <w:rsid w:val="00E15AF0"/>
    <w:rsid w:val="00E15D80"/>
    <w:rsid w:val="00E15E74"/>
    <w:rsid w:val="00E16344"/>
    <w:rsid w:val="00E16476"/>
    <w:rsid w:val="00E166B0"/>
    <w:rsid w:val="00E169DE"/>
    <w:rsid w:val="00E16BDB"/>
    <w:rsid w:val="00E16D4F"/>
    <w:rsid w:val="00E175B9"/>
    <w:rsid w:val="00E17ABA"/>
    <w:rsid w:val="00E17DF3"/>
    <w:rsid w:val="00E2039F"/>
    <w:rsid w:val="00E20472"/>
    <w:rsid w:val="00E2059A"/>
    <w:rsid w:val="00E207A7"/>
    <w:rsid w:val="00E208F7"/>
    <w:rsid w:val="00E20BD4"/>
    <w:rsid w:val="00E20D66"/>
    <w:rsid w:val="00E212FA"/>
    <w:rsid w:val="00E2132D"/>
    <w:rsid w:val="00E2160C"/>
    <w:rsid w:val="00E21810"/>
    <w:rsid w:val="00E219BA"/>
    <w:rsid w:val="00E21B2C"/>
    <w:rsid w:val="00E21E9A"/>
    <w:rsid w:val="00E22081"/>
    <w:rsid w:val="00E22254"/>
    <w:rsid w:val="00E222A9"/>
    <w:rsid w:val="00E22877"/>
    <w:rsid w:val="00E22B06"/>
    <w:rsid w:val="00E22C0B"/>
    <w:rsid w:val="00E22D54"/>
    <w:rsid w:val="00E22E7D"/>
    <w:rsid w:val="00E230C5"/>
    <w:rsid w:val="00E230ED"/>
    <w:rsid w:val="00E2312D"/>
    <w:rsid w:val="00E2322F"/>
    <w:rsid w:val="00E23277"/>
    <w:rsid w:val="00E23519"/>
    <w:rsid w:val="00E23693"/>
    <w:rsid w:val="00E2377D"/>
    <w:rsid w:val="00E239AF"/>
    <w:rsid w:val="00E23AF3"/>
    <w:rsid w:val="00E23E49"/>
    <w:rsid w:val="00E24649"/>
    <w:rsid w:val="00E24912"/>
    <w:rsid w:val="00E24D25"/>
    <w:rsid w:val="00E24DE4"/>
    <w:rsid w:val="00E24DF7"/>
    <w:rsid w:val="00E24EEA"/>
    <w:rsid w:val="00E251E1"/>
    <w:rsid w:val="00E253C8"/>
    <w:rsid w:val="00E255B6"/>
    <w:rsid w:val="00E25763"/>
    <w:rsid w:val="00E25A39"/>
    <w:rsid w:val="00E25A5A"/>
    <w:rsid w:val="00E25B08"/>
    <w:rsid w:val="00E25FF2"/>
    <w:rsid w:val="00E26140"/>
    <w:rsid w:val="00E266A8"/>
    <w:rsid w:val="00E26874"/>
    <w:rsid w:val="00E26962"/>
    <w:rsid w:val="00E26972"/>
    <w:rsid w:val="00E26A98"/>
    <w:rsid w:val="00E26B7A"/>
    <w:rsid w:val="00E270CD"/>
    <w:rsid w:val="00E27761"/>
    <w:rsid w:val="00E27A41"/>
    <w:rsid w:val="00E27A8A"/>
    <w:rsid w:val="00E27CAF"/>
    <w:rsid w:val="00E27E17"/>
    <w:rsid w:val="00E30076"/>
    <w:rsid w:val="00E30458"/>
    <w:rsid w:val="00E30726"/>
    <w:rsid w:val="00E30748"/>
    <w:rsid w:val="00E307F7"/>
    <w:rsid w:val="00E30F24"/>
    <w:rsid w:val="00E30F85"/>
    <w:rsid w:val="00E31082"/>
    <w:rsid w:val="00E312B8"/>
    <w:rsid w:val="00E31798"/>
    <w:rsid w:val="00E317AA"/>
    <w:rsid w:val="00E3188B"/>
    <w:rsid w:val="00E31990"/>
    <w:rsid w:val="00E31CEF"/>
    <w:rsid w:val="00E31EC9"/>
    <w:rsid w:val="00E32004"/>
    <w:rsid w:val="00E32375"/>
    <w:rsid w:val="00E324BD"/>
    <w:rsid w:val="00E325A6"/>
    <w:rsid w:val="00E32BF0"/>
    <w:rsid w:val="00E32CEF"/>
    <w:rsid w:val="00E32EE6"/>
    <w:rsid w:val="00E32F4D"/>
    <w:rsid w:val="00E333CB"/>
    <w:rsid w:val="00E33914"/>
    <w:rsid w:val="00E33AB3"/>
    <w:rsid w:val="00E33B26"/>
    <w:rsid w:val="00E33B3E"/>
    <w:rsid w:val="00E33CFC"/>
    <w:rsid w:val="00E33FF4"/>
    <w:rsid w:val="00E34081"/>
    <w:rsid w:val="00E34366"/>
    <w:rsid w:val="00E34AB8"/>
    <w:rsid w:val="00E34BCA"/>
    <w:rsid w:val="00E34EBF"/>
    <w:rsid w:val="00E35268"/>
    <w:rsid w:val="00E35299"/>
    <w:rsid w:val="00E35348"/>
    <w:rsid w:val="00E353C5"/>
    <w:rsid w:val="00E3559F"/>
    <w:rsid w:val="00E357EA"/>
    <w:rsid w:val="00E3598A"/>
    <w:rsid w:val="00E35A00"/>
    <w:rsid w:val="00E35C6F"/>
    <w:rsid w:val="00E3609C"/>
    <w:rsid w:val="00E36349"/>
    <w:rsid w:val="00E36711"/>
    <w:rsid w:val="00E369AD"/>
    <w:rsid w:val="00E36A5A"/>
    <w:rsid w:val="00E36ACF"/>
    <w:rsid w:val="00E36D73"/>
    <w:rsid w:val="00E37746"/>
    <w:rsid w:val="00E37797"/>
    <w:rsid w:val="00E3786E"/>
    <w:rsid w:val="00E37BEB"/>
    <w:rsid w:val="00E37F96"/>
    <w:rsid w:val="00E4012E"/>
    <w:rsid w:val="00E401A4"/>
    <w:rsid w:val="00E40357"/>
    <w:rsid w:val="00E4047B"/>
    <w:rsid w:val="00E40B0D"/>
    <w:rsid w:val="00E40E3B"/>
    <w:rsid w:val="00E40EC5"/>
    <w:rsid w:val="00E4102C"/>
    <w:rsid w:val="00E4116A"/>
    <w:rsid w:val="00E41484"/>
    <w:rsid w:val="00E41727"/>
    <w:rsid w:val="00E417BC"/>
    <w:rsid w:val="00E41A77"/>
    <w:rsid w:val="00E41BCD"/>
    <w:rsid w:val="00E41BEF"/>
    <w:rsid w:val="00E41EFE"/>
    <w:rsid w:val="00E42099"/>
    <w:rsid w:val="00E42145"/>
    <w:rsid w:val="00E42691"/>
    <w:rsid w:val="00E426AA"/>
    <w:rsid w:val="00E42C1F"/>
    <w:rsid w:val="00E42ECB"/>
    <w:rsid w:val="00E43257"/>
    <w:rsid w:val="00E43506"/>
    <w:rsid w:val="00E437C4"/>
    <w:rsid w:val="00E4392A"/>
    <w:rsid w:val="00E43EC6"/>
    <w:rsid w:val="00E43F58"/>
    <w:rsid w:val="00E43F8B"/>
    <w:rsid w:val="00E44459"/>
    <w:rsid w:val="00E44509"/>
    <w:rsid w:val="00E447D3"/>
    <w:rsid w:val="00E45450"/>
    <w:rsid w:val="00E45615"/>
    <w:rsid w:val="00E459E6"/>
    <w:rsid w:val="00E45A9C"/>
    <w:rsid w:val="00E45EAF"/>
    <w:rsid w:val="00E45F20"/>
    <w:rsid w:val="00E46176"/>
    <w:rsid w:val="00E46196"/>
    <w:rsid w:val="00E465FB"/>
    <w:rsid w:val="00E4684F"/>
    <w:rsid w:val="00E46AAE"/>
    <w:rsid w:val="00E46E99"/>
    <w:rsid w:val="00E4726A"/>
    <w:rsid w:val="00E4730A"/>
    <w:rsid w:val="00E47A56"/>
    <w:rsid w:val="00E47C64"/>
    <w:rsid w:val="00E50EB4"/>
    <w:rsid w:val="00E5118A"/>
    <w:rsid w:val="00E516F9"/>
    <w:rsid w:val="00E52156"/>
    <w:rsid w:val="00E522F6"/>
    <w:rsid w:val="00E52580"/>
    <w:rsid w:val="00E525D1"/>
    <w:rsid w:val="00E52824"/>
    <w:rsid w:val="00E52A0C"/>
    <w:rsid w:val="00E52D90"/>
    <w:rsid w:val="00E52FF7"/>
    <w:rsid w:val="00E532D9"/>
    <w:rsid w:val="00E5331D"/>
    <w:rsid w:val="00E53476"/>
    <w:rsid w:val="00E537F1"/>
    <w:rsid w:val="00E53817"/>
    <w:rsid w:val="00E5392E"/>
    <w:rsid w:val="00E53954"/>
    <w:rsid w:val="00E53B14"/>
    <w:rsid w:val="00E53D10"/>
    <w:rsid w:val="00E53D6A"/>
    <w:rsid w:val="00E53D77"/>
    <w:rsid w:val="00E541F1"/>
    <w:rsid w:val="00E54453"/>
    <w:rsid w:val="00E544D3"/>
    <w:rsid w:val="00E54547"/>
    <w:rsid w:val="00E549CB"/>
    <w:rsid w:val="00E54B04"/>
    <w:rsid w:val="00E54C6C"/>
    <w:rsid w:val="00E54DE1"/>
    <w:rsid w:val="00E55934"/>
    <w:rsid w:val="00E56113"/>
    <w:rsid w:val="00E561B5"/>
    <w:rsid w:val="00E5630B"/>
    <w:rsid w:val="00E56A67"/>
    <w:rsid w:val="00E56B47"/>
    <w:rsid w:val="00E56F44"/>
    <w:rsid w:val="00E56FF0"/>
    <w:rsid w:val="00E57315"/>
    <w:rsid w:val="00E57844"/>
    <w:rsid w:val="00E57D92"/>
    <w:rsid w:val="00E57E1A"/>
    <w:rsid w:val="00E57EA5"/>
    <w:rsid w:val="00E60A39"/>
    <w:rsid w:val="00E60BF5"/>
    <w:rsid w:val="00E60E28"/>
    <w:rsid w:val="00E61A59"/>
    <w:rsid w:val="00E61B2B"/>
    <w:rsid w:val="00E62009"/>
    <w:rsid w:val="00E62969"/>
    <w:rsid w:val="00E62AB7"/>
    <w:rsid w:val="00E62AC9"/>
    <w:rsid w:val="00E62E1E"/>
    <w:rsid w:val="00E62EF4"/>
    <w:rsid w:val="00E6321A"/>
    <w:rsid w:val="00E6339C"/>
    <w:rsid w:val="00E63735"/>
    <w:rsid w:val="00E63756"/>
    <w:rsid w:val="00E63D5F"/>
    <w:rsid w:val="00E6454E"/>
    <w:rsid w:val="00E646C3"/>
    <w:rsid w:val="00E6471E"/>
    <w:rsid w:val="00E64743"/>
    <w:rsid w:val="00E647B5"/>
    <w:rsid w:val="00E64AA4"/>
    <w:rsid w:val="00E64C89"/>
    <w:rsid w:val="00E6515E"/>
    <w:rsid w:val="00E651C4"/>
    <w:rsid w:val="00E65397"/>
    <w:rsid w:val="00E65423"/>
    <w:rsid w:val="00E65554"/>
    <w:rsid w:val="00E657F9"/>
    <w:rsid w:val="00E65B94"/>
    <w:rsid w:val="00E65E0C"/>
    <w:rsid w:val="00E6614C"/>
    <w:rsid w:val="00E66278"/>
    <w:rsid w:val="00E66468"/>
    <w:rsid w:val="00E665B8"/>
    <w:rsid w:val="00E665F3"/>
    <w:rsid w:val="00E6663B"/>
    <w:rsid w:val="00E667D0"/>
    <w:rsid w:val="00E667E2"/>
    <w:rsid w:val="00E66C0B"/>
    <w:rsid w:val="00E66C38"/>
    <w:rsid w:val="00E66D64"/>
    <w:rsid w:val="00E66EF0"/>
    <w:rsid w:val="00E66F05"/>
    <w:rsid w:val="00E67141"/>
    <w:rsid w:val="00E67715"/>
    <w:rsid w:val="00E67E12"/>
    <w:rsid w:val="00E70703"/>
    <w:rsid w:val="00E70802"/>
    <w:rsid w:val="00E708B6"/>
    <w:rsid w:val="00E70982"/>
    <w:rsid w:val="00E70D16"/>
    <w:rsid w:val="00E70F47"/>
    <w:rsid w:val="00E71814"/>
    <w:rsid w:val="00E719FC"/>
    <w:rsid w:val="00E71E1E"/>
    <w:rsid w:val="00E71F95"/>
    <w:rsid w:val="00E7231C"/>
    <w:rsid w:val="00E72853"/>
    <w:rsid w:val="00E72C80"/>
    <w:rsid w:val="00E72DCA"/>
    <w:rsid w:val="00E72E4F"/>
    <w:rsid w:val="00E73018"/>
    <w:rsid w:val="00E731F8"/>
    <w:rsid w:val="00E73318"/>
    <w:rsid w:val="00E733F2"/>
    <w:rsid w:val="00E737B5"/>
    <w:rsid w:val="00E7397E"/>
    <w:rsid w:val="00E74581"/>
    <w:rsid w:val="00E74708"/>
    <w:rsid w:val="00E747AF"/>
    <w:rsid w:val="00E748CB"/>
    <w:rsid w:val="00E74947"/>
    <w:rsid w:val="00E74A76"/>
    <w:rsid w:val="00E74B73"/>
    <w:rsid w:val="00E74C1B"/>
    <w:rsid w:val="00E74DB6"/>
    <w:rsid w:val="00E74E87"/>
    <w:rsid w:val="00E74EA3"/>
    <w:rsid w:val="00E751A8"/>
    <w:rsid w:val="00E751B9"/>
    <w:rsid w:val="00E751C9"/>
    <w:rsid w:val="00E751D0"/>
    <w:rsid w:val="00E753DC"/>
    <w:rsid w:val="00E756FB"/>
    <w:rsid w:val="00E757B0"/>
    <w:rsid w:val="00E759FD"/>
    <w:rsid w:val="00E75B43"/>
    <w:rsid w:val="00E75F99"/>
    <w:rsid w:val="00E76120"/>
    <w:rsid w:val="00E765DF"/>
    <w:rsid w:val="00E766A1"/>
    <w:rsid w:val="00E76892"/>
    <w:rsid w:val="00E774A1"/>
    <w:rsid w:val="00E776F9"/>
    <w:rsid w:val="00E7786D"/>
    <w:rsid w:val="00E77B51"/>
    <w:rsid w:val="00E77DDD"/>
    <w:rsid w:val="00E80536"/>
    <w:rsid w:val="00E805C8"/>
    <w:rsid w:val="00E808C2"/>
    <w:rsid w:val="00E80B55"/>
    <w:rsid w:val="00E80B82"/>
    <w:rsid w:val="00E80CA8"/>
    <w:rsid w:val="00E81602"/>
    <w:rsid w:val="00E81C1C"/>
    <w:rsid w:val="00E81FF9"/>
    <w:rsid w:val="00E823F0"/>
    <w:rsid w:val="00E82406"/>
    <w:rsid w:val="00E828A9"/>
    <w:rsid w:val="00E82A6B"/>
    <w:rsid w:val="00E82B57"/>
    <w:rsid w:val="00E82CBB"/>
    <w:rsid w:val="00E83329"/>
    <w:rsid w:val="00E833B1"/>
    <w:rsid w:val="00E83438"/>
    <w:rsid w:val="00E83487"/>
    <w:rsid w:val="00E83B61"/>
    <w:rsid w:val="00E83C40"/>
    <w:rsid w:val="00E843C1"/>
    <w:rsid w:val="00E844C9"/>
    <w:rsid w:val="00E8450D"/>
    <w:rsid w:val="00E845DD"/>
    <w:rsid w:val="00E84947"/>
    <w:rsid w:val="00E85011"/>
    <w:rsid w:val="00E854AE"/>
    <w:rsid w:val="00E855A5"/>
    <w:rsid w:val="00E858A9"/>
    <w:rsid w:val="00E859E2"/>
    <w:rsid w:val="00E85D0E"/>
    <w:rsid w:val="00E8641C"/>
    <w:rsid w:val="00E86671"/>
    <w:rsid w:val="00E86749"/>
    <w:rsid w:val="00E87128"/>
    <w:rsid w:val="00E871AF"/>
    <w:rsid w:val="00E87566"/>
    <w:rsid w:val="00E87667"/>
    <w:rsid w:val="00E87AE2"/>
    <w:rsid w:val="00E87BD8"/>
    <w:rsid w:val="00E908A8"/>
    <w:rsid w:val="00E908F0"/>
    <w:rsid w:val="00E90C89"/>
    <w:rsid w:val="00E90DA3"/>
    <w:rsid w:val="00E91769"/>
    <w:rsid w:val="00E91A2D"/>
    <w:rsid w:val="00E91C1F"/>
    <w:rsid w:val="00E91D4F"/>
    <w:rsid w:val="00E91E4F"/>
    <w:rsid w:val="00E91F41"/>
    <w:rsid w:val="00E9205D"/>
    <w:rsid w:val="00E920EB"/>
    <w:rsid w:val="00E92250"/>
    <w:rsid w:val="00E92317"/>
    <w:rsid w:val="00E923B9"/>
    <w:rsid w:val="00E92541"/>
    <w:rsid w:val="00E92AC7"/>
    <w:rsid w:val="00E92B69"/>
    <w:rsid w:val="00E92D0A"/>
    <w:rsid w:val="00E93032"/>
    <w:rsid w:val="00E930F2"/>
    <w:rsid w:val="00E93452"/>
    <w:rsid w:val="00E9348C"/>
    <w:rsid w:val="00E937BF"/>
    <w:rsid w:val="00E93914"/>
    <w:rsid w:val="00E93D03"/>
    <w:rsid w:val="00E94050"/>
    <w:rsid w:val="00E94474"/>
    <w:rsid w:val="00E94653"/>
    <w:rsid w:val="00E947B6"/>
    <w:rsid w:val="00E947FD"/>
    <w:rsid w:val="00E94C4D"/>
    <w:rsid w:val="00E94D11"/>
    <w:rsid w:val="00E95077"/>
    <w:rsid w:val="00E95216"/>
    <w:rsid w:val="00E95283"/>
    <w:rsid w:val="00E95985"/>
    <w:rsid w:val="00E959E9"/>
    <w:rsid w:val="00E95D8F"/>
    <w:rsid w:val="00E961BB"/>
    <w:rsid w:val="00E9627A"/>
    <w:rsid w:val="00E969E2"/>
    <w:rsid w:val="00E96B83"/>
    <w:rsid w:val="00E96DC5"/>
    <w:rsid w:val="00E9719E"/>
    <w:rsid w:val="00E973CD"/>
    <w:rsid w:val="00E9744F"/>
    <w:rsid w:val="00E97808"/>
    <w:rsid w:val="00E97AAD"/>
    <w:rsid w:val="00E97C06"/>
    <w:rsid w:val="00E97FE3"/>
    <w:rsid w:val="00EA028D"/>
    <w:rsid w:val="00EA036C"/>
    <w:rsid w:val="00EA045D"/>
    <w:rsid w:val="00EA05E1"/>
    <w:rsid w:val="00EA08B5"/>
    <w:rsid w:val="00EA09F3"/>
    <w:rsid w:val="00EA0C7F"/>
    <w:rsid w:val="00EA12BE"/>
    <w:rsid w:val="00EA1B6D"/>
    <w:rsid w:val="00EA1C4B"/>
    <w:rsid w:val="00EA1D6E"/>
    <w:rsid w:val="00EA2A3E"/>
    <w:rsid w:val="00EA2D5E"/>
    <w:rsid w:val="00EA37DA"/>
    <w:rsid w:val="00EA384F"/>
    <w:rsid w:val="00EA3A43"/>
    <w:rsid w:val="00EA3A8E"/>
    <w:rsid w:val="00EA3B4E"/>
    <w:rsid w:val="00EA3D27"/>
    <w:rsid w:val="00EA40D6"/>
    <w:rsid w:val="00EA41E2"/>
    <w:rsid w:val="00EA49B0"/>
    <w:rsid w:val="00EA4F38"/>
    <w:rsid w:val="00EA54EA"/>
    <w:rsid w:val="00EA55DA"/>
    <w:rsid w:val="00EA5D5D"/>
    <w:rsid w:val="00EA6064"/>
    <w:rsid w:val="00EA628F"/>
    <w:rsid w:val="00EA66DD"/>
    <w:rsid w:val="00EA6AD4"/>
    <w:rsid w:val="00EA6D52"/>
    <w:rsid w:val="00EA7A88"/>
    <w:rsid w:val="00EA7B76"/>
    <w:rsid w:val="00EA7BBB"/>
    <w:rsid w:val="00EA7C9B"/>
    <w:rsid w:val="00EA7DF3"/>
    <w:rsid w:val="00EA7EAA"/>
    <w:rsid w:val="00EB0249"/>
    <w:rsid w:val="00EB04B2"/>
    <w:rsid w:val="00EB0590"/>
    <w:rsid w:val="00EB05AB"/>
    <w:rsid w:val="00EB095B"/>
    <w:rsid w:val="00EB105A"/>
    <w:rsid w:val="00EB1B50"/>
    <w:rsid w:val="00EB1C3F"/>
    <w:rsid w:val="00EB1C67"/>
    <w:rsid w:val="00EB1EF4"/>
    <w:rsid w:val="00EB21B3"/>
    <w:rsid w:val="00EB229D"/>
    <w:rsid w:val="00EB22B7"/>
    <w:rsid w:val="00EB27E1"/>
    <w:rsid w:val="00EB286E"/>
    <w:rsid w:val="00EB2E3F"/>
    <w:rsid w:val="00EB3016"/>
    <w:rsid w:val="00EB32A2"/>
    <w:rsid w:val="00EB32E6"/>
    <w:rsid w:val="00EB3510"/>
    <w:rsid w:val="00EB35CA"/>
    <w:rsid w:val="00EB3671"/>
    <w:rsid w:val="00EB3FC3"/>
    <w:rsid w:val="00EB40CA"/>
    <w:rsid w:val="00EB4287"/>
    <w:rsid w:val="00EB4B40"/>
    <w:rsid w:val="00EB4BD6"/>
    <w:rsid w:val="00EB4C79"/>
    <w:rsid w:val="00EB4F1E"/>
    <w:rsid w:val="00EB516C"/>
    <w:rsid w:val="00EB5516"/>
    <w:rsid w:val="00EB5539"/>
    <w:rsid w:val="00EB5937"/>
    <w:rsid w:val="00EB5B3E"/>
    <w:rsid w:val="00EB5C73"/>
    <w:rsid w:val="00EB5E2E"/>
    <w:rsid w:val="00EB5FC7"/>
    <w:rsid w:val="00EB6015"/>
    <w:rsid w:val="00EB6154"/>
    <w:rsid w:val="00EB6306"/>
    <w:rsid w:val="00EB6322"/>
    <w:rsid w:val="00EB6391"/>
    <w:rsid w:val="00EB640A"/>
    <w:rsid w:val="00EB6A19"/>
    <w:rsid w:val="00EB70FF"/>
    <w:rsid w:val="00EB7349"/>
    <w:rsid w:val="00EB75FD"/>
    <w:rsid w:val="00EB77E5"/>
    <w:rsid w:val="00EB7A7A"/>
    <w:rsid w:val="00EB7B0E"/>
    <w:rsid w:val="00EB7C85"/>
    <w:rsid w:val="00EB7E04"/>
    <w:rsid w:val="00EB7EF6"/>
    <w:rsid w:val="00EB7F50"/>
    <w:rsid w:val="00EC0097"/>
    <w:rsid w:val="00EC03EA"/>
    <w:rsid w:val="00EC043A"/>
    <w:rsid w:val="00EC06E4"/>
    <w:rsid w:val="00EC0B55"/>
    <w:rsid w:val="00EC1021"/>
    <w:rsid w:val="00EC1624"/>
    <w:rsid w:val="00EC1FDF"/>
    <w:rsid w:val="00EC22EC"/>
    <w:rsid w:val="00EC240A"/>
    <w:rsid w:val="00EC2729"/>
    <w:rsid w:val="00EC2841"/>
    <w:rsid w:val="00EC2861"/>
    <w:rsid w:val="00EC2996"/>
    <w:rsid w:val="00EC2A5D"/>
    <w:rsid w:val="00EC2F4B"/>
    <w:rsid w:val="00EC385E"/>
    <w:rsid w:val="00EC41A1"/>
    <w:rsid w:val="00EC434D"/>
    <w:rsid w:val="00EC491C"/>
    <w:rsid w:val="00EC49DC"/>
    <w:rsid w:val="00EC4B6F"/>
    <w:rsid w:val="00EC5198"/>
    <w:rsid w:val="00EC52EA"/>
    <w:rsid w:val="00EC5907"/>
    <w:rsid w:val="00EC5C19"/>
    <w:rsid w:val="00EC5DD0"/>
    <w:rsid w:val="00EC5F17"/>
    <w:rsid w:val="00EC61B8"/>
    <w:rsid w:val="00EC6221"/>
    <w:rsid w:val="00EC64D3"/>
    <w:rsid w:val="00EC65DE"/>
    <w:rsid w:val="00EC6783"/>
    <w:rsid w:val="00EC6809"/>
    <w:rsid w:val="00EC68E7"/>
    <w:rsid w:val="00EC6918"/>
    <w:rsid w:val="00EC6B82"/>
    <w:rsid w:val="00EC6C06"/>
    <w:rsid w:val="00EC6F75"/>
    <w:rsid w:val="00EC7472"/>
    <w:rsid w:val="00EC774F"/>
    <w:rsid w:val="00EC7E21"/>
    <w:rsid w:val="00EC7EA3"/>
    <w:rsid w:val="00ED0031"/>
    <w:rsid w:val="00ED03E8"/>
    <w:rsid w:val="00ED05ED"/>
    <w:rsid w:val="00ED1007"/>
    <w:rsid w:val="00ED106A"/>
    <w:rsid w:val="00ED113A"/>
    <w:rsid w:val="00ED1532"/>
    <w:rsid w:val="00ED1837"/>
    <w:rsid w:val="00ED1A29"/>
    <w:rsid w:val="00ED1B2E"/>
    <w:rsid w:val="00ED1E14"/>
    <w:rsid w:val="00ED1E2B"/>
    <w:rsid w:val="00ED1EDC"/>
    <w:rsid w:val="00ED1F31"/>
    <w:rsid w:val="00ED1F9E"/>
    <w:rsid w:val="00ED201E"/>
    <w:rsid w:val="00ED2073"/>
    <w:rsid w:val="00ED2542"/>
    <w:rsid w:val="00ED26C0"/>
    <w:rsid w:val="00ED287A"/>
    <w:rsid w:val="00ED29C8"/>
    <w:rsid w:val="00ED2B7D"/>
    <w:rsid w:val="00ED2C50"/>
    <w:rsid w:val="00ED2CA1"/>
    <w:rsid w:val="00ED3031"/>
    <w:rsid w:val="00ED3721"/>
    <w:rsid w:val="00ED380A"/>
    <w:rsid w:val="00ED3AC5"/>
    <w:rsid w:val="00ED3BB3"/>
    <w:rsid w:val="00ED3C13"/>
    <w:rsid w:val="00ED3E79"/>
    <w:rsid w:val="00ED3FE7"/>
    <w:rsid w:val="00ED47A9"/>
    <w:rsid w:val="00ED4BC0"/>
    <w:rsid w:val="00ED4C5E"/>
    <w:rsid w:val="00ED5352"/>
    <w:rsid w:val="00ED565C"/>
    <w:rsid w:val="00ED56CD"/>
    <w:rsid w:val="00ED5734"/>
    <w:rsid w:val="00ED5A09"/>
    <w:rsid w:val="00ED5E7A"/>
    <w:rsid w:val="00ED5FDD"/>
    <w:rsid w:val="00ED624A"/>
    <w:rsid w:val="00ED674D"/>
    <w:rsid w:val="00ED67D8"/>
    <w:rsid w:val="00ED6B9F"/>
    <w:rsid w:val="00ED6C9D"/>
    <w:rsid w:val="00ED7689"/>
    <w:rsid w:val="00ED76DC"/>
    <w:rsid w:val="00ED77D9"/>
    <w:rsid w:val="00ED7D79"/>
    <w:rsid w:val="00EE0267"/>
    <w:rsid w:val="00EE04C1"/>
    <w:rsid w:val="00EE093B"/>
    <w:rsid w:val="00EE0A63"/>
    <w:rsid w:val="00EE0E4C"/>
    <w:rsid w:val="00EE10E4"/>
    <w:rsid w:val="00EE1109"/>
    <w:rsid w:val="00EE1175"/>
    <w:rsid w:val="00EE1211"/>
    <w:rsid w:val="00EE1227"/>
    <w:rsid w:val="00EE148D"/>
    <w:rsid w:val="00EE1532"/>
    <w:rsid w:val="00EE1823"/>
    <w:rsid w:val="00EE18AA"/>
    <w:rsid w:val="00EE2581"/>
    <w:rsid w:val="00EE25DB"/>
    <w:rsid w:val="00EE2720"/>
    <w:rsid w:val="00EE2768"/>
    <w:rsid w:val="00EE282D"/>
    <w:rsid w:val="00EE288A"/>
    <w:rsid w:val="00EE2B0E"/>
    <w:rsid w:val="00EE2BB9"/>
    <w:rsid w:val="00EE2BF4"/>
    <w:rsid w:val="00EE31AB"/>
    <w:rsid w:val="00EE33A8"/>
    <w:rsid w:val="00EE3E6F"/>
    <w:rsid w:val="00EE3E91"/>
    <w:rsid w:val="00EE40BD"/>
    <w:rsid w:val="00EE430A"/>
    <w:rsid w:val="00EE4401"/>
    <w:rsid w:val="00EE4734"/>
    <w:rsid w:val="00EE47B8"/>
    <w:rsid w:val="00EE483A"/>
    <w:rsid w:val="00EE498E"/>
    <w:rsid w:val="00EE4DCF"/>
    <w:rsid w:val="00EE4FE8"/>
    <w:rsid w:val="00EE53E2"/>
    <w:rsid w:val="00EE54D8"/>
    <w:rsid w:val="00EE55F9"/>
    <w:rsid w:val="00EE5903"/>
    <w:rsid w:val="00EE5A2B"/>
    <w:rsid w:val="00EE5B3C"/>
    <w:rsid w:val="00EE64EC"/>
    <w:rsid w:val="00EE673A"/>
    <w:rsid w:val="00EE6901"/>
    <w:rsid w:val="00EE6A13"/>
    <w:rsid w:val="00EE6A99"/>
    <w:rsid w:val="00EE6AA7"/>
    <w:rsid w:val="00EE6D03"/>
    <w:rsid w:val="00EE6DE0"/>
    <w:rsid w:val="00EE6FDA"/>
    <w:rsid w:val="00EE70A2"/>
    <w:rsid w:val="00EE7162"/>
    <w:rsid w:val="00EF01FA"/>
    <w:rsid w:val="00EF0668"/>
    <w:rsid w:val="00EF0C48"/>
    <w:rsid w:val="00EF0E0A"/>
    <w:rsid w:val="00EF0E4A"/>
    <w:rsid w:val="00EF15C1"/>
    <w:rsid w:val="00EF20A8"/>
    <w:rsid w:val="00EF212A"/>
    <w:rsid w:val="00EF2464"/>
    <w:rsid w:val="00EF2595"/>
    <w:rsid w:val="00EF272F"/>
    <w:rsid w:val="00EF2B20"/>
    <w:rsid w:val="00EF2F02"/>
    <w:rsid w:val="00EF3750"/>
    <w:rsid w:val="00EF38E5"/>
    <w:rsid w:val="00EF3AE0"/>
    <w:rsid w:val="00EF3B2D"/>
    <w:rsid w:val="00EF3E64"/>
    <w:rsid w:val="00EF437A"/>
    <w:rsid w:val="00EF4426"/>
    <w:rsid w:val="00EF45F1"/>
    <w:rsid w:val="00EF47FC"/>
    <w:rsid w:val="00EF481C"/>
    <w:rsid w:val="00EF5216"/>
    <w:rsid w:val="00EF5344"/>
    <w:rsid w:val="00EF54BD"/>
    <w:rsid w:val="00EF54C9"/>
    <w:rsid w:val="00EF56AA"/>
    <w:rsid w:val="00EF60F7"/>
    <w:rsid w:val="00EF61DC"/>
    <w:rsid w:val="00EF6373"/>
    <w:rsid w:val="00EF658F"/>
    <w:rsid w:val="00EF6A8E"/>
    <w:rsid w:val="00EF6C40"/>
    <w:rsid w:val="00EF6E9E"/>
    <w:rsid w:val="00EF73E9"/>
    <w:rsid w:val="00EF7435"/>
    <w:rsid w:val="00EF78A3"/>
    <w:rsid w:val="00EF7963"/>
    <w:rsid w:val="00EF7A2B"/>
    <w:rsid w:val="00EF7C9C"/>
    <w:rsid w:val="00F00015"/>
    <w:rsid w:val="00F00030"/>
    <w:rsid w:val="00F00176"/>
    <w:rsid w:val="00F003A6"/>
    <w:rsid w:val="00F006D5"/>
    <w:rsid w:val="00F006E3"/>
    <w:rsid w:val="00F00B52"/>
    <w:rsid w:val="00F00BFC"/>
    <w:rsid w:val="00F01445"/>
    <w:rsid w:val="00F02223"/>
    <w:rsid w:val="00F02225"/>
    <w:rsid w:val="00F02377"/>
    <w:rsid w:val="00F029D5"/>
    <w:rsid w:val="00F02B14"/>
    <w:rsid w:val="00F0340B"/>
    <w:rsid w:val="00F035C0"/>
    <w:rsid w:val="00F03670"/>
    <w:rsid w:val="00F03774"/>
    <w:rsid w:val="00F0378C"/>
    <w:rsid w:val="00F037CB"/>
    <w:rsid w:val="00F039CF"/>
    <w:rsid w:val="00F03B2C"/>
    <w:rsid w:val="00F03B37"/>
    <w:rsid w:val="00F03C48"/>
    <w:rsid w:val="00F03D2D"/>
    <w:rsid w:val="00F03D7E"/>
    <w:rsid w:val="00F040A0"/>
    <w:rsid w:val="00F04170"/>
    <w:rsid w:val="00F04379"/>
    <w:rsid w:val="00F049B0"/>
    <w:rsid w:val="00F05C02"/>
    <w:rsid w:val="00F05D2B"/>
    <w:rsid w:val="00F05D8C"/>
    <w:rsid w:val="00F060B0"/>
    <w:rsid w:val="00F06149"/>
    <w:rsid w:val="00F06275"/>
    <w:rsid w:val="00F06909"/>
    <w:rsid w:val="00F06951"/>
    <w:rsid w:val="00F06B76"/>
    <w:rsid w:val="00F06B98"/>
    <w:rsid w:val="00F06C30"/>
    <w:rsid w:val="00F06D6F"/>
    <w:rsid w:val="00F06EB5"/>
    <w:rsid w:val="00F06F0C"/>
    <w:rsid w:val="00F070C5"/>
    <w:rsid w:val="00F071EB"/>
    <w:rsid w:val="00F07224"/>
    <w:rsid w:val="00F073F7"/>
    <w:rsid w:val="00F07702"/>
    <w:rsid w:val="00F079A9"/>
    <w:rsid w:val="00F07ACF"/>
    <w:rsid w:val="00F07B2F"/>
    <w:rsid w:val="00F07E75"/>
    <w:rsid w:val="00F07E9A"/>
    <w:rsid w:val="00F1003D"/>
    <w:rsid w:val="00F104D5"/>
    <w:rsid w:val="00F109CE"/>
    <w:rsid w:val="00F1110B"/>
    <w:rsid w:val="00F11789"/>
    <w:rsid w:val="00F11812"/>
    <w:rsid w:val="00F11B01"/>
    <w:rsid w:val="00F11C5F"/>
    <w:rsid w:val="00F12459"/>
    <w:rsid w:val="00F1260C"/>
    <w:rsid w:val="00F126DD"/>
    <w:rsid w:val="00F1272D"/>
    <w:rsid w:val="00F1274F"/>
    <w:rsid w:val="00F129D9"/>
    <w:rsid w:val="00F129E7"/>
    <w:rsid w:val="00F12A6E"/>
    <w:rsid w:val="00F12B10"/>
    <w:rsid w:val="00F12B8B"/>
    <w:rsid w:val="00F12B9B"/>
    <w:rsid w:val="00F12FD8"/>
    <w:rsid w:val="00F12FEA"/>
    <w:rsid w:val="00F1329B"/>
    <w:rsid w:val="00F134C5"/>
    <w:rsid w:val="00F138B0"/>
    <w:rsid w:val="00F13B4A"/>
    <w:rsid w:val="00F13BC8"/>
    <w:rsid w:val="00F13BDC"/>
    <w:rsid w:val="00F13C53"/>
    <w:rsid w:val="00F14144"/>
    <w:rsid w:val="00F145E1"/>
    <w:rsid w:val="00F14919"/>
    <w:rsid w:val="00F14D9A"/>
    <w:rsid w:val="00F1538B"/>
    <w:rsid w:val="00F1539C"/>
    <w:rsid w:val="00F15841"/>
    <w:rsid w:val="00F16341"/>
    <w:rsid w:val="00F167CE"/>
    <w:rsid w:val="00F16C34"/>
    <w:rsid w:val="00F16D50"/>
    <w:rsid w:val="00F17111"/>
    <w:rsid w:val="00F17185"/>
    <w:rsid w:val="00F175BE"/>
    <w:rsid w:val="00F17611"/>
    <w:rsid w:val="00F17676"/>
    <w:rsid w:val="00F177EF"/>
    <w:rsid w:val="00F17A8C"/>
    <w:rsid w:val="00F17B26"/>
    <w:rsid w:val="00F17B2A"/>
    <w:rsid w:val="00F17E43"/>
    <w:rsid w:val="00F17F5A"/>
    <w:rsid w:val="00F200D5"/>
    <w:rsid w:val="00F20473"/>
    <w:rsid w:val="00F205CB"/>
    <w:rsid w:val="00F20748"/>
    <w:rsid w:val="00F20848"/>
    <w:rsid w:val="00F208AF"/>
    <w:rsid w:val="00F20EE8"/>
    <w:rsid w:val="00F21081"/>
    <w:rsid w:val="00F210D1"/>
    <w:rsid w:val="00F2134F"/>
    <w:rsid w:val="00F216E5"/>
    <w:rsid w:val="00F21747"/>
    <w:rsid w:val="00F21D85"/>
    <w:rsid w:val="00F21E65"/>
    <w:rsid w:val="00F22026"/>
    <w:rsid w:val="00F22481"/>
    <w:rsid w:val="00F22699"/>
    <w:rsid w:val="00F227EC"/>
    <w:rsid w:val="00F2285F"/>
    <w:rsid w:val="00F228F1"/>
    <w:rsid w:val="00F22AD1"/>
    <w:rsid w:val="00F22C5C"/>
    <w:rsid w:val="00F23229"/>
    <w:rsid w:val="00F2322B"/>
    <w:rsid w:val="00F23436"/>
    <w:rsid w:val="00F234AB"/>
    <w:rsid w:val="00F234B1"/>
    <w:rsid w:val="00F23526"/>
    <w:rsid w:val="00F23575"/>
    <w:rsid w:val="00F237A2"/>
    <w:rsid w:val="00F23D5E"/>
    <w:rsid w:val="00F23E63"/>
    <w:rsid w:val="00F23F3B"/>
    <w:rsid w:val="00F2422E"/>
    <w:rsid w:val="00F24834"/>
    <w:rsid w:val="00F249E4"/>
    <w:rsid w:val="00F24C16"/>
    <w:rsid w:val="00F24EDE"/>
    <w:rsid w:val="00F24EEA"/>
    <w:rsid w:val="00F2504B"/>
    <w:rsid w:val="00F2545F"/>
    <w:rsid w:val="00F2561D"/>
    <w:rsid w:val="00F25853"/>
    <w:rsid w:val="00F25B89"/>
    <w:rsid w:val="00F25C8B"/>
    <w:rsid w:val="00F25E22"/>
    <w:rsid w:val="00F264A6"/>
    <w:rsid w:val="00F26527"/>
    <w:rsid w:val="00F26723"/>
    <w:rsid w:val="00F26A4C"/>
    <w:rsid w:val="00F26BF9"/>
    <w:rsid w:val="00F2763F"/>
    <w:rsid w:val="00F2781D"/>
    <w:rsid w:val="00F27AD2"/>
    <w:rsid w:val="00F27B2E"/>
    <w:rsid w:val="00F27D98"/>
    <w:rsid w:val="00F27E07"/>
    <w:rsid w:val="00F30099"/>
    <w:rsid w:val="00F302D5"/>
    <w:rsid w:val="00F306DD"/>
    <w:rsid w:val="00F30A94"/>
    <w:rsid w:val="00F30C9A"/>
    <w:rsid w:val="00F30F84"/>
    <w:rsid w:val="00F313B8"/>
    <w:rsid w:val="00F315BA"/>
    <w:rsid w:val="00F317F1"/>
    <w:rsid w:val="00F31E0B"/>
    <w:rsid w:val="00F31F2F"/>
    <w:rsid w:val="00F322B5"/>
    <w:rsid w:val="00F32922"/>
    <w:rsid w:val="00F330D5"/>
    <w:rsid w:val="00F33136"/>
    <w:rsid w:val="00F33B40"/>
    <w:rsid w:val="00F33ECC"/>
    <w:rsid w:val="00F33F3F"/>
    <w:rsid w:val="00F33F7C"/>
    <w:rsid w:val="00F34005"/>
    <w:rsid w:val="00F34198"/>
    <w:rsid w:val="00F3436A"/>
    <w:rsid w:val="00F3457B"/>
    <w:rsid w:val="00F34A8F"/>
    <w:rsid w:val="00F34B83"/>
    <w:rsid w:val="00F34BD6"/>
    <w:rsid w:val="00F3539C"/>
    <w:rsid w:val="00F36921"/>
    <w:rsid w:val="00F37502"/>
    <w:rsid w:val="00F3776C"/>
    <w:rsid w:val="00F37ABE"/>
    <w:rsid w:val="00F37B3A"/>
    <w:rsid w:val="00F37CBD"/>
    <w:rsid w:val="00F37DBD"/>
    <w:rsid w:val="00F37F4B"/>
    <w:rsid w:val="00F37F81"/>
    <w:rsid w:val="00F404A9"/>
    <w:rsid w:val="00F4055F"/>
    <w:rsid w:val="00F40633"/>
    <w:rsid w:val="00F409B6"/>
    <w:rsid w:val="00F40B8D"/>
    <w:rsid w:val="00F4142B"/>
    <w:rsid w:val="00F416CC"/>
    <w:rsid w:val="00F41743"/>
    <w:rsid w:val="00F4190C"/>
    <w:rsid w:val="00F420CC"/>
    <w:rsid w:val="00F4254A"/>
    <w:rsid w:val="00F42DE3"/>
    <w:rsid w:val="00F43087"/>
    <w:rsid w:val="00F432CE"/>
    <w:rsid w:val="00F432E1"/>
    <w:rsid w:val="00F436F8"/>
    <w:rsid w:val="00F43936"/>
    <w:rsid w:val="00F43F68"/>
    <w:rsid w:val="00F442FE"/>
    <w:rsid w:val="00F443C1"/>
    <w:rsid w:val="00F445FE"/>
    <w:rsid w:val="00F4472B"/>
    <w:rsid w:val="00F448E7"/>
    <w:rsid w:val="00F44FA2"/>
    <w:rsid w:val="00F450ED"/>
    <w:rsid w:val="00F456F6"/>
    <w:rsid w:val="00F459B8"/>
    <w:rsid w:val="00F45B77"/>
    <w:rsid w:val="00F45D3A"/>
    <w:rsid w:val="00F45E83"/>
    <w:rsid w:val="00F45F2E"/>
    <w:rsid w:val="00F4637D"/>
    <w:rsid w:val="00F46980"/>
    <w:rsid w:val="00F469A4"/>
    <w:rsid w:val="00F46CED"/>
    <w:rsid w:val="00F46EDC"/>
    <w:rsid w:val="00F47099"/>
    <w:rsid w:val="00F473D0"/>
    <w:rsid w:val="00F4764B"/>
    <w:rsid w:val="00F479C3"/>
    <w:rsid w:val="00F47D80"/>
    <w:rsid w:val="00F47DD0"/>
    <w:rsid w:val="00F47E8F"/>
    <w:rsid w:val="00F47ED6"/>
    <w:rsid w:val="00F5018C"/>
    <w:rsid w:val="00F50273"/>
    <w:rsid w:val="00F504FF"/>
    <w:rsid w:val="00F505A9"/>
    <w:rsid w:val="00F50B8C"/>
    <w:rsid w:val="00F50BA0"/>
    <w:rsid w:val="00F50CFB"/>
    <w:rsid w:val="00F50FC1"/>
    <w:rsid w:val="00F521DF"/>
    <w:rsid w:val="00F525A9"/>
    <w:rsid w:val="00F52A13"/>
    <w:rsid w:val="00F52DFA"/>
    <w:rsid w:val="00F52F4B"/>
    <w:rsid w:val="00F5321F"/>
    <w:rsid w:val="00F5325D"/>
    <w:rsid w:val="00F532AF"/>
    <w:rsid w:val="00F532D2"/>
    <w:rsid w:val="00F53381"/>
    <w:rsid w:val="00F533F1"/>
    <w:rsid w:val="00F53403"/>
    <w:rsid w:val="00F53520"/>
    <w:rsid w:val="00F537B2"/>
    <w:rsid w:val="00F53955"/>
    <w:rsid w:val="00F53BB7"/>
    <w:rsid w:val="00F53EDC"/>
    <w:rsid w:val="00F54072"/>
    <w:rsid w:val="00F540C0"/>
    <w:rsid w:val="00F541CA"/>
    <w:rsid w:val="00F541E0"/>
    <w:rsid w:val="00F54718"/>
    <w:rsid w:val="00F55295"/>
    <w:rsid w:val="00F552A3"/>
    <w:rsid w:val="00F55322"/>
    <w:rsid w:val="00F557F4"/>
    <w:rsid w:val="00F55F09"/>
    <w:rsid w:val="00F55F20"/>
    <w:rsid w:val="00F55F3F"/>
    <w:rsid w:val="00F56075"/>
    <w:rsid w:val="00F56149"/>
    <w:rsid w:val="00F564F1"/>
    <w:rsid w:val="00F567B1"/>
    <w:rsid w:val="00F56AFB"/>
    <w:rsid w:val="00F56FA4"/>
    <w:rsid w:val="00F5717E"/>
    <w:rsid w:val="00F57278"/>
    <w:rsid w:val="00F57600"/>
    <w:rsid w:val="00F57618"/>
    <w:rsid w:val="00F579B9"/>
    <w:rsid w:val="00F57DC7"/>
    <w:rsid w:val="00F60075"/>
    <w:rsid w:val="00F60419"/>
    <w:rsid w:val="00F60765"/>
    <w:rsid w:val="00F60937"/>
    <w:rsid w:val="00F60ABC"/>
    <w:rsid w:val="00F60C99"/>
    <w:rsid w:val="00F610E4"/>
    <w:rsid w:val="00F611CE"/>
    <w:rsid w:val="00F61267"/>
    <w:rsid w:val="00F61394"/>
    <w:rsid w:val="00F613D0"/>
    <w:rsid w:val="00F6165C"/>
    <w:rsid w:val="00F61B8C"/>
    <w:rsid w:val="00F61BA2"/>
    <w:rsid w:val="00F61BE4"/>
    <w:rsid w:val="00F61C5F"/>
    <w:rsid w:val="00F61CCF"/>
    <w:rsid w:val="00F620C7"/>
    <w:rsid w:val="00F6285D"/>
    <w:rsid w:val="00F62898"/>
    <w:rsid w:val="00F62ACB"/>
    <w:rsid w:val="00F62BED"/>
    <w:rsid w:val="00F62F4E"/>
    <w:rsid w:val="00F62F54"/>
    <w:rsid w:val="00F633CB"/>
    <w:rsid w:val="00F639B9"/>
    <w:rsid w:val="00F63C79"/>
    <w:rsid w:val="00F640A3"/>
    <w:rsid w:val="00F6435C"/>
    <w:rsid w:val="00F64699"/>
    <w:rsid w:val="00F649AB"/>
    <w:rsid w:val="00F64C29"/>
    <w:rsid w:val="00F64D1A"/>
    <w:rsid w:val="00F64D34"/>
    <w:rsid w:val="00F653D0"/>
    <w:rsid w:val="00F654D1"/>
    <w:rsid w:val="00F65774"/>
    <w:rsid w:val="00F65A49"/>
    <w:rsid w:val="00F65BD8"/>
    <w:rsid w:val="00F660D0"/>
    <w:rsid w:val="00F6615E"/>
    <w:rsid w:val="00F665EE"/>
    <w:rsid w:val="00F666F5"/>
    <w:rsid w:val="00F668F6"/>
    <w:rsid w:val="00F66904"/>
    <w:rsid w:val="00F66979"/>
    <w:rsid w:val="00F66BC7"/>
    <w:rsid w:val="00F670B4"/>
    <w:rsid w:val="00F670C3"/>
    <w:rsid w:val="00F671D1"/>
    <w:rsid w:val="00F67703"/>
    <w:rsid w:val="00F6785F"/>
    <w:rsid w:val="00F678D4"/>
    <w:rsid w:val="00F6796B"/>
    <w:rsid w:val="00F701C6"/>
    <w:rsid w:val="00F70399"/>
    <w:rsid w:val="00F7055A"/>
    <w:rsid w:val="00F70DAA"/>
    <w:rsid w:val="00F70EFB"/>
    <w:rsid w:val="00F7124B"/>
    <w:rsid w:val="00F7127C"/>
    <w:rsid w:val="00F71387"/>
    <w:rsid w:val="00F71B8A"/>
    <w:rsid w:val="00F71F4D"/>
    <w:rsid w:val="00F7225C"/>
    <w:rsid w:val="00F72403"/>
    <w:rsid w:val="00F72781"/>
    <w:rsid w:val="00F72DD6"/>
    <w:rsid w:val="00F72EC7"/>
    <w:rsid w:val="00F72F1A"/>
    <w:rsid w:val="00F72FC7"/>
    <w:rsid w:val="00F73102"/>
    <w:rsid w:val="00F73110"/>
    <w:rsid w:val="00F7329B"/>
    <w:rsid w:val="00F73489"/>
    <w:rsid w:val="00F73BA1"/>
    <w:rsid w:val="00F73C52"/>
    <w:rsid w:val="00F73E29"/>
    <w:rsid w:val="00F74001"/>
    <w:rsid w:val="00F74354"/>
    <w:rsid w:val="00F74B68"/>
    <w:rsid w:val="00F74BB2"/>
    <w:rsid w:val="00F75384"/>
    <w:rsid w:val="00F754ED"/>
    <w:rsid w:val="00F75681"/>
    <w:rsid w:val="00F75820"/>
    <w:rsid w:val="00F75E85"/>
    <w:rsid w:val="00F75EBA"/>
    <w:rsid w:val="00F75F41"/>
    <w:rsid w:val="00F7608E"/>
    <w:rsid w:val="00F760DB"/>
    <w:rsid w:val="00F76806"/>
    <w:rsid w:val="00F76AEA"/>
    <w:rsid w:val="00F76F5F"/>
    <w:rsid w:val="00F7700F"/>
    <w:rsid w:val="00F77664"/>
    <w:rsid w:val="00F77D77"/>
    <w:rsid w:val="00F800AA"/>
    <w:rsid w:val="00F80121"/>
    <w:rsid w:val="00F80162"/>
    <w:rsid w:val="00F80239"/>
    <w:rsid w:val="00F8038D"/>
    <w:rsid w:val="00F80603"/>
    <w:rsid w:val="00F81474"/>
    <w:rsid w:val="00F815FF"/>
    <w:rsid w:val="00F81B7B"/>
    <w:rsid w:val="00F81BB2"/>
    <w:rsid w:val="00F81C06"/>
    <w:rsid w:val="00F81C95"/>
    <w:rsid w:val="00F82620"/>
    <w:rsid w:val="00F82AED"/>
    <w:rsid w:val="00F82BB5"/>
    <w:rsid w:val="00F82BD3"/>
    <w:rsid w:val="00F82ED5"/>
    <w:rsid w:val="00F83092"/>
    <w:rsid w:val="00F83356"/>
    <w:rsid w:val="00F8355C"/>
    <w:rsid w:val="00F838A3"/>
    <w:rsid w:val="00F839B7"/>
    <w:rsid w:val="00F83A8C"/>
    <w:rsid w:val="00F83B4B"/>
    <w:rsid w:val="00F83B52"/>
    <w:rsid w:val="00F8403D"/>
    <w:rsid w:val="00F8404B"/>
    <w:rsid w:val="00F84317"/>
    <w:rsid w:val="00F84556"/>
    <w:rsid w:val="00F8465A"/>
    <w:rsid w:val="00F84AB3"/>
    <w:rsid w:val="00F84ABE"/>
    <w:rsid w:val="00F84AFF"/>
    <w:rsid w:val="00F84B1A"/>
    <w:rsid w:val="00F84D0F"/>
    <w:rsid w:val="00F84E9F"/>
    <w:rsid w:val="00F84EC1"/>
    <w:rsid w:val="00F84ED1"/>
    <w:rsid w:val="00F84F58"/>
    <w:rsid w:val="00F850CF"/>
    <w:rsid w:val="00F850E5"/>
    <w:rsid w:val="00F852B5"/>
    <w:rsid w:val="00F852DC"/>
    <w:rsid w:val="00F8533D"/>
    <w:rsid w:val="00F8548A"/>
    <w:rsid w:val="00F85756"/>
    <w:rsid w:val="00F85994"/>
    <w:rsid w:val="00F8626A"/>
    <w:rsid w:val="00F86310"/>
    <w:rsid w:val="00F868B2"/>
    <w:rsid w:val="00F869A6"/>
    <w:rsid w:val="00F86F96"/>
    <w:rsid w:val="00F8732B"/>
    <w:rsid w:val="00F87428"/>
    <w:rsid w:val="00F8764E"/>
    <w:rsid w:val="00F87B21"/>
    <w:rsid w:val="00F87D92"/>
    <w:rsid w:val="00F87EB7"/>
    <w:rsid w:val="00F90B29"/>
    <w:rsid w:val="00F90BD8"/>
    <w:rsid w:val="00F9181C"/>
    <w:rsid w:val="00F9184A"/>
    <w:rsid w:val="00F91C37"/>
    <w:rsid w:val="00F92374"/>
    <w:rsid w:val="00F924A1"/>
    <w:rsid w:val="00F926C1"/>
    <w:rsid w:val="00F935F6"/>
    <w:rsid w:val="00F938F4"/>
    <w:rsid w:val="00F93980"/>
    <w:rsid w:val="00F9398B"/>
    <w:rsid w:val="00F9460C"/>
    <w:rsid w:val="00F947C7"/>
    <w:rsid w:val="00F94B01"/>
    <w:rsid w:val="00F94B3A"/>
    <w:rsid w:val="00F95070"/>
    <w:rsid w:val="00F9591E"/>
    <w:rsid w:val="00F95A89"/>
    <w:rsid w:val="00F95DB4"/>
    <w:rsid w:val="00F95F24"/>
    <w:rsid w:val="00F960C2"/>
    <w:rsid w:val="00F96197"/>
    <w:rsid w:val="00F96200"/>
    <w:rsid w:val="00F964BA"/>
    <w:rsid w:val="00F9681D"/>
    <w:rsid w:val="00F96BCE"/>
    <w:rsid w:val="00F96F03"/>
    <w:rsid w:val="00F96FDE"/>
    <w:rsid w:val="00F97119"/>
    <w:rsid w:val="00F9731A"/>
    <w:rsid w:val="00F97AC4"/>
    <w:rsid w:val="00F97BDC"/>
    <w:rsid w:val="00F97D98"/>
    <w:rsid w:val="00FA02F6"/>
    <w:rsid w:val="00FA062A"/>
    <w:rsid w:val="00FA0B44"/>
    <w:rsid w:val="00FA0E94"/>
    <w:rsid w:val="00FA0EEC"/>
    <w:rsid w:val="00FA155F"/>
    <w:rsid w:val="00FA1751"/>
    <w:rsid w:val="00FA20A1"/>
    <w:rsid w:val="00FA2183"/>
    <w:rsid w:val="00FA225A"/>
    <w:rsid w:val="00FA23F8"/>
    <w:rsid w:val="00FA2560"/>
    <w:rsid w:val="00FA2EB7"/>
    <w:rsid w:val="00FA2EF6"/>
    <w:rsid w:val="00FA332A"/>
    <w:rsid w:val="00FA36CD"/>
    <w:rsid w:val="00FA38DB"/>
    <w:rsid w:val="00FA45E6"/>
    <w:rsid w:val="00FA4AAF"/>
    <w:rsid w:val="00FA4F01"/>
    <w:rsid w:val="00FA52FD"/>
    <w:rsid w:val="00FA539B"/>
    <w:rsid w:val="00FA5536"/>
    <w:rsid w:val="00FA57D9"/>
    <w:rsid w:val="00FA5A81"/>
    <w:rsid w:val="00FA6182"/>
    <w:rsid w:val="00FA62C1"/>
    <w:rsid w:val="00FA64D6"/>
    <w:rsid w:val="00FA6B75"/>
    <w:rsid w:val="00FA7183"/>
    <w:rsid w:val="00FA7415"/>
    <w:rsid w:val="00FA76A5"/>
    <w:rsid w:val="00FA780F"/>
    <w:rsid w:val="00FA7925"/>
    <w:rsid w:val="00FA7ACF"/>
    <w:rsid w:val="00FA7C6C"/>
    <w:rsid w:val="00FB0144"/>
    <w:rsid w:val="00FB0C29"/>
    <w:rsid w:val="00FB0C74"/>
    <w:rsid w:val="00FB10EE"/>
    <w:rsid w:val="00FB1197"/>
    <w:rsid w:val="00FB1692"/>
    <w:rsid w:val="00FB1735"/>
    <w:rsid w:val="00FB18EA"/>
    <w:rsid w:val="00FB1B32"/>
    <w:rsid w:val="00FB1FD2"/>
    <w:rsid w:val="00FB239C"/>
    <w:rsid w:val="00FB2594"/>
    <w:rsid w:val="00FB2A75"/>
    <w:rsid w:val="00FB33F1"/>
    <w:rsid w:val="00FB3612"/>
    <w:rsid w:val="00FB3C93"/>
    <w:rsid w:val="00FB3D0C"/>
    <w:rsid w:val="00FB3D13"/>
    <w:rsid w:val="00FB458B"/>
    <w:rsid w:val="00FB4957"/>
    <w:rsid w:val="00FB4AAE"/>
    <w:rsid w:val="00FB4E64"/>
    <w:rsid w:val="00FB56A5"/>
    <w:rsid w:val="00FB59F9"/>
    <w:rsid w:val="00FB5B5B"/>
    <w:rsid w:val="00FB5E64"/>
    <w:rsid w:val="00FB5ECC"/>
    <w:rsid w:val="00FB6152"/>
    <w:rsid w:val="00FB6164"/>
    <w:rsid w:val="00FB62A9"/>
    <w:rsid w:val="00FB6992"/>
    <w:rsid w:val="00FB6C69"/>
    <w:rsid w:val="00FB6F2B"/>
    <w:rsid w:val="00FB6FA6"/>
    <w:rsid w:val="00FB7214"/>
    <w:rsid w:val="00FB7500"/>
    <w:rsid w:val="00FB7637"/>
    <w:rsid w:val="00FB76BA"/>
    <w:rsid w:val="00FB7AF0"/>
    <w:rsid w:val="00FB7C69"/>
    <w:rsid w:val="00FB7FAD"/>
    <w:rsid w:val="00FC03DB"/>
    <w:rsid w:val="00FC0414"/>
    <w:rsid w:val="00FC0635"/>
    <w:rsid w:val="00FC06E8"/>
    <w:rsid w:val="00FC0749"/>
    <w:rsid w:val="00FC093C"/>
    <w:rsid w:val="00FC1AB9"/>
    <w:rsid w:val="00FC1AD2"/>
    <w:rsid w:val="00FC1BFA"/>
    <w:rsid w:val="00FC2171"/>
    <w:rsid w:val="00FC230A"/>
    <w:rsid w:val="00FC2A54"/>
    <w:rsid w:val="00FC2BA9"/>
    <w:rsid w:val="00FC2BD1"/>
    <w:rsid w:val="00FC353C"/>
    <w:rsid w:val="00FC37F4"/>
    <w:rsid w:val="00FC3AAC"/>
    <w:rsid w:val="00FC3C73"/>
    <w:rsid w:val="00FC3FEE"/>
    <w:rsid w:val="00FC4041"/>
    <w:rsid w:val="00FC4113"/>
    <w:rsid w:val="00FC47C4"/>
    <w:rsid w:val="00FC4936"/>
    <w:rsid w:val="00FC4C06"/>
    <w:rsid w:val="00FC4D25"/>
    <w:rsid w:val="00FC4EDC"/>
    <w:rsid w:val="00FC5194"/>
    <w:rsid w:val="00FC52E6"/>
    <w:rsid w:val="00FC54B7"/>
    <w:rsid w:val="00FC5635"/>
    <w:rsid w:val="00FC56BC"/>
    <w:rsid w:val="00FC58D5"/>
    <w:rsid w:val="00FC5A70"/>
    <w:rsid w:val="00FC5DEA"/>
    <w:rsid w:val="00FC5F52"/>
    <w:rsid w:val="00FC606B"/>
    <w:rsid w:val="00FC622B"/>
    <w:rsid w:val="00FC6CC9"/>
    <w:rsid w:val="00FC6D9B"/>
    <w:rsid w:val="00FC6DD0"/>
    <w:rsid w:val="00FC73F5"/>
    <w:rsid w:val="00FC7757"/>
    <w:rsid w:val="00FC79EB"/>
    <w:rsid w:val="00FC79F1"/>
    <w:rsid w:val="00FD0043"/>
    <w:rsid w:val="00FD010C"/>
    <w:rsid w:val="00FD0417"/>
    <w:rsid w:val="00FD05BE"/>
    <w:rsid w:val="00FD061C"/>
    <w:rsid w:val="00FD0917"/>
    <w:rsid w:val="00FD0A63"/>
    <w:rsid w:val="00FD0AC1"/>
    <w:rsid w:val="00FD0E43"/>
    <w:rsid w:val="00FD1006"/>
    <w:rsid w:val="00FD1489"/>
    <w:rsid w:val="00FD162F"/>
    <w:rsid w:val="00FD292A"/>
    <w:rsid w:val="00FD2BDC"/>
    <w:rsid w:val="00FD320B"/>
    <w:rsid w:val="00FD32A5"/>
    <w:rsid w:val="00FD333E"/>
    <w:rsid w:val="00FD3562"/>
    <w:rsid w:val="00FD3A1D"/>
    <w:rsid w:val="00FD3D6F"/>
    <w:rsid w:val="00FD3EC2"/>
    <w:rsid w:val="00FD422B"/>
    <w:rsid w:val="00FD4313"/>
    <w:rsid w:val="00FD4327"/>
    <w:rsid w:val="00FD5318"/>
    <w:rsid w:val="00FD5765"/>
    <w:rsid w:val="00FD5864"/>
    <w:rsid w:val="00FD5AC3"/>
    <w:rsid w:val="00FD5D05"/>
    <w:rsid w:val="00FD5D54"/>
    <w:rsid w:val="00FD5E0E"/>
    <w:rsid w:val="00FD5E11"/>
    <w:rsid w:val="00FD5FF7"/>
    <w:rsid w:val="00FD6427"/>
    <w:rsid w:val="00FD6E84"/>
    <w:rsid w:val="00FD71FF"/>
    <w:rsid w:val="00FD74AF"/>
    <w:rsid w:val="00FD75A3"/>
    <w:rsid w:val="00FD78FD"/>
    <w:rsid w:val="00FE0229"/>
    <w:rsid w:val="00FE044A"/>
    <w:rsid w:val="00FE09ED"/>
    <w:rsid w:val="00FE0C50"/>
    <w:rsid w:val="00FE0C9C"/>
    <w:rsid w:val="00FE1C42"/>
    <w:rsid w:val="00FE1FAD"/>
    <w:rsid w:val="00FE2156"/>
    <w:rsid w:val="00FE22A9"/>
    <w:rsid w:val="00FE26E6"/>
    <w:rsid w:val="00FE27FD"/>
    <w:rsid w:val="00FE2AD2"/>
    <w:rsid w:val="00FE2C9B"/>
    <w:rsid w:val="00FE2EA8"/>
    <w:rsid w:val="00FE30CC"/>
    <w:rsid w:val="00FE30D8"/>
    <w:rsid w:val="00FE32A7"/>
    <w:rsid w:val="00FE3764"/>
    <w:rsid w:val="00FE39F3"/>
    <w:rsid w:val="00FE3E09"/>
    <w:rsid w:val="00FE4243"/>
    <w:rsid w:val="00FE4879"/>
    <w:rsid w:val="00FE4DF1"/>
    <w:rsid w:val="00FE5316"/>
    <w:rsid w:val="00FE5716"/>
    <w:rsid w:val="00FE6154"/>
    <w:rsid w:val="00FE6429"/>
    <w:rsid w:val="00FE6464"/>
    <w:rsid w:val="00FE6504"/>
    <w:rsid w:val="00FE67E0"/>
    <w:rsid w:val="00FE688A"/>
    <w:rsid w:val="00FE68B4"/>
    <w:rsid w:val="00FE6A70"/>
    <w:rsid w:val="00FE6BED"/>
    <w:rsid w:val="00FE6EDE"/>
    <w:rsid w:val="00FE70B7"/>
    <w:rsid w:val="00FE7220"/>
    <w:rsid w:val="00FE78A7"/>
    <w:rsid w:val="00FE7C3B"/>
    <w:rsid w:val="00FE7FE5"/>
    <w:rsid w:val="00FF044B"/>
    <w:rsid w:val="00FF08DC"/>
    <w:rsid w:val="00FF0C0B"/>
    <w:rsid w:val="00FF0C3B"/>
    <w:rsid w:val="00FF1409"/>
    <w:rsid w:val="00FF159A"/>
    <w:rsid w:val="00FF168A"/>
    <w:rsid w:val="00FF16E7"/>
    <w:rsid w:val="00FF1744"/>
    <w:rsid w:val="00FF1759"/>
    <w:rsid w:val="00FF1777"/>
    <w:rsid w:val="00FF1A67"/>
    <w:rsid w:val="00FF1A92"/>
    <w:rsid w:val="00FF1F1F"/>
    <w:rsid w:val="00FF25BE"/>
    <w:rsid w:val="00FF2E65"/>
    <w:rsid w:val="00FF32EF"/>
    <w:rsid w:val="00FF3B1E"/>
    <w:rsid w:val="00FF43BC"/>
    <w:rsid w:val="00FF44C4"/>
    <w:rsid w:val="00FF46AB"/>
    <w:rsid w:val="00FF487A"/>
    <w:rsid w:val="00FF48E2"/>
    <w:rsid w:val="00FF48F8"/>
    <w:rsid w:val="00FF4BE6"/>
    <w:rsid w:val="00FF4CCB"/>
    <w:rsid w:val="00FF4EE7"/>
    <w:rsid w:val="00FF5159"/>
    <w:rsid w:val="00FF52BA"/>
    <w:rsid w:val="00FF59D2"/>
    <w:rsid w:val="00FF5A2B"/>
    <w:rsid w:val="00FF5E7D"/>
    <w:rsid w:val="00FF60C7"/>
    <w:rsid w:val="00FF6120"/>
    <w:rsid w:val="00FF614B"/>
    <w:rsid w:val="00FF6426"/>
    <w:rsid w:val="00FF68D0"/>
    <w:rsid w:val="00FF6A2A"/>
    <w:rsid w:val="00FF6D31"/>
    <w:rsid w:val="00FF76E6"/>
    <w:rsid w:val="00FF7C8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7EBF78"/>
  <w15:chartTrackingRefBased/>
  <w15:docId w15:val="{DEF96C48-1825-430F-848E-C840408BD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0FEB"/>
    <w:rPr>
      <w:rFonts w:asciiTheme="minorHAnsi" w:hAnsiTheme="minorHAnsi" w:cstheme="minorHAnsi"/>
      <w:color w:val="53585F" w:themeColor="text2"/>
      <w:sz w:val="22"/>
      <w:szCs w:val="24"/>
    </w:rPr>
  </w:style>
  <w:style w:type="paragraph" w:styleId="Heading1">
    <w:name w:val="heading 1"/>
    <w:next w:val="Normal"/>
    <w:link w:val="Heading1Char"/>
    <w:uiPriority w:val="9"/>
    <w:qFormat/>
    <w:rsid w:val="004F2A9E"/>
    <w:pPr>
      <w:spacing w:after="120"/>
      <w:outlineLvl w:val="0"/>
    </w:pPr>
    <w:rPr>
      <w:rFonts w:ascii="Rockwell" w:eastAsia="Times New Roman" w:hAnsi="Rockwell"/>
      <w:color w:val="B31E3E" w:themeColor="accent1"/>
      <w:sz w:val="32"/>
      <w:szCs w:val="24"/>
    </w:rPr>
  </w:style>
  <w:style w:type="paragraph" w:styleId="Heading2">
    <w:name w:val="heading 2"/>
    <w:basedOn w:val="Normal"/>
    <w:next w:val="Normal"/>
    <w:link w:val="Heading2Char"/>
    <w:uiPriority w:val="9"/>
    <w:unhideWhenUsed/>
    <w:qFormat/>
    <w:rsid w:val="00D2460A"/>
    <w:pPr>
      <w:keepNext/>
      <w:pBdr>
        <w:top w:val="single" w:sz="12" w:space="1" w:color="auto"/>
      </w:pBdr>
      <w:spacing w:after="160" w:line="278" w:lineRule="auto"/>
      <w:outlineLvl w:val="1"/>
    </w:pPr>
    <w:rPr>
      <w:rFonts w:ascii="Arial" w:eastAsiaTheme="minorHAnsi" w:hAnsi="Arial" w:cs="Arial"/>
      <w:b/>
      <w:noProof/>
      <w:color w:val="B31D3F"/>
      <w:kern w:val="2"/>
      <w:sz w:val="28"/>
      <w:szCs w:val="22"/>
      <w14:ligatures w14:val="standardContextual"/>
    </w:rPr>
  </w:style>
  <w:style w:type="paragraph" w:styleId="Heading3">
    <w:name w:val="heading 3"/>
    <w:basedOn w:val="Normal"/>
    <w:next w:val="Normal"/>
    <w:link w:val="Heading3Char"/>
    <w:uiPriority w:val="9"/>
    <w:unhideWhenUsed/>
    <w:qFormat/>
    <w:rsid w:val="00625093"/>
    <w:pPr>
      <w:keepNext/>
      <w:keepLines/>
      <w:spacing w:before="240"/>
      <w:outlineLvl w:val="2"/>
    </w:pPr>
    <w:rPr>
      <w:rFonts w:eastAsia="Times New Roman" w:cs="Times New Roman (Headings CS)"/>
      <w:b/>
      <w:bCs/>
      <w:i/>
      <w:iCs/>
      <w:color w:val="B31E3E" w:themeColor="accent1"/>
    </w:rPr>
  </w:style>
  <w:style w:type="paragraph" w:styleId="Heading4">
    <w:name w:val="heading 4"/>
    <w:basedOn w:val="Normal"/>
    <w:next w:val="Normal"/>
    <w:link w:val="Heading4Char"/>
    <w:uiPriority w:val="9"/>
    <w:unhideWhenUsed/>
    <w:qFormat/>
    <w:rsid w:val="0016466F"/>
    <w:pPr>
      <w:keepNext/>
      <w:keepLines/>
      <w:spacing w:before="40"/>
      <w:outlineLvl w:val="3"/>
    </w:pPr>
    <w:rPr>
      <w:rFonts w:ascii="Montserrat" w:eastAsia="Times New Roman" w:hAnsi="Montserrat"/>
      <w:b/>
      <w:i/>
      <w:iCs/>
    </w:rPr>
  </w:style>
  <w:style w:type="paragraph" w:styleId="Heading5">
    <w:name w:val="heading 5"/>
    <w:basedOn w:val="Normal"/>
    <w:next w:val="Normal"/>
    <w:link w:val="Heading5Char"/>
    <w:uiPriority w:val="9"/>
    <w:semiHidden/>
    <w:unhideWhenUsed/>
    <w:qFormat/>
    <w:rsid w:val="00D2460A"/>
    <w:pPr>
      <w:keepNext/>
      <w:keepLines/>
      <w:spacing w:before="80" w:after="40" w:line="278" w:lineRule="auto"/>
      <w:ind w:left="360"/>
      <w:outlineLvl w:val="4"/>
    </w:pPr>
    <w:rPr>
      <w:rFonts w:ascii="Arial" w:eastAsiaTheme="majorEastAsia" w:hAnsi="Arial" w:cstheme="majorBidi"/>
      <w:noProof/>
      <w:color w:val="85162E" w:themeColor="accent1" w:themeShade="BF"/>
      <w:kern w:val="2"/>
      <w:szCs w:val="22"/>
      <w14:ligatures w14:val="standardContextual"/>
    </w:rPr>
  </w:style>
  <w:style w:type="paragraph" w:styleId="Heading6">
    <w:name w:val="heading 6"/>
    <w:basedOn w:val="Normal"/>
    <w:next w:val="Normal"/>
    <w:link w:val="Heading6Char"/>
    <w:uiPriority w:val="9"/>
    <w:semiHidden/>
    <w:unhideWhenUsed/>
    <w:qFormat/>
    <w:rsid w:val="00D2460A"/>
    <w:pPr>
      <w:keepNext/>
      <w:keepLines/>
      <w:spacing w:before="40" w:line="278" w:lineRule="auto"/>
      <w:ind w:left="360"/>
      <w:outlineLvl w:val="5"/>
    </w:pPr>
    <w:rPr>
      <w:rFonts w:ascii="Arial" w:eastAsiaTheme="majorEastAsia" w:hAnsi="Arial" w:cstheme="majorBidi"/>
      <w:i/>
      <w:iCs/>
      <w:noProof/>
      <w:color w:val="595959" w:themeColor="text1" w:themeTint="A6"/>
      <w:kern w:val="2"/>
      <w:szCs w:val="22"/>
      <w14:ligatures w14:val="standardContextual"/>
    </w:rPr>
  </w:style>
  <w:style w:type="paragraph" w:styleId="Heading7">
    <w:name w:val="heading 7"/>
    <w:basedOn w:val="Normal"/>
    <w:next w:val="Normal"/>
    <w:link w:val="Heading7Char"/>
    <w:uiPriority w:val="9"/>
    <w:semiHidden/>
    <w:unhideWhenUsed/>
    <w:qFormat/>
    <w:rsid w:val="00D2460A"/>
    <w:pPr>
      <w:keepNext/>
      <w:keepLines/>
      <w:spacing w:before="40" w:line="278" w:lineRule="auto"/>
      <w:ind w:left="360"/>
      <w:outlineLvl w:val="6"/>
    </w:pPr>
    <w:rPr>
      <w:rFonts w:ascii="Arial" w:eastAsiaTheme="majorEastAsia" w:hAnsi="Arial" w:cstheme="majorBidi"/>
      <w:noProof/>
      <w:color w:val="595959" w:themeColor="text1" w:themeTint="A6"/>
      <w:kern w:val="2"/>
      <w:szCs w:val="22"/>
      <w14:ligatures w14:val="standardContextual"/>
    </w:rPr>
  </w:style>
  <w:style w:type="paragraph" w:styleId="Heading8">
    <w:name w:val="heading 8"/>
    <w:basedOn w:val="Normal"/>
    <w:next w:val="Normal"/>
    <w:link w:val="Heading8Char"/>
    <w:uiPriority w:val="9"/>
    <w:unhideWhenUsed/>
    <w:qFormat/>
    <w:rsid w:val="00BF4869"/>
    <w:pPr>
      <w:keepNext/>
      <w:keepLines/>
      <w:spacing w:before="40"/>
      <w:outlineLvl w:val="7"/>
    </w:pPr>
    <w:rPr>
      <w:rFonts w:ascii="Century Gothic" w:eastAsia="Times New Roman" w:hAnsi="Century Gothic"/>
      <w:color w:val="272727"/>
      <w:sz w:val="21"/>
      <w:szCs w:val="21"/>
    </w:rPr>
  </w:style>
  <w:style w:type="paragraph" w:styleId="Heading9">
    <w:name w:val="heading 9"/>
    <w:basedOn w:val="Normal"/>
    <w:next w:val="Normal"/>
    <w:link w:val="Heading9Char"/>
    <w:uiPriority w:val="9"/>
    <w:unhideWhenUsed/>
    <w:qFormat/>
    <w:rsid w:val="00BF4869"/>
    <w:pPr>
      <w:keepNext/>
      <w:keepLines/>
      <w:spacing w:before="40"/>
      <w:outlineLvl w:val="8"/>
    </w:pPr>
    <w:rPr>
      <w:rFonts w:ascii="Century Gothic" w:eastAsia="Times New Roman" w:hAnsi="Century Gothic"/>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43DEF"/>
    <w:rPr>
      <w:rFonts w:ascii="Rockwell" w:eastAsia="Times New Roman" w:hAnsi="Rockwell"/>
      <w:color w:val="B31E3E" w:themeColor="accent1"/>
      <w:sz w:val="32"/>
      <w:szCs w:val="24"/>
    </w:rPr>
  </w:style>
  <w:style w:type="character" w:customStyle="1" w:styleId="Heading3Char">
    <w:name w:val="Heading 3 Char"/>
    <w:link w:val="Heading3"/>
    <w:uiPriority w:val="9"/>
    <w:rsid w:val="00625093"/>
    <w:rPr>
      <w:rFonts w:asciiTheme="minorHAnsi" w:eastAsia="Times New Roman" w:hAnsiTheme="minorHAnsi" w:cs="Times New Roman (Headings CS)"/>
      <w:b/>
      <w:bCs/>
      <w:i/>
      <w:iCs/>
      <w:color w:val="B31E3E" w:themeColor="accent1"/>
      <w:sz w:val="22"/>
      <w:szCs w:val="24"/>
    </w:rPr>
  </w:style>
  <w:style w:type="character" w:customStyle="1" w:styleId="Heading2Char">
    <w:name w:val="Heading 2 Char"/>
    <w:basedOn w:val="DefaultParagraphFont"/>
    <w:link w:val="Heading2"/>
    <w:uiPriority w:val="9"/>
    <w:rsid w:val="00D2460A"/>
    <w:rPr>
      <w:rFonts w:ascii="Arial" w:eastAsiaTheme="minorHAnsi" w:hAnsi="Arial" w:cs="Arial"/>
      <w:b/>
      <w:noProof/>
      <w:color w:val="B31D3F"/>
      <w:kern w:val="2"/>
      <w:sz w:val="28"/>
      <w:szCs w:val="22"/>
      <w14:ligatures w14:val="standardContextual"/>
    </w:rPr>
  </w:style>
  <w:style w:type="character" w:customStyle="1" w:styleId="Heading4Char">
    <w:name w:val="Heading 4 Char"/>
    <w:link w:val="Heading4"/>
    <w:uiPriority w:val="9"/>
    <w:rsid w:val="0016466F"/>
    <w:rPr>
      <w:rFonts w:ascii="Montserrat" w:eastAsia="Times New Roman" w:hAnsi="Montserrat" w:cstheme="minorHAnsi"/>
      <w:b/>
      <w:i/>
      <w:iCs/>
      <w:color w:val="53585F" w:themeColor="text2"/>
      <w:sz w:val="22"/>
      <w:szCs w:val="24"/>
    </w:rPr>
  </w:style>
  <w:style w:type="character" w:customStyle="1" w:styleId="Heading8Char">
    <w:name w:val="Heading 8 Char"/>
    <w:link w:val="Heading8"/>
    <w:uiPriority w:val="9"/>
    <w:rsid w:val="00BF4869"/>
    <w:rPr>
      <w:rFonts w:ascii="Century Gothic" w:eastAsia="Times New Roman" w:hAnsi="Century Gothic" w:cs="Times New Roman"/>
      <w:color w:val="272727"/>
      <w:sz w:val="21"/>
      <w:szCs w:val="21"/>
    </w:rPr>
  </w:style>
  <w:style w:type="character" w:customStyle="1" w:styleId="Heading9Char">
    <w:name w:val="Heading 9 Char"/>
    <w:link w:val="Heading9"/>
    <w:uiPriority w:val="9"/>
    <w:rsid w:val="00BF4869"/>
    <w:rPr>
      <w:rFonts w:ascii="Century Gothic" w:eastAsia="Times New Roman" w:hAnsi="Century Gothic" w:cs="Times New Roman"/>
      <w:i/>
      <w:iCs/>
      <w:color w:val="272727"/>
      <w:sz w:val="21"/>
      <w:szCs w:val="21"/>
    </w:rPr>
  </w:style>
  <w:style w:type="paragraph" w:styleId="Header">
    <w:name w:val="header"/>
    <w:next w:val="Heading1"/>
    <w:link w:val="HeaderChar"/>
    <w:uiPriority w:val="99"/>
    <w:unhideWhenUsed/>
    <w:qFormat/>
    <w:rsid w:val="00617728"/>
    <w:pPr>
      <w:tabs>
        <w:tab w:val="center" w:pos="4680"/>
        <w:tab w:val="right" w:pos="9360"/>
      </w:tabs>
      <w:suppressAutoHyphens/>
      <w:ind w:left="1296" w:right="-720"/>
      <w:jc w:val="right"/>
    </w:pPr>
    <w:rPr>
      <w:rFonts w:ascii="Times New Roman" w:hAnsi="Times New Roman"/>
      <w:b/>
      <w:bCs/>
      <w:color w:val="53585F" w:themeColor="text2"/>
      <w:sz w:val="40"/>
      <w:szCs w:val="15"/>
    </w:rPr>
  </w:style>
  <w:style w:type="character" w:customStyle="1" w:styleId="HeaderChar">
    <w:name w:val="Header Char"/>
    <w:link w:val="Header"/>
    <w:uiPriority w:val="99"/>
    <w:rsid w:val="00617728"/>
    <w:rPr>
      <w:rFonts w:ascii="Times New Roman" w:hAnsi="Times New Roman"/>
      <w:b/>
      <w:bCs/>
      <w:color w:val="53585F" w:themeColor="text2"/>
      <w:sz w:val="40"/>
      <w:szCs w:val="15"/>
    </w:rPr>
  </w:style>
  <w:style w:type="paragraph" w:styleId="Footer">
    <w:name w:val="footer"/>
    <w:basedOn w:val="Normal"/>
    <w:link w:val="FooterChar"/>
    <w:uiPriority w:val="99"/>
    <w:unhideWhenUsed/>
    <w:rsid w:val="002A1C15"/>
    <w:pPr>
      <w:tabs>
        <w:tab w:val="center" w:pos="4680"/>
        <w:tab w:val="right" w:pos="9360"/>
      </w:tabs>
      <w:spacing w:after="480"/>
    </w:pPr>
    <w:rPr>
      <w:bCs/>
      <w:szCs w:val="20"/>
    </w:rPr>
  </w:style>
  <w:style w:type="character" w:customStyle="1" w:styleId="FooterChar">
    <w:name w:val="Footer Char"/>
    <w:link w:val="Footer"/>
    <w:uiPriority w:val="99"/>
    <w:rsid w:val="002A1C15"/>
    <w:rPr>
      <w:rFonts w:ascii="Times New Roman" w:hAnsi="Times New Roman"/>
      <w:bCs/>
      <w:color w:val="53585F" w:themeColor="text2"/>
      <w:sz w:val="24"/>
    </w:rPr>
  </w:style>
  <w:style w:type="paragraph" w:styleId="NoSpacing">
    <w:name w:val="No Spacing"/>
    <w:aliases w:val="Table Body Copy"/>
    <w:link w:val="NoSpacingChar"/>
    <w:uiPriority w:val="1"/>
    <w:qFormat/>
    <w:rsid w:val="00F44FA2"/>
    <w:rPr>
      <w:rFonts w:ascii="Times New Roman" w:hAnsi="Times New Roman"/>
      <w:color w:val="53585F" w:themeColor="text2"/>
      <w:szCs w:val="21"/>
    </w:rPr>
  </w:style>
  <w:style w:type="character" w:customStyle="1" w:styleId="NoSpacingChar">
    <w:name w:val="No Spacing Char"/>
    <w:aliases w:val="Table Body Copy Char"/>
    <w:link w:val="NoSpacing"/>
    <w:uiPriority w:val="1"/>
    <w:rsid w:val="00F44FA2"/>
    <w:rPr>
      <w:rFonts w:ascii="Times New Roman" w:hAnsi="Times New Roman"/>
      <w:color w:val="53585F" w:themeColor="text2"/>
      <w:szCs w:val="21"/>
    </w:rPr>
  </w:style>
  <w:style w:type="character" w:styleId="PageNumber">
    <w:name w:val="page number"/>
    <w:basedOn w:val="DefaultParagraphFont"/>
    <w:uiPriority w:val="99"/>
    <w:semiHidden/>
    <w:unhideWhenUsed/>
    <w:rsid w:val="004C0000"/>
    <w:rPr>
      <w:rFonts w:ascii="Times New Roman" w:hAnsi="Times New Roman"/>
      <w:color w:val="53585F" w:themeColor="text2"/>
      <w:sz w:val="24"/>
    </w:rPr>
  </w:style>
  <w:style w:type="paragraph" w:styleId="NormalWeb">
    <w:name w:val="Normal (Web)"/>
    <w:basedOn w:val="Normal"/>
    <w:uiPriority w:val="99"/>
    <w:semiHidden/>
    <w:unhideWhenUsed/>
    <w:rsid w:val="001F745A"/>
    <w:pPr>
      <w:spacing w:before="100" w:beforeAutospacing="1" w:after="100" w:afterAutospacing="1"/>
    </w:pPr>
    <w:rPr>
      <w:rFonts w:eastAsia="Times New Roman"/>
    </w:rPr>
  </w:style>
  <w:style w:type="paragraph" w:customStyle="1" w:styleId="Style1">
    <w:name w:val="Style1"/>
    <w:basedOn w:val="Normal"/>
    <w:qFormat/>
    <w:rsid w:val="008A744F"/>
    <w:pPr>
      <w:spacing w:before="600" w:after="720"/>
      <w:ind w:left="1440" w:right="1440"/>
      <w:jc w:val="center"/>
    </w:pPr>
    <w:rPr>
      <w:color w:val="FFFFFF"/>
    </w:rPr>
  </w:style>
  <w:style w:type="paragraph" w:styleId="Subtitle">
    <w:name w:val="Subtitle"/>
    <w:basedOn w:val="CoverSubheadGrey"/>
    <w:next w:val="Normal"/>
    <w:link w:val="SubtitleChar"/>
    <w:uiPriority w:val="11"/>
    <w:qFormat/>
    <w:rsid w:val="0006411C"/>
  </w:style>
  <w:style w:type="paragraph" w:customStyle="1" w:styleId="CoverSubheadGrey">
    <w:name w:val="Cover Subhead Grey"/>
    <w:rsid w:val="001356DF"/>
    <w:pPr>
      <w:spacing w:after="115"/>
      <w:jc w:val="right"/>
    </w:pPr>
    <w:rPr>
      <w:rFonts w:ascii="Times New Roman" w:eastAsia="Times New Roman" w:hAnsi="Times New Roman"/>
      <w:bCs/>
      <w:color w:val="53585F" w:themeColor="text2"/>
      <w:sz w:val="40"/>
      <w:szCs w:val="32"/>
    </w:rPr>
  </w:style>
  <w:style w:type="character" w:customStyle="1" w:styleId="SubtitleChar">
    <w:name w:val="Subtitle Char"/>
    <w:link w:val="Subtitle"/>
    <w:uiPriority w:val="11"/>
    <w:rsid w:val="0006411C"/>
    <w:rPr>
      <w:rFonts w:ascii="Times New Roman" w:eastAsia="Times New Roman" w:hAnsi="Times New Roman"/>
      <w:bCs/>
      <w:color w:val="53585F" w:themeColor="text2"/>
      <w:sz w:val="40"/>
      <w:szCs w:val="32"/>
    </w:rPr>
  </w:style>
  <w:style w:type="paragraph" w:styleId="ListBullet">
    <w:name w:val="List Bullet"/>
    <w:basedOn w:val="Normal"/>
    <w:uiPriority w:val="99"/>
    <w:unhideWhenUsed/>
    <w:rsid w:val="006C7856"/>
    <w:pPr>
      <w:numPr>
        <w:numId w:val="4"/>
      </w:numPr>
      <w:contextualSpacing/>
    </w:pPr>
  </w:style>
  <w:style w:type="paragraph" w:styleId="ListBullet2">
    <w:name w:val="List Bullet 2"/>
    <w:basedOn w:val="Normal"/>
    <w:uiPriority w:val="99"/>
    <w:unhideWhenUsed/>
    <w:rsid w:val="00B80723"/>
    <w:pPr>
      <w:numPr>
        <w:numId w:val="3"/>
      </w:numPr>
      <w:contextualSpacing/>
    </w:pPr>
  </w:style>
  <w:style w:type="table" w:styleId="TableGrid">
    <w:name w:val="Table Grid"/>
    <w:basedOn w:val="TableNormal"/>
    <w:uiPriority w:val="39"/>
    <w:rsid w:val="007C05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qFormat/>
    <w:rsid w:val="007705F9"/>
    <w:pPr>
      <w:jc w:val="center"/>
    </w:pPr>
    <w:rPr>
      <w:rFonts w:ascii="Times New Roman" w:hAnsi="Times New Roman"/>
      <w:b/>
      <w:bCs/>
      <w:color w:val="FFFFFF" w:themeColor="background1"/>
      <w:sz w:val="24"/>
      <w:szCs w:val="28"/>
    </w:rPr>
  </w:style>
  <w:style w:type="paragraph" w:styleId="ListBullet4">
    <w:name w:val="List Bullet 4"/>
    <w:basedOn w:val="Normal"/>
    <w:uiPriority w:val="99"/>
    <w:unhideWhenUsed/>
    <w:rsid w:val="006C7856"/>
    <w:pPr>
      <w:numPr>
        <w:numId w:val="1"/>
      </w:numPr>
      <w:contextualSpacing/>
    </w:pPr>
  </w:style>
  <w:style w:type="paragraph" w:styleId="ListBullet3">
    <w:name w:val="List Bullet 3"/>
    <w:basedOn w:val="Normal"/>
    <w:uiPriority w:val="99"/>
    <w:unhideWhenUsed/>
    <w:rsid w:val="006C7856"/>
    <w:pPr>
      <w:numPr>
        <w:numId w:val="2"/>
      </w:numPr>
      <w:contextualSpacing/>
    </w:pPr>
  </w:style>
  <w:style w:type="paragraph" w:styleId="TOC1">
    <w:name w:val="toc 1"/>
    <w:basedOn w:val="Normal"/>
    <w:next w:val="Normal"/>
    <w:autoRedefine/>
    <w:uiPriority w:val="39"/>
    <w:unhideWhenUsed/>
    <w:rsid w:val="00004ADD"/>
    <w:pPr>
      <w:tabs>
        <w:tab w:val="right" w:leader="dot" w:pos="10790"/>
      </w:tabs>
      <w:spacing w:before="120"/>
    </w:pPr>
    <w:rPr>
      <w:b/>
      <w:bCs/>
      <w:caps/>
      <w:sz w:val="20"/>
      <w:szCs w:val="20"/>
    </w:rPr>
  </w:style>
  <w:style w:type="character" w:styleId="Hyperlink">
    <w:name w:val="Hyperlink"/>
    <w:uiPriority w:val="99"/>
    <w:unhideWhenUsed/>
    <w:rsid w:val="00603E7E"/>
    <w:rPr>
      <w:color w:val="0563C1"/>
      <w:u w:val="single"/>
    </w:rPr>
  </w:style>
  <w:style w:type="paragraph" w:styleId="TOC2">
    <w:name w:val="toc 2"/>
    <w:basedOn w:val="Normal"/>
    <w:next w:val="Normal"/>
    <w:autoRedefine/>
    <w:uiPriority w:val="39"/>
    <w:unhideWhenUsed/>
    <w:rsid w:val="005A5470"/>
    <w:pPr>
      <w:tabs>
        <w:tab w:val="right" w:leader="dot" w:pos="10790"/>
      </w:tabs>
      <w:ind w:left="220"/>
    </w:pPr>
    <w:rPr>
      <w:smallCaps/>
      <w:sz w:val="20"/>
      <w:szCs w:val="20"/>
    </w:rPr>
  </w:style>
  <w:style w:type="paragraph" w:styleId="TOC3">
    <w:name w:val="toc 3"/>
    <w:basedOn w:val="Normal"/>
    <w:next w:val="Normal"/>
    <w:autoRedefine/>
    <w:uiPriority w:val="39"/>
    <w:unhideWhenUsed/>
    <w:rsid w:val="0009002C"/>
    <w:pPr>
      <w:ind w:left="440"/>
    </w:pPr>
    <w:rPr>
      <w:i/>
      <w:iCs/>
      <w:sz w:val="20"/>
      <w:szCs w:val="20"/>
    </w:rPr>
  </w:style>
  <w:style w:type="paragraph" w:customStyle="1" w:styleId="Default">
    <w:name w:val="Default"/>
    <w:rsid w:val="00E251E1"/>
    <w:pPr>
      <w:autoSpaceDE w:val="0"/>
      <w:autoSpaceDN w:val="0"/>
      <w:adjustRightInd w:val="0"/>
    </w:pPr>
    <w:rPr>
      <w:rFonts w:ascii="Times New Roman" w:hAnsi="Times New Roman"/>
      <w:color w:val="53585F" w:themeColor="text2"/>
      <w:sz w:val="24"/>
      <w:szCs w:val="24"/>
    </w:rPr>
  </w:style>
  <w:style w:type="paragraph" w:customStyle="1" w:styleId="SubtitleOrange">
    <w:name w:val="Subtitle Orange"/>
    <w:basedOn w:val="Normal"/>
    <w:qFormat/>
    <w:rsid w:val="00301CA3"/>
    <w:rPr>
      <w:b/>
      <w:bCs/>
      <w:color w:val="B31E3E" w:themeColor="accent1"/>
      <w:sz w:val="32"/>
      <w:szCs w:val="36"/>
    </w:rPr>
  </w:style>
  <w:style w:type="paragraph" w:customStyle="1" w:styleId="CoverBodyGrey">
    <w:name w:val="Cover Body Grey"/>
    <w:basedOn w:val="SubtitleOrange"/>
    <w:qFormat/>
    <w:rsid w:val="004F2A9E"/>
    <w:rPr>
      <w:rFonts w:asciiTheme="majorHAnsi" w:hAnsiTheme="majorHAnsi" w:cstheme="majorHAnsi"/>
      <w:b w:val="0"/>
      <w:bCs w:val="0"/>
      <w:color w:val="53585F" w:themeColor="text2"/>
    </w:rPr>
  </w:style>
  <w:style w:type="paragraph" w:customStyle="1" w:styleId="CoverSubheadGrey-Left">
    <w:name w:val="Cover Subhead Grey - Left"/>
    <w:basedOn w:val="Subtitle"/>
    <w:qFormat/>
    <w:rsid w:val="004F2A9E"/>
    <w:pPr>
      <w:jc w:val="left"/>
    </w:pPr>
    <w:rPr>
      <w:rFonts w:ascii="Rockwell" w:hAnsi="Rockwell"/>
      <w:sz w:val="56"/>
      <w:szCs w:val="48"/>
    </w:rPr>
  </w:style>
  <w:style w:type="character" w:customStyle="1" w:styleId="UnresolvedMention1">
    <w:name w:val="Unresolved Mention1"/>
    <w:basedOn w:val="DefaultParagraphFont"/>
    <w:uiPriority w:val="99"/>
    <w:semiHidden/>
    <w:unhideWhenUsed/>
    <w:rsid w:val="00F9181C"/>
    <w:rPr>
      <w:rFonts w:ascii="Times New Roman" w:hAnsi="Times New Roman"/>
      <w:color w:val="605E5C"/>
      <w:sz w:val="24"/>
      <w:shd w:val="clear" w:color="auto" w:fill="E1DFDD"/>
    </w:rPr>
  </w:style>
  <w:style w:type="paragraph" w:customStyle="1" w:styleId="HeaderCopy-White">
    <w:name w:val="Header Copy - White"/>
    <w:basedOn w:val="Normal"/>
    <w:qFormat/>
    <w:rsid w:val="004F2A9E"/>
    <w:pPr>
      <w:jc w:val="right"/>
    </w:pPr>
    <w:rPr>
      <w:rFonts w:ascii="Rockwell" w:hAnsi="Rockwell"/>
      <w:color w:val="FFFFFF" w:themeColor="background1"/>
      <w:sz w:val="36"/>
      <w:szCs w:val="40"/>
    </w:rPr>
  </w:style>
  <w:style w:type="paragraph" w:customStyle="1" w:styleId="HeaderCopyWhite">
    <w:name w:val="Header Copy White"/>
    <w:basedOn w:val="Normal"/>
    <w:rsid w:val="00D42B1A"/>
    <w:pPr>
      <w:jc w:val="right"/>
    </w:pPr>
    <w:rPr>
      <w:b/>
      <w:bCs/>
      <w:color w:val="FFFFFF" w:themeColor="background1"/>
      <w:sz w:val="36"/>
      <w:szCs w:val="40"/>
    </w:rPr>
  </w:style>
  <w:style w:type="character" w:styleId="FollowedHyperlink">
    <w:name w:val="FollowedHyperlink"/>
    <w:basedOn w:val="DefaultParagraphFont"/>
    <w:uiPriority w:val="99"/>
    <w:unhideWhenUsed/>
    <w:rsid w:val="003E4875"/>
    <w:rPr>
      <w:rFonts w:ascii="Arial" w:hAnsi="Arial"/>
      <w:color w:val="53585F" w:themeColor="text2"/>
      <w:sz w:val="22"/>
      <w:u w:val="single"/>
    </w:rPr>
  </w:style>
  <w:style w:type="paragraph" w:styleId="Title">
    <w:name w:val="Title"/>
    <w:basedOn w:val="Header"/>
    <w:next w:val="Normal"/>
    <w:link w:val="TitleChar"/>
    <w:uiPriority w:val="10"/>
    <w:qFormat/>
    <w:rsid w:val="0006411C"/>
    <w:pPr>
      <w:ind w:left="0" w:right="0"/>
    </w:pPr>
  </w:style>
  <w:style w:type="character" w:customStyle="1" w:styleId="TitleChar">
    <w:name w:val="Title Char"/>
    <w:basedOn w:val="DefaultParagraphFont"/>
    <w:link w:val="Title"/>
    <w:uiPriority w:val="10"/>
    <w:rsid w:val="0006411C"/>
    <w:rPr>
      <w:rFonts w:ascii="Times New Roman" w:hAnsi="Times New Roman"/>
      <w:b/>
      <w:bCs/>
      <w:color w:val="53585F" w:themeColor="text2"/>
      <w:sz w:val="40"/>
      <w:szCs w:val="15"/>
    </w:rPr>
  </w:style>
  <w:style w:type="paragraph" w:customStyle="1" w:styleId="TableBodyBold">
    <w:name w:val="Table Body Bold"/>
    <w:qFormat/>
    <w:rsid w:val="00781193"/>
    <w:rPr>
      <w:rFonts w:ascii="Times New Roman" w:hAnsi="Times New Roman"/>
      <w:b/>
      <w:bCs/>
      <w:color w:val="53585F" w:themeColor="text2"/>
      <w:szCs w:val="21"/>
    </w:rPr>
  </w:style>
  <w:style w:type="table" w:styleId="PlainTable1">
    <w:name w:val="Plain Table 1"/>
    <w:basedOn w:val="TableNormal"/>
    <w:uiPriority w:val="41"/>
    <w:rsid w:val="00014FB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6">
    <w:name w:val="Grid Table 1 Light Accent 6"/>
    <w:basedOn w:val="TableNormal"/>
    <w:uiPriority w:val="46"/>
    <w:rsid w:val="00014FB9"/>
    <w:tblPr>
      <w:tblStyleRowBandSize w:val="1"/>
      <w:tblStyleColBandSize w:val="1"/>
      <w:tblBorders>
        <w:top w:val="single" w:sz="4" w:space="0" w:color="6ABDEE" w:themeColor="accent6" w:themeTint="66"/>
        <w:left w:val="single" w:sz="4" w:space="0" w:color="6ABDEE" w:themeColor="accent6" w:themeTint="66"/>
        <w:bottom w:val="single" w:sz="4" w:space="0" w:color="6ABDEE" w:themeColor="accent6" w:themeTint="66"/>
        <w:right w:val="single" w:sz="4" w:space="0" w:color="6ABDEE" w:themeColor="accent6" w:themeTint="66"/>
        <w:insideH w:val="single" w:sz="4" w:space="0" w:color="6ABDEE" w:themeColor="accent6" w:themeTint="66"/>
        <w:insideV w:val="single" w:sz="4" w:space="0" w:color="6ABDEE" w:themeColor="accent6" w:themeTint="66"/>
      </w:tblBorders>
    </w:tblPr>
    <w:tblStylePr w:type="firstRow">
      <w:rPr>
        <w:b/>
        <w:bCs/>
      </w:rPr>
      <w:tblPr/>
      <w:tcPr>
        <w:tcBorders>
          <w:bottom w:val="single" w:sz="12" w:space="0" w:color="209CE5" w:themeColor="accent6" w:themeTint="99"/>
        </w:tcBorders>
      </w:tcPr>
    </w:tblStylePr>
    <w:tblStylePr w:type="lastRow">
      <w:rPr>
        <w:b/>
        <w:bCs/>
      </w:rPr>
      <w:tblPr/>
      <w:tcPr>
        <w:tcBorders>
          <w:top w:val="double" w:sz="2" w:space="0" w:color="209CE5" w:themeColor="accent6" w:themeTint="99"/>
        </w:tcBorders>
      </w:tcPr>
    </w:tblStylePr>
    <w:tblStylePr w:type="firstCol">
      <w:rPr>
        <w:b/>
        <w:bCs/>
      </w:rPr>
    </w:tblStylePr>
    <w:tblStylePr w:type="lastCol">
      <w:rPr>
        <w:b/>
        <w:bCs/>
      </w:rPr>
    </w:tblStylePr>
  </w:style>
  <w:style w:type="table" w:styleId="GridTable6Colorful-Accent6">
    <w:name w:val="Grid Table 6 Colorful Accent 6"/>
    <w:basedOn w:val="TableNormal"/>
    <w:uiPriority w:val="51"/>
    <w:rsid w:val="00014FB9"/>
    <w:rPr>
      <w:color w:val="072C41" w:themeColor="accent6" w:themeShade="BF"/>
    </w:rPr>
    <w:tblPr>
      <w:tblStyleRowBandSize w:val="1"/>
      <w:tblStyleColBandSize w:val="1"/>
      <w:tblBorders>
        <w:top w:val="single" w:sz="4" w:space="0" w:color="209CE5" w:themeColor="accent6" w:themeTint="99"/>
        <w:left w:val="single" w:sz="4" w:space="0" w:color="209CE5" w:themeColor="accent6" w:themeTint="99"/>
        <w:bottom w:val="single" w:sz="4" w:space="0" w:color="209CE5" w:themeColor="accent6" w:themeTint="99"/>
        <w:right w:val="single" w:sz="4" w:space="0" w:color="209CE5" w:themeColor="accent6" w:themeTint="99"/>
        <w:insideH w:val="single" w:sz="4" w:space="0" w:color="209CE5" w:themeColor="accent6" w:themeTint="99"/>
        <w:insideV w:val="single" w:sz="4" w:space="0" w:color="209CE5" w:themeColor="accent6" w:themeTint="99"/>
      </w:tblBorders>
    </w:tblPr>
    <w:tblStylePr w:type="firstRow">
      <w:rPr>
        <w:b/>
        <w:bCs/>
      </w:rPr>
      <w:tblPr/>
      <w:tcPr>
        <w:tcBorders>
          <w:bottom w:val="single" w:sz="12" w:space="0" w:color="209CE5" w:themeColor="accent6" w:themeTint="99"/>
        </w:tcBorders>
      </w:tcPr>
    </w:tblStylePr>
    <w:tblStylePr w:type="lastRow">
      <w:rPr>
        <w:b/>
        <w:bCs/>
      </w:rPr>
      <w:tblPr/>
      <w:tcPr>
        <w:tcBorders>
          <w:top w:val="double" w:sz="4" w:space="0" w:color="209CE5" w:themeColor="accent6" w:themeTint="99"/>
        </w:tcBorders>
      </w:tcPr>
    </w:tblStylePr>
    <w:tblStylePr w:type="firstCol">
      <w:rPr>
        <w:b/>
        <w:bCs/>
      </w:rPr>
    </w:tblStylePr>
    <w:tblStylePr w:type="lastCol">
      <w:rPr>
        <w:b/>
        <w:bCs/>
      </w:rPr>
    </w:tblStylePr>
    <w:tblStylePr w:type="band1Vert">
      <w:tblPr/>
      <w:tcPr>
        <w:shd w:val="clear" w:color="auto" w:fill="B4DEF6" w:themeFill="accent6" w:themeFillTint="33"/>
      </w:tcPr>
    </w:tblStylePr>
    <w:tblStylePr w:type="band1Horz">
      <w:tblPr/>
      <w:tcPr>
        <w:shd w:val="clear" w:color="auto" w:fill="B4DEF6" w:themeFill="accent6" w:themeFillTint="33"/>
      </w:tcPr>
    </w:tblStylePr>
  </w:style>
  <w:style w:type="table" w:styleId="ListTable7Colorful-Accent6">
    <w:name w:val="List Table 7 Colorful Accent 6"/>
    <w:basedOn w:val="TableNormal"/>
    <w:uiPriority w:val="52"/>
    <w:rsid w:val="00014FB9"/>
    <w:rPr>
      <w:color w:val="072C4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A3B5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A3B5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A3B5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A3B58" w:themeColor="accent6"/>
        </w:tcBorders>
        <w:shd w:val="clear" w:color="auto" w:fill="FFFFFF" w:themeFill="background1"/>
      </w:tcPr>
    </w:tblStylePr>
    <w:tblStylePr w:type="band1Vert">
      <w:tblPr/>
      <w:tcPr>
        <w:shd w:val="clear" w:color="auto" w:fill="B4DEF6" w:themeFill="accent6" w:themeFillTint="33"/>
      </w:tcPr>
    </w:tblStylePr>
    <w:tblStylePr w:type="band1Horz">
      <w:tblPr/>
      <w:tcPr>
        <w:shd w:val="clear" w:color="auto" w:fill="B4DEF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IntenseQuote">
    <w:name w:val="Intense Quote"/>
    <w:basedOn w:val="Normal"/>
    <w:next w:val="Normal"/>
    <w:link w:val="IntenseQuoteChar"/>
    <w:uiPriority w:val="30"/>
    <w:qFormat/>
    <w:rsid w:val="00301CA3"/>
    <w:pPr>
      <w:pBdr>
        <w:top w:val="single" w:sz="4" w:space="10" w:color="B31E3E" w:themeColor="accent1"/>
        <w:bottom w:val="single" w:sz="4" w:space="10" w:color="B31E3E" w:themeColor="accent1"/>
      </w:pBdr>
      <w:spacing w:before="360" w:after="360"/>
      <w:ind w:left="864" w:right="864"/>
      <w:jc w:val="center"/>
    </w:pPr>
    <w:rPr>
      <w:rFonts w:ascii="Rockwell" w:hAnsi="Rockwell"/>
      <w:i/>
      <w:iCs/>
      <w:color w:val="B31E3E" w:themeColor="accent1"/>
      <w:sz w:val="28"/>
      <w:szCs w:val="32"/>
    </w:rPr>
  </w:style>
  <w:style w:type="character" w:customStyle="1" w:styleId="IntenseQuoteChar">
    <w:name w:val="Intense Quote Char"/>
    <w:basedOn w:val="DefaultParagraphFont"/>
    <w:link w:val="IntenseQuote"/>
    <w:uiPriority w:val="30"/>
    <w:rsid w:val="00301CA3"/>
    <w:rPr>
      <w:rFonts w:ascii="Rockwell" w:hAnsi="Rockwell" w:cstheme="minorHAnsi"/>
      <w:i/>
      <w:iCs/>
      <w:color w:val="B31E3E" w:themeColor="accent1"/>
      <w:sz w:val="28"/>
      <w:szCs w:val="32"/>
    </w:rPr>
  </w:style>
  <w:style w:type="paragraph" w:customStyle="1" w:styleId="IntenseQuoteWhite">
    <w:name w:val="Intense Quote White"/>
    <w:basedOn w:val="IntenseQuote"/>
    <w:qFormat/>
    <w:rsid w:val="00DD0019"/>
    <w:pPr>
      <w:pBdr>
        <w:top w:val="single" w:sz="4" w:space="10" w:color="FFFFFF" w:themeColor="background1"/>
        <w:bottom w:val="single" w:sz="4" w:space="10" w:color="FFFFFF" w:themeColor="background1"/>
      </w:pBdr>
    </w:pPr>
    <w:rPr>
      <w:b/>
      <w:bCs/>
      <w:color w:val="FFFFFF" w:themeColor="background1"/>
      <w:sz w:val="32"/>
      <w:szCs w:val="36"/>
    </w:rPr>
  </w:style>
  <w:style w:type="paragraph" w:styleId="BalloonText">
    <w:name w:val="Balloon Text"/>
    <w:basedOn w:val="Normal"/>
    <w:link w:val="BalloonTextChar"/>
    <w:uiPriority w:val="99"/>
    <w:semiHidden/>
    <w:unhideWhenUsed/>
    <w:rsid w:val="007F3A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3A35"/>
    <w:rPr>
      <w:rFonts w:ascii="Segoe UI" w:hAnsi="Segoe UI" w:cs="Segoe UI"/>
      <w:color w:val="53585F" w:themeColor="text2"/>
      <w:sz w:val="18"/>
      <w:szCs w:val="18"/>
    </w:rPr>
  </w:style>
  <w:style w:type="character" w:styleId="CommentReference">
    <w:name w:val="annotation reference"/>
    <w:basedOn w:val="DefaultParagraphFont"/>
    <w:uiPriority w:val="99"/>
    <w:semiHidden/>
    <w:unhideWhenUsed/>
    <w:rsid w:val="00E94D11"/>
    <w:rPr>
      <w:sz w:val="16"/>
      <w:szCs w:val="16"/>
    </w:rPr>
  </w:style>
  <w:style w:type="paragraph" w:styleId="CommentText">
    <w:name w:val="annotation text"/>
    <w:basedOn w:val="Normal"/>
    <w:link w:val="CommentTextChar"/>
    <w:uiPriority w:val="99"/>
    <w:unhideWhenUsed/>
    <w:rsid w:val="00E94D11"/>
    <w:pPr>
      <w:spacing w:after="160"/>
    </w:pPr>
    <w:rPr>
      <w:rFonts w:eastAsiaTheme="minorHAnsi" w:cstheme="minorBidi"/>
      <w:color w:val="auto"/>
      <w:sz w:val="20"/>
      <w:szCs w:val="20"/>
    </w:rPr>
  </w:style>
  <w:style w:type="character" w:customStyle="1" w:styleId="CommentTextChar">
    <w:name w:val="Comment Text Char"/>
    <w:basedOn w:val="DefaultParagraphFont"/>
    <w:link w:val="CommentText"/>
    <w:uiPriority w:val="99"/>
    <w:rsid w:val="00E94D11"/>
    <w:rPr>
      <w:rFonts w:asciiTheme="minorHAnsi" w:eastAsiaTheme="minorHAnsi" w:hAnsiTheme="minorHAnsi" w:cstheme="minorBidi"/>
    </w:rPr>
  </w:style>
  <w:style w:type="paragraph" w:styleId="FootnoteText">
    <w:name w:val="footnote text"/>
    <w:basedOn w:val="Normal"/>
    <w:link w:val="FootnoteTextChar"/>
    <w:uiPriority w:val="99"/>
    <w:semiHidden/>
    <w:unhideWhenUsed/>
    <w:rsid w:val="00AB133C"/>
    <w:rPr>
      <w:rFonts w:eastAsiaTheme="minorHAnsi" w:cstheme="minorBidi"/>
      <w:color w:val="auto"/>
      <w:sz w:val="20"/>
      <w:szCs w:val="20"/>
    </w:rPr>
  </w:style>
  <w:style w:type="character" w:customStyle="1" w:styleId="FootnoteTextChar">
    <w:name w:val="Footnote Text Char"/>
    <w:basedOn w:val="DefaultParagraphFont"/>
    <w:link w:val="FootnoteText"/>
    <w:uiPriority w:val="99"/>
    <w:semiHidden/>
    <w:rsid w:val="00AB133C"/>
    <w:rPr>
      <w:rFonts w:asciiTheme="minorHAnsi" w:eastAsiaTheme="minorHAnsi" w:hAnsiTheme="minorHAnsi" w:cstheme="minorBidi"/>
    </w:rPr>
  </w:style>
  <w:style w:type="character" w:styleId="FootnoteReference">
    <w:name w:val="footnote reference"/>
    <w:basedOn w:val="DefaultParagraphFont"/>
    <w:uiPriority w:val="99"/>
    <w:semiHidden/>
    <w:unhideWhenUsed/>
    <w:rsid w:val="00AB133C"/>
    <w:rPr>
      <w:vertAlign w:val="superscript"/>
    </w:rPr>
  </w:style>
  <w:style w:type="paragraph" w:styleId="ListParagraph">
    <w:name w:val="List Paragraph"/>
    <w:basedOn w:val="Normal"/>
    <w:uiPriority w:val="34"/>
    <w:qFormat/>
    <w:rsid w:val="00956DB7"/>
    <w:pPr>
      <w:spacing w:after="160" w:line="259" w:lineRule="auto"/>
      <w:ind w:left="720"/>
      <w:contextualSpacing/>
    </w:pPr>
    <w:rPr>
      <w:rFonts w:eastAsiaTheme="minorHAnsi" w:cstheme="minorBidi"/>
      <w:color w:val="auto"/>
      <w:szCs w:val="22"/>
    </w:rPr>
  </w:style>
  <w:style w:type="paragraph" w:customStyle="1" w:styleId="BodyText1">
    <w:name w:val="Body Text1"/>
    <w:basedOn w:val="Normal"/>
    <w:link w:val="BodytextChar"/>
    <w:qFormat/>
    <w:rsid w:val="00852256"/>
    <w:pPr>
      <w:spacing w:before="60" w:line="240" w:lineRule="exact"/>
    </w:pPr>
    <w:rPr>
      <w:rFonts w:ascii="Arial" w:eastAsia="MS Mincho" w:hAnsi="Arial" w:cs="Arial"/>
      <w:color w:val="auto"/>
      <w:sz w:val="20"/>
      <w:szCs w:val="20"/>
      <w:lang w:eastAsia="ja-JP"/>
    </w:rPr>
  </w:style>
  <w:style w:type="character" w:customStyle="1" w:styleId="BodytextChar">
    <w:name w:val="Body text Char"/>
    <w:link w:val="BodyText1"/>
    <w:rsid w:val="00852256"/>
    <w:rPr>
      <w:rFonts w:ascii="Arial" w:eastAsia="MS Mincho" w:hAnsi="Arial" w:cs="Arial"/>
      <w:lang w:eastAsia="ja-JP"/>
    </w:rPr>
  </w:style>
  <w:style w:type="character" w:styleId="Emphasis">
    <w:name w:val="Emphasis"/>
    <w:basedOn w:val="DefaultParagraphFont"/>
    <w:uiPriority w:val="20"/>
    <w:qFormat/>
    <w:rsid w:val="00C479FF"/>
    <w:rPr>
      <w:i/>
      <w:iCs/>
    </w:rPr>
  </w:style>
  <w:style w:type="paragraph" w:styleId="TOC4">
    <w:name w:val="toc 4"/>
    <w:basedOn w:val="Normal"/>
    <w:next w:val="Normal"/>
    <w:autoRedefine/>
    <w:uiPriority w:val="39"/>
    <w:unhideWhenUsed/>
    <w:rsid w:val="00A23A94"/>
    <w:pPr>
      <w:ind w:left="660"/>
    </w:pPr>
    <w:rPr>
      <w:sz w:val="18"/>
      <w:szCs w:val="18"/>
    </w:rPr>
  </w:style>
  <w:style w:type="paragraph" w:styleId="TOC5">
    <w:name w:val="toc 5"/>
    <w:basedOn w:val="Normal"/>
    <w:next w:val="Normal"/>
    <w:autoRedefine/>
    <w:uiPriority w:val="39"/>
    <w:unhideWhenUsed/>
    <w:rsid w:val="00A23A94"/>
    <w:pPr>
      <w:ind w:left="880"/>
    </w:pPr>
    <w:rPr>
      <w:sz w:val="18"/>
      <w:szCs w:val="18"/>
    </w:rPr>
  </w:style>
  <w:style w:type="paragraph" w:styleId="TOC6">
    <w:name w:val="toc 6"/>
    <w:basedOn w:val="Normal"/>
    <w:next w:val="Normal"/>
    <w:autoRedefine/>
    <w:uiPriority w:val="39"/>
    <w:unhideWhenUsed/>
    <w:rsid w:val="00A23A94"/>
    <w:pPr>
      <w:ind w:left="1100"/>
    </w:pPr>
    <w:rPr>
      <w:sz w:val="18"/>
      <w:szCs w:val="18"/>
    </w:rPr>
  </w:style>
  <w:style w:type="paragraph" w:styleId="TOC7">
    <w:name w:val="toc 7"/>
    <w:basedOn w:val="Normal"/>
    <w:next w:val="Normal"/>
    <w:autoRedefine/>
    <w:uiPriority w:val="39"/>
    <w:unhideWhenUsed/>
    <w:rsid w:val="00A23A94"/>
    <w:pPr>
      <w:ind w:left="1320"/>
    </w:pPr>
    <w:rPr>
      <w:sz w:val="18"/>
      <w:szCs w:val="18"/>
    </w:rPr>
  </w:style>
  <w:style w:type="paragraph" w:styleId="TOC8">
    <w:name w:val="toc 8"/>
    <w:basedOn w:val="Normal"/>
    <w:next w:val="Normal"/>
    <w:autoRedefine/>
    <w:uiPriority w:val="39"/>
    <w:unhideWhenUsed/>
    <w:rsid w:val="00A23A94"/>
    <w:pPr>
      <w:ind w:left="1540"/>
    </w:pPr>
    <w:rPr>
      <w:sz w:val="18"/>
      <w:szCs w:val="18"/>
    </w:rPr>
  </w:style>
  <w:style w:type="paragraph" w:styleId="TOC9">
    <w:name w:val="toc 9"/>
    <w:basedOn w:val="Normal"/>
    <w:next w:val="Normal"/>
    <w:autoRedefine/>
    <w:uiPriority w:val="39"/>
    <w:unhideWhenUsed/>
    <w:rsid w:val="00A23A94"/>
    <w:pPr>
      <w:ind w:left="1760"/>
    </w:pPr>
    <w:rPr>
      <w:sz w:val="18"/>
      <w:szCs w:val="18"/>
    </w:rPr>
  </w:style>
  <w:style w:type="paragraph" w:styleId="CommentSubject">
    <w:name w:val="annotation subject"/>
    <w:basedOn w:val="CommentText"/>
    <w:next w:val="CommentText"/>
    <w:link w:val="CommentSubjectChar"/>
    <w:uiPriority w:val="99"/>
    <w:semiHidden/>
    <w:unhideWhenUsed/>
    <w:rsid w:val="003E5ADF"/>
    <w:pPr>
      <w:spacing w:after="120"/>
    </w:pPr>
    <w:rPr>
      <w:rFonts w:eastAsia="Century Gothic" w:cstheme="minorHAnsi"/>
      <w:b/>
      <w:bCs/>
      <w:color w:val="53585F" w:themeColor="text2"/>
    </w:rPr>
  </w:style>
  <w:style w:type="character" w:customStyle="1" w:styleId="CommentSubjectChar">
    <w:name w:val="Comment Subject Char"/>
    <w:basedOn w:val="CommentTextChar"/>
    <w:link w:val="CommentSubject"/>
    <w:uiPriority w:val="99"/>
    <w:semiHidden/>
    <w:rsid w:val="003E5ADF"/>
    <w:rPr>
      <w:rFonts w:asciiTheme="minorHAnsi" w:eastAsiaTheme="minorHAnsi" w:hAnsiTheme="minorHAnsi" w:cstheme="minorHAnsi"/>
      <w:b/>
      <w:bCs/>
      <w:color w:val="53585F" w:themeColor="text2"/>
    </w:rPr>
  </w:style>
  <w:style w:type="paragraph" w:customStyle="1" w:styleId="msonormal0">
    <w:name w:val="msonormal"/>
    <w:basedOn w:val="Normal"/>
    <w:rsid w:val="001C2364"/>
    <w:pPr>
      <w:spacing w:before="100" w:beforeAutospacing="1" w:after="100" w:afterAutospacing="1"/>
    </w:pPr>
    <w:rPr>
      <w:rFonts w:ascii="Times New Roman" w:eastAsia="Times New Roman" w:hAnsi="Times New Roman" w:cs="Times New Roman"/>
      <w:color w:val="auto"/>
      <w:sz w:val="24"/>
    </w:rPr>
  </w:style>
  <w:style w:type="paragraph" w:customStyle="1" w:styleId="xl65">
    <w:name w:val="xl65"/>
    <w:basedOn w:val="Normal"/>
    <w:rsid w:val="001C2364"/>
    <w:pPr>
      <w:spacing w:before="100" w:beforeAutospacing="1" w:after="100" w:afterAutospacing="1"/>
      <w:textAlignment w:val="top"/>
    </w:pPr>
    <w:rPr>
      <w:rFonts w:ascii="Arial" w:eastAsia="Times New Roman" w:hAnsi="Arial" w:cs="Arial"/>
      <w:color w:val="auto"/>
      <w:sz w:val="20"/>
      <w:szCs w:val="20"/>
    </w:rPr>
  </w:style>
  <w:style w:type="paragraph" w:customStyle="1" w:styleId="xl66">
    <w:name w:val="xl66"/>
    <w:basedOn w:val="Normal"/>
    <w:rsid w:val="001C2364"/>
    <w:pPr>
      <w:spacing w:before="100" w:beforeAutospacing="1" w:after="100" w:afterAutospacing="1"/>
      <w:textAlignment w:val="top"/>
    </w:pPr>
    <w:rPr>
      <w:rFonts w:ascii="Arial" w:eastAsia="Times New Roman" w:hAnsi="Arial" w:cs="Arial"/>
      <w:color w:val="0563C1"/>
      <w:sz w:val="20"/>
      <w:szCs w:val="20"/>
      <w:u w:val="single"/>
    </w:rPr>
  </w:style>
  <w:style w:type="paragraph" w:customStyle="1" w:styleId="xl67">
    <w:name w:val="xl67"/>
    <w:basedOn w:val="Normal"/>
    <w:rsid w:val="001C2364"/>
    <w:pPr>
      <w:spacing w:before="100" w:beforeAutospacing="1" w:after="100" w:afterAutospacing="1"/>
      <w:textAlignment w:val="top"/>
    </w:pPr>
    <w:rPr>
      <w:rFonts w:ascii="Times New Roman" w:eastAsia="Times New Roman" w:hAnsi="Times New Roman" w:cs="Times New Roman"/>
      <w:color w:val="auto"/>
      <w:sz w:val="24"/>
    </w:rPr>
  </w:style>
  <w:style w:type="paragraph" w:customStyle="1" w:styleId="xl68">
    <w:name w:val="xl68"/>
    <w:basedOn w:val="Normal"/>
    <w:rsid w:val="001C2364"/>
    <w:pPr>
      <w:spacing w:before="100" w:beforeAutospacing="1" w:after="100" w:afterAutospacing="1"/>
      <w:textAlignment w:val="top"/>
    </w:pPr>
    <w:rPr>
      <w:rFonts w:ascii="Arial" w:eastAsia="Times New Roman" w:hAnsi="Arial" w:cs="Arial"/>
      <w:color w:val="0563C1"/>
      <w:sz w:val="20"/>
      <w:szCs w:val="20"/>
      <w:u w:val="single"/>
    </w:rPr>
  </w:style>
  <w:style w:type="paragraph" w:customStyle="1" w:styleId="xl69">
    <w:name w:val="xl69"/>
    <w:basedOn w:val="Normal"/>
    <w:rsid w:val="0041175C"/>
    <w:pPr>
      <w:spacing w:before="100" w:beforeAutospacing="1" w:after="100" w:afterAutospacing="1"/>
      <w:jc w:val="right"/>
      <w:textAlignment w:val="top"/>
    </w:pPr>
    <w:rPr>
      <w:rFonts w:ascii="Arial" w:eastAsia="Times New Roman" w:hAnsi="Arial" w:cs="Arial"/>
      <w:color w:val="auto"/>
      <w:sz w:val="20"/>
      <w:szCs w:val="20"/>
    </w:rPr>
  </w:style>
  <w:style w:type="paragraph" w:customStyle="1" w:styleId="xl70">
    <w:name w:val="xl70"/>
    <w:basedOn w:val="Normal"/>
    <w:rsid w:val="0041175C"/>
    <w:pPr>
      <w:spacing w:before="100" w:beforeAutospacing="1" w:after="100" w:afterAutospacing="1"/>
      <w:textAlignment w:val="top"/>
    </w:pPr>
    <w:rPr>
      <w:rFonts w:ascii="Arial" w:eastAsia="Times New Roman" w:hAnsi="Arial" w:cs="Arial"/>
      <w:color w:val="auto"/>
      <w:sz w:val="20"/>
      <w:szCs w:val="20"/>
    </w:rPr>
  </w:style>
  <w:style w:type="paragraph" w:customStyle="1" w:styleId="xl71">
    <w:name w:val="xl71"/>
    <w:basedOn w:val="Normal"/>
    <w:rsid w:val="0041175C"/>
    <w:pPr>
      <w:spacing w:before="100" w:beforeAutospacing="1" w:after="100" w:afterAutospacing="1"/>
      <w:textAlignment w:val="top"/>
    </w:pPr>
    <w:rPr>
      <w:rFonts w:ascii="Arial" w:eastAsia="Times New Roman" w:hAnsi="Arial" w:cs="Arial"/>
      <w:b/>
      <w:bCs/>
      <w:color w:val="auto"/>
      <w:sz w:val="20"/>
      <w:szCs w:val="20"/>
    </w:rPr>
  </w:style>
  <w:style w:type="paragraph" w:customStyle="1" w:styleId="xl72">
    <w:name w:val="xl72"/>
    <w:basedOn w:val="Normal"/>
    <w:rsid w:val="0041175C"/>
    <w:pPr>
      <w:spacing w:before="100" w:beforeAutospacing="1" w:after="100" w:afterAutospacing="1"/>
      <w:textAlignment w:val="top"/>
    </w:pPr>
    <w:rPr>
      <w:rFonts w:ascii="Arial" w:eastAsia="Times New Roman" w:hAnsi="Arial" w:cs="Arial"/>
      <w:color w:val="auto"/>
      <w:sz w:val="20"/>
      <w:szCs w:val="20"/>
    </w:rPr>
  </w:style>
  <w:style w:type="paragraph" w:customStyle="1" w:styleId="xl73">
    <w:name w:val="xl73"/>
    <w:basedOn w:val="Normal"/>
    <w:rsid w:val="0041175C"/>
    <w:pPr>
      <w:spacing w:before="100" w:beforeAutospacing="1" w:after="100" w:afterAutospacing="1"/>
      <w:textAlignment w:val="top"/>
    </w:pPr>
    <w:rPr>
      <w:rFonts w:ascii="Arial" w:eastAsia="Times New Roman" w:hAnsi="Arial" w:cs="Arial"/>
      <w:b/>
      <w:bCs/>
      <w:color w:val="auto"/>
      <w:sz w:val="20"/>
      <w:szCs w:val="20"/>
    </w:rPr>
  </w:style>
  <w:style w:type="paragraph" w:customStyle="1" w:styleId="xl74">
    <w:name w:val="xl74"/>
    <w:basedOn w:val="Normal"/>
    <w:rsid w:val="0041175C"/>
    <w:pPr>
      <w:spacing w:before="100" w:beforeAutospacing="1" w:after="100" w:afterAutospacing="1"/>
      <w:jc w:val="right"/>
      <w:textAlignment w:val="top"/>
    </w:pPr>
    <w:rPr>
      <w:rFonts w:ascii="Arial" w:eastAsia="Times New Roman" w:hAnsi="Arial" w:cs="Arial"/>
      <w:b/>
      <w:bCs/>
      <w:color w:val="auto"/>
      <w:sz w:val="20"/>
      <w:szCs w:val="20"/>
    </w:rPr>
  </w:style>
  <w:style w:type="paragraph" w:customStyle="1" w:styleId="xl75">
    <w:name w:val="xl75"/>
    <w:basedOn w:val="Normal"/>
    <w:rsid w:val="0041175C"/>
    <w:pPr>
      <w:spacing w:before="100" w:beforeAutospacing="1" w:after="100" w:afterAutospacing="1"/>
      <w:textAlignment w:val="top"/>
    </w:pPr>
    <w:rPr>
      <w:rFonts w:ascii="Arial" w:eastAsia="Times New Roman" w:hAnsi="Arial" w:cs="Arial"/>
      <w:b/>
      <w:bCs/>
      <w:color w:val="auto"/>
      <w:sz w:val="20"/>
      <w:szCs w:val="20"/>
    </w:rPr>
  </w:style>
  <w:style w:type="paragraph" w:customStyle="1" w:styleId="xl76">
    <w:name w:val="xl76"/>
    <w:basedOn w:val="Normal"/>
    <w:rsid w:val="0041175C"/>
    <w:pPr>
      <w:spacing w:before="100" w:beforeAutospacing="1" w:after="100" w:afterAutospacing="1"/>
      <w:textAlignment w:val="top"/>
    </w:pPr>
    <w:rPr>
      <w:rFonts w:ascii="Arial" w:eastAsia="Times New Roman" w:hAnsi="Arial" w:cs="Arial"/>
      <w:b/>
      <w:bCs/>
      <w:color w:val="auto"/>
      <w:sz w:val="20"/>
      <w:szCs w:val="20"/>
    </w:rPr>
  </w:style>
  <w:style w:type="paragraph" w:customStyle="1" w:styleId="xl77">
    <w:name w:val="xl77"/>
    <w:basedOn w:val="Normal"/>
    <w:rsid w:val="0041175C"/>
    <w:pPr>
      <w:spacing w:before="100" w:beforeAutospacing="1" w:after="100" w:afterAutospacing="1"/>
      <w:jc w:val="center"/>
      <w:textAlignment w:val="top"/>
    </w:pPr>
    <w:rPr>
      <w:rFonts w:ascii="Arial" w:eastAsia="Times New Roman" w:hAnsi="Arial" w:cs="Arial"/>
      <w:color w:val="auto"/>
      <w:sz w:val="20"/>
      <w:szCs w:val="20"/>
    </w:rPr>
  </w:style>
  <w:style w:type="paragraph" w:customStyle="1" w:styleId="xl78">
    <w:name w:val="xl78"/>
    <w:basedOn w:val="Normal"/>
    <w:rsid w:val="0041175C"/>
    <w:pPr>
      <w:spacing w:before="100" w:beforeAutospacing="1" w:after="100" w:afterAutospacing="1"/>
      <w:jc w:val="center"/>
      <w:textAlignment w:val="top"/>
    </w:pPr>
    <w:rPr>
      <w:rFonts w:ascii="Arial" w:eastAsia="Times New Roman" w:hAnsi="Arial" w:cs="Arial"/>
      <w:color w:val="auto"/>
      <w:sz w:val="20"/>
      <w:szCs w:val="20"/>
    </w:rPr>
  </w:style>
  <w:style w:type="paragraph" w:customStyle="1" w:styleId="xl79">
    <w:name w:val="xl79"/>
    <w:basedOn w:val="Normal"/>
    <w:rsid w:val="0041175C"/>
    <w:pPr>
      <w:spacing w:before="100" w:beforeAutospacing="1" w:after="100" w:afterAutospacing="1"/>
      <w:jc w:val="center"/>
      <w:textAlignment w:val="top"/>
    </w:pPr>
    <w:rPr>
      <w:rFonts w:ascii="Arial" w:eastAsia="Times New Roman" w:hAnsi="Arial" w:cs="Arial"/>
      <w:color w:val="auto"/>
      <w:sz w:val="20"/>
      <w:szCs w:val="20"/>
    </w:rPr>
  </w:style>
  <w:style w:type="paragraph" w:customStyle="1" w:styleId="xl80">
    <w:name w:val="xl80"/>
    <w:basedOn w:val="Normal"/>
    <w:rsid w:val="0041175C"/>
    <w:pPr>
      <w:spacing w:before="100" w:beforeAutospacing="1" w:after="100" w:afterAutospacing="1"/>
      <w:textAlignment w:val="top"/>
    </w:pPr>
    <w:rPr>
      <w:rFonts w:ascii="Arial" w:eastAsia="Times New Roman" w:hAnsi="Arial" w:cs="Arial"/>
      <w:b/>
      <w:bCs/>
      <w:color w:val="auto"/>
      <w:sz w:val="20"/>
      <w:szCs w:val="20"/>
    </w:rPr>
  </w:style>
  <w:style w:type="paragraph" w:customStyle="1" w:styleId="xl81">
    <w:name w:val="xl81"/>
    <w:basedOn w:val="Normal"/>
    <w:rsid w:val="0041175C"/>
    <w:pPr>
      <w:spacing w:before="100" w:beforeAutospacing="1" w:after="100" w:afterAutospacing="1"/>
      <w:jc w:val="center"/>
      <w:textAlignment w:val="top"/>
    </w:pPr>
    <w:rPr>
      <w:rFonts w:ascii="Arial" w:eastAsia="Times New Roman" w:hAnsi="Arial" w:cs="Arial"/>
      <w:b/>
      <w:bCs/>
      <w:color w:val="auto"/>
      <w:sz w:val="20"/>
      <w:szCs w:val="20"/>
    </w:rPr>
  </w:style>
  <w:style w:type="paragraph" w:customStyle="1" w:styleId="xl82">
    <w:name w:val="xl82"/>
    <w:basedOn w:val="Normal"/>
    <w:rsid w:val="0041175C"/>
    <w:pPr>
      <w:spacing w:before="100" w:beforeAutospacing="1" w:after="100" w:afterAutospacing="1"/>
      <w:textAlignment w:val="top"/>
    </w:pPr>
    <w:rPr>
      <w:rFonts w:ascii="Arial" w:eastAsia="Times New Roman" w:hAnsi="Arial" w:cs="Arial"/>
      <w:color w:val="auto"/>
      <w:sz w:val="20"/>
      <w:szCs w:val="20"/>
    </w:rPr>
  </w:style>
  <w:style w:type="paragraph" w:customStyle="1" w:styleId="xl83">
    <w:name w:val="xl83"/>
    <w:basedOn w:val="Normal"/>
    <w:rsid w:val="0041175C"/>
    <w:pPr>
      <w:spacing w:before="100" w:beforeAutospacing="1" w:after="100" w:afterAutospacing="1"/>
      <w:textAlignment w:val="top"/>
    </w:pPr>
    <w:rPr>
      <w:rFonts w:ascii="Arial" w:eastAsia="Times New Roman" w:hAnsi="Arial" w:cs="Arial"/>
      <w:color w:val="auto"/>
      <w:sz w:val="20"/>
      <w:szCs w:val="20"/>
    </w:rPr>
  </w:style>
  <w:style w:type="table" w:styleId="PlainTable4">
    <w:name w:val="Plain Table 4"/>
    <w:basedOn w:val="TableNormal"/>
    <w:uiPriority w:val="44"/>
    <w:rsid w:val="00165A5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lainLink1">
    <w:name w:val="Plain Link 1"/>
    <w:basedOn w:val="Normal"/>
    <w:link w:val="PlainLink1Char"/>
    <w:qFormat/>
    <w:rsid w:val="002603D6"/>
    <w:pPr>
      <w:spacing w:after="40"/>
      <w:ind w:left="317" w:right="-288"/>
    </w:pPr>
    <w:rPr>
      <w:rFonts w:ascii="Arial" w:hAnsi="Arial"/>
    </w:rPr>
  </w:style>
  <w:style w:type="paragraph" w:customStyle="1" w:styleId="PlainLink2">
    <w:name w:val="Plain Link 2"/>
    <w:basedOn w:val="PlainLink1"/>
    <w:link w:val="PlainLink2Char"/>
    <w:qFormat/>
    <w:rsid w:val="00326F7A"/>
    <w:rPr>
      <w:bCs/>
    </w:rPr>
  </w:style>
  <w:style w:type="character" w:customStyle="1" w:styleId="PlainLink1Char">
    <w:name w:val="Plain Link 1 Char"/>
    <w:basedOn w:val="DefaultParagraphFont"/>
    <w:link w:val="PlainLink1"/>
    <w:rsid w:val="002603D6"/>
    <w:rPr>
      <w:rFonts w:ascii="Arial" w:hAnsi="Arial" w:cstheme="minorHAnsi"/>
      <w:color w:val="53585F" w:themeColor="text2"/>
      <w:sz w:val="22"/>
      <w:szCs w:val="24"/>
    </w:rPr>
  </w:style>
  <w:style w:type="character" w:customStyle="1" w:styleId="PlainLink2Char">
    <w:name w:val="Plain Link 2 Char"/>
    <w:basedOn w:val="PlainLink1Char"/>
    <w:link w:val="PlainLink2"/>
    <w:rsid w:val="00326F7A"/>
    <w:rPr>
      <w:rFonts w:ascii="Arial" w:hAnsi="Arial" w:cstheme="minorHAnsi"/>
      <w:bCs/>
      <w:color w:val="53585F" w:themeColor="text2"/>
      <w:sz w:val="18"/>
      <w:szCs w:val="24"/>
    </w:rPr>
  </w:style>
  <w:style w:type="paragraph" w:styleId="TOCHeading">
    <w:name w:val="TOC Heading"/>
    <w:basedOn w:val="Heading1"/>
    <w:next w:val="Normal"/>
    <w:uiPriority w:val="39"/>
    <w:unhideWhenUsed/>
    <w:qFormat/>
    <w:rsid w:val="009129BA"/>
    <w:pPr>
      <w:keepNext/>
      <w:keepLines/>
      <w:spacing w:before="240" w:after="0" w:line="259" w:lineRule="auto"/>
      <w:outlineLvl w:val="9"/>
    </w:pPr>
    <w:rPr>
      <w:rFonts w:asciiTheme="majorHAnsi" w:eastAsiaTheme="majorEastAsia" w:hAnsiTheme="majorHAnsi" w:cstheme="majorBidi"/>
      <w:color w:val="85162E" w:themeColor="accent1" w:themeShade="BF"/>
      <w:szCs w:val="32"/>
    </w:rPr>
  </w:style>
  <w:style w:type="paragraph" w:customStyle="1" w:styleId="Heading15">
    <w:name w:val="Heading 1.5"/>
    <w:basedOn w:val="Normal"/>
    <w:next w:val="Normal"/>
    <w:link w:val="Heading15Char"/>
    <w:qFormat/>
    <w:rsid w:val="005A5470"/>
    <w:pPr>
      <w:keepNext/>
      <w:spacing w:before="240" w:after="120"/>
      <w:outlineLvl w:val="1"/>
    </w:pPr>
    <w:rPr>
      <w:rFonts w:ascii="Arial" w:hAnsi="Arial"/>
      <w:b/>
      <w:color w:val="B31D3F"/>
    </w:rPr>
  </w:style>
  <w:style w:type="character" w:customStyle="1" w:styleId="Heading15Char">
    <w:name w:val="Heading 1.5 Char"/>
    <w:basedOn w:val="Heading2Char"/>
    <w:link w:val="Heading15"/>
    <w:rsid w:val="005A5470"/>
    <w:rPr>
      <w:rFonts w:ascii="Arial" w:eastAsiaTheme="minorHAnsi" w:hAnsi="Arial" w:cstheme="minorHAnsi"/>
      <w:b w:val="0"/>
      <w:noProof/>
      <w:color w:val="B31D3F"/>
      <w:kern w:val="2"/>
      <w:sz w:val="22"/>
      <w:szCs w:val="24"/>
      <w14:ligatures w14:val="standardContextual"/>
    </w:rPr>
  </w:style>
  <w:style w:type="character" w:styleId="UnresolvedMention">
    <w:name w:val="Unresolved Mention"/>
    <w:basedOn w:val="DefaultParagraphFont"/>
    <w:uiPriority w:val="99"/>
    <w:semiHidden/>
    <w:unhideWhenUsed/>
    <w:rsid w:val="00E22E7D"/>
    <w:rPr>
      <w:color w:val="605E5C"/>
      <w:shd w:val="clear" w:color="auto" w:fill="E1DFDD"/>
    </w:rPr>
  </w:style>
  <w:style w:type="paragraph" w:styleId="Revision">
    <w:name w:val="Revision"/>
    <w:hidden/>
    <w:uiPriority w:val="99"/>
    <w:semiHidden/>
    <w:rsid w:val="00036F86"/>
    <w:rPr>
      <w:rFonts w:asciiTheme="minorHAnsi" w:hAnsiTheme="minorHAnsi" w:cstheme="minorHAnsi"/>
      <w:color w:val="53585F" w:themeColor="text2"/>
      <w:sz w:val="22"/>
      <w:szCs w:val="24"/>
    </w:rPr>
  </w:style>
  <w:style w:type="character" w:customStyle="1" w:styleId="ui-provider">
    <w:name w:val="ui-provider"/>
    <w:basedOn w:val="DefaultParagraphFont"/>
    <w:rsid w:val="00414E9D"/>
  </w:style>
  <w:style w:type="paragraph" w:customStyle="1" w:styleId="DS">
    <w:name w:val="DS"/>
    <w:basedOn w:val="BodyText"/>
    <w:qFormat/>
    <w:rsid w:val="00AB4132"/>
    <w:pPr>
      <w:keepNext/>
      <w:autoSpaceDE w:val="0"/>
      <w:autoSpaceDN w:val="0"/>
      <w:spacing w:before="240" w:line="276" w:lineRule="auto"/>
      <w:ind w:left="144"/>
    </w:pPr>
    <w:rPr>
      <w:rFonts w:ascii="Arial" w:eastAsia="Calibri" w:hAnsi="Arial" w:cs="Arial"/>
      <w:noProof/>
      <w:color w:val="FFFFFF" w:themeColor="background1"/>
      <w:szCs w:val="22"/>
    </w:rPr>
  </w:style>
  <w:style w:type="paragraph" w:styleId="BodyText">
    <w:name w:val="Body Text"/>
    <w:basedOn w:val="Normal"/>
    <w:link w:val="BodyTextChar0"/>
    <w:uiPriority w:val="99"/>
    <w:semiHidden/>
    <w:unhideWhenUsed/>
    <w:rsid w:val="00AB4132"/>
    <w:pPr>
      <w:spacing w:after="120"/>
    </w:pPr>
  </w:style>
  <w:style w:type="character" w:customStyle="1" w:styleId="BodyTextChar0">
    <w:name w:val="Body Text Char"/>
    <w:basedOn w:val="DefaultParagraphFont"/>
    <w:link w:val="BodyText"/>
    <w:uiPriority w:val="99"/>
    <w:semiHidden/>
    <w:rsid w:val="00AB4132"/>
    <w:rPr>
      <w:rFonts w:asciiTheme="minorHAnsi" w:hAnsiTheme="minorHAnsi" w:cstheme="minorHAnsi"/>
      <w:color w:val="53585F" w:themeColor="text2"/>
      <w:sz w:val="22"/>
      <w:szCs w:val="24"/>
    </w:rPr>
  </w:style>
  <w:style w:type="paragraph" w:customStyle="1" w:styleId="EEEH">
    <w:name w:val="EEEH"/>
    <w:basedOn w:val="Normal"/>
    <w:link w:val="EEEHChar"/>
    <w:qFormat/>
    <w:rsid w:val="00AB4132"/>
    <w:pPr>
      <w:keepNext/>
      <w:ind w:left="360"/>
    </w:pPr>
    <w:rPr>
      <w:rFonts w:ascii="Arial" w:eastAsiaTheme="minorHAnsi" w:hAnsi="Arial" w:cs="Arial"/>
      <w:b/>
      <w:bCs/>
      <w:noProof/>
      <w:color w:val="C00000"/>
      <w:kern w:val="2"/>
      <w:szCs w:val="22"/>
      <w14:ligatures w14:val="standardContextual"/>
    </w:rPr>
  </w:style>
  <w:style w:type="character" w:customStyle="1" w:styleId="EEEHChar">
    <w:name w:val="EEEH Char"/>
    <w:basedOn w:val="DefaultParagraphFont"/>
    <w:link w:val="EEEH"/>
    <w:rsid w:val="00AB4132"/>
    <w:rPr>
      <w:rFonts w:ascii="Arial" w:eastAsiaTheme="minorHAnsi" w:hAnsi="Arial" w:cs="Arial"/>
      <w:b/>
      <w:bCs/>
      <w:noProof/>
      <w:color w:val="C00000"/>
      <w:kern w:val="2"/>
      <w:sz w:val="22"/>
      <w:szCs w:val="22"/>
      <w14:ligatures w14:val="standardContextual"/>
    </w:rPr>
  </w:style>
  <w:style w:type="paragraph" w:customStyle="1" w:styleId="EEEL">
    <w:name w:val="EEEL"/>
    <w:basedOn w:val="ListParagraph"/>
    <w:link w:val="EEELChar"/>
    <w:qFormat/>
    <w:rsid w:val="00AB4132"/>
    <w:pPr>
      <w:numPr>
        <w:numId w:val="5"/>
      </w:numPr>
      <w:spacing w:line="278" w:lineRule="auto"/>
    </w:pPr>
    <w:rPr>
      <w:noProof/>
      <w:kern w:val="2"/>
      <w:szCs w:val="24"/>
      <w14:ligatures w14:val="standardContextual"/>
    </w:rPr>
  </w:style>
  <w:style w:type="character" w:customStyle="1" w:styleId="EEELChar">
    <w:name w:val="EEEL Char"/>
    <w:basedOn w:val="DefaultParagraphFont"/>
    <w:link w:val="EEEL"/>
    <w:rsid w:val="00AB4132"/>
    <w:rPr>
      <w:rFonts w:asciiTheme="minorHAnsi" w:eastAsiaTheme="minorHAnsi" w:hAnsiTheme="minorHAnsi" w:cstheme="minorBidi"/>
      <w:noProof/>
      <w:kern w:val="2"/>
      <w:sz w:val="22"/>
      <w:szCs w:val="24"/>
      <w14:ligatures w14:val="standardContextual"/>
    </w:rPr>
  </w:style>
  <w:style w:type="paragraph" w:customStyle="1" w:styleId="EEEP">
    <w:name w:val="EEEP"/>
    <w:basedOn w:val="Normal"/>
    <w:link w:val="EEEPChar"/>
    <w:qFormat/>
    <w:rsid w:val="00AB4132"/>
    <w:pPr>
      <w:keepNext/>
      <w:spacing w:before="120" w:after="120" w:line="278" w:lineRule="auto"/>
      <w:ind w:left="288"/>
    </w:pPr>
    <w:rPr>
      <w:rFonts w:eastAsiaTheme="minorHAnsi" w:cstheme="minorBidi"/>
      <w:b/>
      <w:noProof/>
      <w:color w:val="auto"/>
      <w:kern w:val="2"/>
      <w14:ligatures w14:val="standardContextual"/>
    </w:rPr>
  </w:style>
  <w:style w:type="character" w:customStyle="1" w:styleId="EEEPChar">
    <w:name w:val="EEEP Char"/>
    <w:basedOn w:val="DefaultParagraphFont"/>
    <w:link w:val="EEEP"/>
    <w:rsid w:val="00AB4132"/>
    <w:rPr>
      <w:rFonts w:asciiTheme="minorHAnsi" w:eastAsiaTheme="minorHAnsi" w:hAnsiTheme="minorHAnsi" w:cstheme="minorBidi"/>
      <w:b/>
      <w:noProof/>
      <w:kern w:val="2"/>
      <w:sz w:val="22"/>
      <w:szCs w:val="24"/>
      <w14:ligatures w14:val="standardContextual"/>
    </w:rPr>
  </w:style>
  <w:style w:type="paragraph" w:customStyle="1" w:styleId="MatLvl">
    <w:name w:val="Mat Lvl"/>
    <w:basedOn w:val="BodyText"/>
    <w:qFormat/>
    <w:rsid w:val="00AB4132"/>
    <w:pPr>
      <w:tabs>
        <w:tab w:val="right" w:pos="1872"/>
        <w:tab w:val="left" w:pos="2016"/>
      </w:tabs>
      <w:autoSpaceDE w:val="0"/>
      <w:autoSpaceDN w:val="0"/>
      <w:spacing w:line="276" w:lineRule="auto"/>
      <w:ind w:left="2016" w:hanging="2016"/>
    </w:pPr>
    <w:rPr>
      <w:rFonts w:ascii="Arial" w:eastAsia="Calibri" w:hAnsi="Arial" w:cs="Arial"/>
      <w:noProof/>
      <w:color w:val="404040"/>
      <w:szCs w:val="22"/>
    </w:rPr>
  </w:style>
  <w:style w:type="character" w:customStyle="1" w:styleId="CRIRed">
    <w:name w:val="CRI Red"/>
    <w:basedOn w:val="DefaultParagraphFont"/>
    <w:uiPriority w:val="1"/>
    <w:qFormat/>
    <w:rsid w:val="00A94D0E"/>
    <w:rPr>
      <w:b/>
      <w:bCs/>
      <w:color w:val="B31E3E" w:themeColor="accent1"/>
    </w:rPr>
  </w:style>
  <w:style w:type="table" w:customStyle="1" w:styleId="JGTable1">
    <w:name w:val="JG Table 1"/>
    <w:basedOn w:val="TableNormal"/>
    <w:uiPriority w:val="99"/>
    <w:rsid w:val="008E71A9"/>
    <w:rPr>
      <w:rFonts w:asciiTheme="minorHAnsi" w:eastAsiaTheme="minorHAnsi" w:hAnsiTheme="minorHAnsi" w:cstheme="minorBidi"/>
      <w:kern w:val="2"/>
      <w:sz w:val="24"/>
      <w:szCs w:val="24"/>
      <w14:ligatures w14:val="standardContextual"/>
    </w:rPr>
    <w:tblPr/>
    <w:tblStylePr w:type="firstRow">
      <w:tblPr/>
      <w:tcPr>
        <w:shd w:val="clear" w:color="auto" w:fill="1B567B" w:themeFill="accent5" w:themeFillShade="BF"/>
      </w:tcPr>
    </w:tblStylePr>
  </w:style>
  <w:style w:type="character" w:customStyle="1" w:styleId="Heading5Char">
    <w:name w:val="Heading 5 Char"/>
    <w:basedOn w:val="DefaultParagraphFont"/>
    <w:link w:val="Heading5"/>
    <w:uiPriority w:val="9"/>
    <w:semiHidden/>
    <w:rsid w:val="00D2460A"/>
    <w:rPr>
      <w:rFonts w:ascii="Arial" w:eastAsiaTheme="majorEastAsia" w:hAnsi="Arial" w:cstheme="majorBidi"/>
      <w:noProof/>
      <w:color w:val="85162E" w:themeColor="accent1" w:themeShade="BF"/>
      <w:kern w:val="2"/>
      <w:sz w:val="22"/>
      <w:szCs w:val="22"/>
      <w14:ligatures w14:val="standardContextual"/>
    </w:rPr>
  </w:style>
  <w:style w:type="character" w:customStyle="1" w:styleId="Heading6Char">
    <w:name w:val="Heading 6 Char"/>
    <w:basedOn w:val="DefaultParagraphFont"/>
    <w:link w:val="Heading6"/>
    <w:uiPriority w:val="9"/>
    <w:semiHidden/>
    <w:rsid w:val="00D2460A"/>
    <w:rPr>
      <w:rFonts w:ascii="Arial" w:eastAsiaTheme="majorEastAsia" w:hAnsi="Arial" w:cstheme="majorBidi"/>
      <w:i/>
      <w:iCs/>
      <w:noProof/>
      <w:color w:val="595959" w:themeColor="text1" w:themeTint="A6"/>
      <w:kern w:val="2"/>
      <w:sz w:val="22"/>
      <w:szCs w:val="22"/>
      <w14:ligatures w14:val="standardContextual"/>
    </w:rPr>
  </w:style>
  <w:style w:type="character" w:customStyle="1" w:styleId="Heading7Char">
    <w:name w:val="Heading 7 Char"/>
    <w:basedOn w:val="DefaultParagraphFont"/>
    <w:link w:val="Heading7"/>
    <w:uiPriority w:val="9"/>
    <w:semiHidden/>
    <w:rsid w:val="00D2460A"/>
    <w:rPr>
      <w:rFonts w:ascii="Arial" w:eastAsiaTheme="majorEastAsia" w:hAnsi="Arial" w:cstheme="majorBidi"/>
      <w:noProof/>
      <w:color w:val="595959" w:themeColor="text1" w:themeTint="A6"/>
      <w:kern w:val="2"/>
      <w:sz w:val="22"/>
      <w:szCs w:val="22"/>
      <w14:ligatures w14:val="standardContextual"/>
    </w:rPr>
  </w:style>
  <w:style w:type="paragraph" w:styleId="Quote">
    <w:name w:val="Quote"/>
    <w:basedOn w:val="Normal"/>
    <w:next w:val="Normal"/>
    <w:link w:val="QuoteChar"/>
    <w:uiPriority w:val="29"/>
    <w:qFormat/>
    <w:rsid w:val="00D2460A"/>
    <w:pPr>
      <w:spacing w:before="160" w:after="160" w:line="278" w:lineRule="auto"/>
      <w:ind w:left="360"/>
      <w:jc w:val="center"/>
    </w:pPr>
    <w:rPr>
      <w:rFonts w:ascii="Arial" w:eastAsiaTheme="minorHAnsi" w:hAnsi="Arial" w:cs="Arial"/>
      <w:i/>
      <w:iCs/>
      <w:noProof/>
      <w:color w:val="404040" w:themeColor="text1" w:themeTint="BF"/>
      <w:kern w:val="2"/>
      <w:szCs w:val="22"/>
      <w14:ligatures w14:val="standardContextual"/>
    </w:rPr>
  </w:style>
  <w:style w:type="character" w:customStyle="1" w:styleId="QuoteChar">
    <w:name w:val="Quote Char"/>
    <w:basedOn w:val="DefaultParagraphFont"/>
    <w:link w:val="Quote"/>
    <w:uiPriority w:val="29"/>
    <w:rsid w:val="00D2460A"/>
    <w:rPr>
      <w:rFonts w:ascii="Arial" w:eastAsiaTheme="minorHAnsi" w:hAnsi="Arial" w:cs="Arial"/>
      <w:i/>
      <w:iCs/>
      <w:noProof/>
      <w:color w:val="404040" w:themeColor="text1" w:themeTint="BF"/>
      <w:kern w:val="2"/>
      <w:sz w:val="22"/>
      <w:szCs w:val="22"/>
      <w14:ligatures w14:val="standardContextual"/>
    </w:rPr>
  </w:style>
  <w:style w:type="character" w:styleId="IntenseEmphasis">
    <w:name w:val="Intense Emphasis"/>
    <w:basedOn w:val="DefaultParagraphFont"/>
    <w:uiPriority w:val="21"/>
    <w:qFormat/>
    <w:rsid w:val="00D2460A"/>
    <w:rPr>
      <w:i/>
      <w:iCs/>
      <w:color w:val="85162E" w:themeColor="accent1" w:themeShade="BF"/>
    </w:rPr>
  </w:style>
  <w:style w:type="character" w:styleId="IntenseReference">
    <w:name w:val="Intense Reference"/>
    <w:basedOn w:val="DefaultParagraphFont"/>
    <w:uiPriority w:val="32"/>
    <w:qFormat/>
    <w:rsid w:val="00D2460A"/>
    <w:rPr>
      <w:b/>
      <w:bCs/>
      <w:smallCaps/>
      <w:color w:val="85162E" w:themeColor="accent1" w:themeShade="BF"/>
      <w:spacing w:val="5"/>
    </w:rPr>
  </w:style>
  <w:style w:type="paragraph" w:customStyle="1" w:styleId="RG">
    <w:name w:val="RG"/>
    <w:basedOn w:val="Normal"/>
    <w:link w:val="RGChar"/>
    <w:qFormat/>
    <w:rsid w:val="00D2460A"/>
    <w:pPr>
      <w:spacing w:before="120" w:after="120"/>
    </w:pPr>
    <w:rPr>
      <w:rFonts w:ascii="Arial" w:eastAsiaTheme="minorHAnsi" w:hAnsi="Arial" w:cs="Arial"/>
      <w:noProof/>
      <w:color w:val="auto"/>
      <w:kern w:val="2"/>
      <w:szCs w:val="22"/>
      <w14:ligatures w14:val="standardContextual"/>
    </w:rPr>
  </w:style>
  <w:style w:type="character" w:customStyle="1" w:styleId="RGChar">
    <w:name w:val="RG Char"/>
    <w:basedOn w:val="DefaultParagraphFont"/>
    <w:link w:val="RG"/>
    <w:rsid w:val="00D2460A"/>
    <w:rPr>
      <w:rFonts w:ascii="Arial" w:eastAsiaTheme="minorHAnsi" w:hAnsi="Arial" w:cs="Arial"/>
      <w:noProof/>
      <w:kern w:val="2"/>
      <w:sz w:val="22"/>
      <w:szCs w:val="22"/>
      <w14:ligatures w14:val="standardContextual"/>
    </w:rPr>
  </w:style>
  <w:style w:type="table" w:customStyle="1" w:styleId="TableGrid1">
    <w:name w:val="Table Grid1"/>
    <w:basedOn w:val="TableNormal"/>
    <w:next w:val="TableGrid"/>
    <w:uiPriority w:val="39"/>
    <w:rsid w:val="00D246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
    <w:rsid w:val="00A72482"/>
    <w:pPr>
      <w:spacing w:before="100" w:beforeAutospacing="1" w:after="100" w:afterAutospacing="1"/>
    </w:pPr>
    <w:rPr>
      <w:rFonts w:ascii="Aptos" w:eastAsia="Times New Roman" w:hAnsi="Aptos" w:cs="Times New Roman"/>
      <w:color w:val="000000"/>
      <w:szCs w:val="22"/>
    </w:rPr>
  </w:style>
  <w:style w:type="paragraph" w:customStyle="1" w:styleId="xl84">
    <w:name w:val="xl84"/>
    <w:basedOn w:val="Normal"/>
    <w:rsid w:val="00A72482"/>
    <w:pPr>
      <w:pBdr>
        <w:top w:val="single" w:sz="4" w:space="0" w:color="auto"/>
        <w:left w:val="single" w:sz="4" w:space="0" w:color="auto"/>
        <w:bottom w:val="single" w:sz="4" w:space="0" w:color="auto"/>
        <w:right w:val="single" w:sz="4" w:space="0" w:color="auto"/>
      </w:pBdr>
      <w:shd w:val="clear" w:color="000000" w:fill="005B8E"/>
      <w:spacing w:before="100" w:beforeAutospacing="1" w:after="100" w:afterAutospacing="1"/>
      <w:textAlignment w:val="top"/>
    </w:pPr>
    <w:rPr>
      <w:rFonts w:ascii="Aptos" w:eastAsia="Times New Roman" w:hAnsi="Aptos" w:cs="Times New Roman"/>
      <w:b/>
      <w:bCs/>
      <w:color w:val="FFFFFF"/>
      <w:sz w:val="24"/>
    </w:rPr>
  </w:style>
  <w:style w:type="paragraph" w:customStyle="1" w:styleId="xl85">
    <w:name w:val="xl85"/>
    <w:basedOn w:val="Normal"/>
    <w:rsid w:val="00A72482"/>
    <w:pPr>
      <w:pBdr>
        <w:top w:val="single" w:sz="4" w:space="0" w:color="auto"/>
        <w:left w:val="single" w:sz="4" w:space="0" w:color="auto"/>
        <w:bottom w:val="single" w:sz="4" w:space="0" w:color="auto"/>
        <w:right w:val="single" w:sz="4" w:space="0" w:color="auto"/>
      </w:pBdr>
      <w:shd w:val="clear" w:color="000000" w:fill="005B8E"/>
      <w:spacing w:before="100" w:beforeAutospacing="1" w:after="100" w:afterAutospacing="1"/>
      <w:textAlignment w:val="top"/>
    </w:pPr>
    <w:rPr>
      <w:rFonts w:ascii="Aptos" w:eastAsia="Times New Roman" w:hAnsi="Aptos" w:cs="Times New Roman"/>
      <w:b/>
      <w:bCs/>
      <w:color w:val="FFFFFF"/>
      <w:sz w:val="24"/>
    </w:rPr>
  </w:style>
  <w:style w:type="paragraph" w:customStyle="1" w:styleId="xl86">
    <w:name w:val="xl86"/>
    <w:basedOn w:val="Normal"/>
    <w:rsid w:val="00A72482"/>
    <w:pPr>
      <w:spacing w:before="100" w:beforeAutospacing="1" w:after="100" w:afterAutospacing="1"/>
    </w:pPr>
    <w:rPr>
      <w:rFonts w:ascii="Times New Roman" w:eastAsia="Times New Roman" w:hAnsi="Times New Roman" w:cs="Times New Roman"/>
      <w:color w:val="auto"/>
      <w:sz w:val="24"/>
    </w:rPr>
  </w:style>
  <w:style w:type="paragraph" w:customStyle="1" w:styleId="xl87">
    <w:name w:val="xl87"/>
    <w:basedOn w:val="Normal"/>
    <w:rsid w:val="001D1E4C"/>
    <w:pPr>
      <w:pBdr>
        <w:bottom w:val="single" w:sz="4" w:space="0" w:color="auto"/>
      </w:pBdr>
      <w:spacing w:before="100" w:beforeAutospacing="1" w:after="100" w:afterAutospacing="1"/>
    </w:pPr>
    <w:rPr>
      <w:rFonts w:ascii="Times New Roman" w:eastAsia="Times New Roman" w:hAnsi="Times New Roman" w:cs="Times New Roman"/>
      <w:color w:val="auto"/>
      <w:sz w:val="24"/>
    </w:rPr>
  </w:style>
  <w:style w:type="numbering" w:customStyle="1" w:styleId="NoList1">
    <w:name w:val="No List1"/>
    <w:next w:val="NoList"/>
    <w:uiPriority w:val="99"/>
    <w:semiHidden/>
    <w:unhideWhenUsed/>
    <w:rsid w:val="008A2427"/>
  </w:style>
  <w:style w:type="numbering" w:customStyle="1" w:styleId="NoList2">
    <w:name w:val="No List2"/>
    <w:next w:val="NoList"/>
    <w:uiPriority w:val="99"/>
    <w:semiHidden/>
    <w:unhideWhenUsed/>
    <w:rsid w:val="00A73C9E"/>
  </w:style>
  <w:style w:type="paragraph" w:customStyle="1" w:styleId="font6">
    <w:name w:val="font6"/>
    <w:basedOn w:val="Normal"/>
    <w:rsid w:val="007A14C4"/>
    <w:pPr>
      <w:spacing w:before="100" w:beforeAutospacing="1" w:after="100" w:afterAutospacing="1"/>
    </w:pPr>
    <w:rPr>
      <w:rFonts w:ascii="Aptos" w:eastAsia="Times New Roman" w:hAnsi="Aptos" w:cs="Times New Roman"/>
      <w:color w:val="000000"/>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45718">
      <w:bodyDiv w:val="1"/>
      <w:marLeft w:val="0"/>
      <w:marRight w:val="0"/>
      <w:marTop w:val="0"/>
      <w:marBottom w:val="0"/>
      <w:divBdr>
        <w:top w:val="none" w:sz="0" w:space="0" w:color="auto"/>
        <w:left w:val="none" w:sz="0" w:space="0" w:color="auto"/>
        <w:bottom w:val="none" w:sz="0" w:space="0" w:color="auto"/>
        <w:right w:val="none" w:sz="0" w:space="0" w:color="auto"/>
      </w:divBdr>
    </w:div>
    <w:div w:id="9918983">
      <w:bodyDiv w:val="1"/>
      <w:marLeft w:val="0"/>
      <w:marRight w:val="0"/>
      <w:marTop w:val="0"/>
      <w:marBottom w:val="0"/>
      <w:divBdr>
        <w:top w:val="none" w:sz="0" w:space="0" w:color="auto"/>
        <w:left w:val="none" w:sz="0" w:space="0" w:color="auto"/>
        <w:bottom w:val="none" w:sz="0" w:space="0" w:color="auto"/>
        <w:right w:val="none" w:sz="0" w:space="0" w:color="auto"/>
      </w:divBdr>
    </w:div>
    <w:div w:id="20934929">
      <w:bodyDiv w:val="1"/>
      <w:marLeft w:val="0"/>
      <w:marRight w:val="0"/>
      <w:marTop w:val="0"/>
      <w:marBottom w:val="0"/>
      <w:divBdr>
        <w:top w:val="none" w:sz="0" w:space="0" w:color="auto"/>
        <w:left w:val="none" w:sz="0" w:space="0" w:color="auto"/>
        <w:bottom w:val="none" w:sz="0" w:space="0" w:color="auto"/>
        <w:right w:val="none" w:sz="0" w:space="0" w:color="auto"/>
      </w:divBdr>
    </w:div>
    <w:div w:id="27804300">
      <w:bodyDiv w:val="1"/>
      <w:marLeft w:val="0"/>
      <w:marRight w:val="0"/>
      <w:marTop w:val="0"/>
      <w:marBottom w:val="0"/>
      <w:divBdr>
        <w:top w:val="none" w:sz="0" w:space="0" w:color="auto"/>
        <w:left w:val="none" w:sz="0" w:space="0" w:color="auto"/>
        <w:bottom w:val="none" w:sz="0" w:space="0" w:color="auto"/>
        <w:right w:val="none" w:sz="0" w:space="0" w:color="auto"/>
      </w:divBdr>
    </w:div>
    <w:div w:id="28922091">
      <w:bodyDiv w:val="1"/>
      <w:marLeft w:val="0"/>
      <w:marRight w:val="0"/>
      <w:marTop w:val="0"/>
      <w:marBottom w:val="0"/>
      <w:divBdr>
        <w:top w:val="none" w:sz="0" w:space="0" w:color="auto"/>
        <w:left w:val="none" w:sz="0" w:space="0" w:color="auto"/>
        <w:bottom w:val="none" w:sz="0" w:space="0" w:color="auto"/>
        <w:right w:val="none" w:sz="0" w:space="0" w:color="auto"/>
      </w:divBdr>
    </w:div>
    <w:div w:id="33972359">
      <w:bodyDiv w:val="1"/>
      <w:marLeft w:val="0"/>
      <w:marRight w:val="0"/>
      <w:marTop w:val="0"/>
      <w:marBottom w:val="0"/>
      <w:divBdr>
        <w:top w:val="none" w:sz="0" w:space="0" w:color="auto"/>
        <w:left w:val="none" w:sz="0" w:space="0" w:color="auto"/>
        <w:bottom w:val="none" w:sz="0" w:space="0" w:color="auto"/>
        <w:right w:val="none" w:sz="0" w:space="0" w:color="auto"/>
      </w:divBdr>
    </w:div>
    <w:div w:id="38172562">
      <w:bodyDiv w:val="1"/>
      <w:marLeft w:val="0"/>
      <w:marRight w:val="0"/>
      <w:marTop w:val="0"/>
      <w:marBottom w:val="0"/>
      <w:divBdr>
        <w:top w:val="none" w:sz="0" w:space="0" w:color="auto"/>
        <w:left w:val="none" w:sz="0" w:space="0" w:color="auto"/>
        <w:bottom w:val="none" w:sz="0" w:space="0" w:color="auto"/>
        <w:right w:val="none" w:sz="0" w:space="0" w:color="auto"/>
      </w:divBdr>
    </w:div>
    <w:div w:id="39088747">
      <w:bodyDiv w:val="1"/>
      <w:marLeft w:val="0"/>
      <w:marRight w:val="0"/>
      <w:marTop w:val="0"/>
      <w:marBottom w:val="0"/>
      <w:divBdr>
        <w:top w:val="none" w:sz="0" w:space="0" w:color="auto"/>
        <w:left w:val="none" w:sz="0" w:space="0" w:color="auto"/>
        <w:bottom w:val="none" w:sz="0" w:space="0" w:color="auto"/>
        <w:right w:val="none" w:sz="0" w:space="0" w:color="auto"/>
      </w:divBdr>
    </w:div>
    <w:div w:id="45105289">
      <w:bodyDiv w:val="1"/>
      <w:marLeft w:val="0"/>
      <w:marRight w:val="0"/>
      <w:marTop w:val="0"/>
      <w:marBottom w:val="0"/>
      <w:divBdr>
        <w:top w:val="none" w:sz="0" w:space="0" w:color="auto"/>
        <w:left w:val="none" w:sz="0" w:space="0" w:color="auto"/>
        <w:bottom w:val="none" w:sz="0" w:space="0" w:color="auto"/>
        <w:right w:val="none" w:sz="0" w:space="0" w:color="auto"/>
      </w:divBdr>
    </w:div>
    <w:div w:id="45497234">
      <w:bodyDiv w:val="1"/>
      <w:marLeft w:val="0"/>
      <w:marRight w:val="0"/>
      <w:marTop w:val="0"/>
      <w:marBottom w:val="0"/>
      <w:divBdr>
        <w:top w:val="none" w:sz="0" w:space="0" w:color="auto"/>
        <w:left w:val="none" w:sz="0" w:space="0" w:color="auto"/>
        <w:bottom w:val="none" w:sz="0" w:space="0" w:color="auto"/>
        <w:right w:val="none" w:sz="0" w:space="0" w:color="auto"/>
      </w:divBdr>
    </w:div>
    <w:div w:id="47605810">
      <w:bodyDiv w:val="1"/>
      <w:marLeft w:val="0"/>
      <w:marRight w:val="0"/>
      <w:marTop w:val="0"/>
      <w:marBottom w:val="0"/>
      <w:divBdr>
        <w:top w:val="none" w:sz="0" w:space="0" w:color="auto"/>
        <w:left w:val="none" w:sz="0" w:space="0" w:color="auto"/>
        <w:bottom w:val="none" w:sz="0" w:space="0" w:color="auto"/>
        <w:right w:val="none" w:sz="0" w:space="0" w:color="auto"/>
      </w:divBdr>
    </w:div>
    <w:div w:id="49111344">
      <w:bodyDiv w:val="1"/>
      <w:marLeft w:val="0"/>
      <w:marRight w:val="0"/>
      <w:marTop w:val="0"/>
      <w:marBottom w:val="0"/>
      <w:divBdr>
        <w:top w:val="none" w:sz="0" w:space="0" w:color="auto"/>
        <w:left w:val="none" w:sz="0" w:space="0" w:color="auto"/>
        <w:bottom w:val="none" w:sz="0" w:space="0" w:color="auto"/>
        <w:right w:val="none" w:sz="0" w:space="0" w:color="auto"/>
      </w:divBdr>
    </w:div>
    <w:div w:id="58603880">
      <w:bodyDiv w:val="1"/>
      <w:marLeft w:val="0"/>
      <w:marRight w:val="0"/>
      <w:marTop w:val="0"/>
      <w:marBottom w:val="0"/>
      <w:divBdr>
        <w:top w:val="none" w:sz="0" w:space="0" w:color="auto"/>
        <w:left w:val="none" w:sz="0" w:space="0" w:color="auto"/>
        <w:bottom w:val="none" w:sz="0" w:space="0" w:color="auto"/>
        <w:right w:val="none" w:sz="0" w:space="0" w:color="auto"/>
      </w:divBdr>
    </w:div>
    <w:div w:id="62267244">
      <w:bodyDiv w:val="1"/>
      <w:marLeft w:val="0"/>
      <w:marRight w:val="0"/>
      <w:marTop w:val="0"/>
      <w:marBottom w:val="0"/>
      <w:divBdr>
        <w:top w:val="none" w:sz="0" w:space="0" w:color="auto"/>
        <w:left w:val="none" w:sz="0" w:space="0" w:color="auto"/>
        <w:bottom w:val="none" w:sz="0" w:space="0" w:color="auto"/>
        <w:right w:val="none" w:sz="0" w:space="0" w:color="auto"/>
      </w:divBdr>
    </w:div>
    <w:div w:id="64841638">
      <w:bodyDiv w:val="1"/>
      <w:marLeft w:val="0"/>
      <w:marRight w:val="0"/>
      <w:marTop w:val="0"/>
      <w:marBottom w:val="0"/>
      <w:divBdr>
        <w:top w:val="none" w:sz="0" w:space="0" w:color="auto"/>
        <w:left w:val="none" w:sz="0" w:space="0" w:color="auto"/>
        <w:bottom w:val="none" w:sz="0" w:space="0" w:color="auto"/>
        <w:right w:val="none" w:sz="0" w:space="0" w:color="auto"/>
      </w:divBdr>
    </w:div>
    <w:div w:id="67461043">
      <w:bodyDiv w:val="1"/>
      <w:marLeft w:val="0"/>
      <w:marRight w:val="0"/>
      <w:marTop w:val="0"/>
      <w:marBottom w:val="0"/>
      <w:divBdr>
        <w:top w:val="none" w:sz="0" w:space="0" w:color="auto"/>
        <w:left w:val="none" w:sz="0" w:space="0" w:color="auto"/>
        <w:bottom w:val="none" w:sz="0" w:space="0" w:color="auto"/>
        <w:right w:val="none" w:sz="0" w:space="0" w:color="auto"/>
      </w:divBdr>
    </w:div>
    <w:div w:id="82410855">
      <w:bodyDiv w:val="1"/>
      <w:marLeft w:val="0"/>
      <w:marRight w:val="0"/>
      <w:marTop w:val="0"/>
      <w:marBottom w:val="0"/>
      <w:divBdr>
        <w:top w:val="none" w:sz="0" w:space="0" w:color="auto"/>
        <w:left w:val="none" w:sz="0" w:space="0" w:color="auto"/>
        <w:bottom w:val="none" w:sz="0" w:space="0" w:color="auto"/>
        <w:right w:val="none" w:sz="0" w:space="0" w:color="auto"/>
      </w:divBdr>
    </w:div>
    <w:div w:id="82605230">
      <w:bodyDiv w:val="1"/>
      <w:marLeft w:val="0"/>
      <w:marRight w:val="0"/>
      <w:marTop w:val="0"/>
      <w:marBottom w:val="0"/>
      <w:divBdr>
        <w:top w:val="none" w:sz="0" w:space="0" w:color="auto"/>
        <w:left w:val="none" w:sz="0" w:space="0" w:color="auto"/>
        <w:bottom w:val="none" w:sz="0" w:space="0" w:color="auto"/>
        <w:right w:val="none" w:sz="0" w:space="0" w:color="auto"/>
      </w:divBdr>
    </w:div>
    <w:div w:id="82918188">
      <w:bodyDiv w:val="1"/>
      <w:marLeft w:val="0"/>
      <w:marRight w:val="0"/>
      <w:marTop w:val="0"/>
      <w:marBottom w:val="0"/>
      <w:divBdr>
        <w:top w:val="none" w:sz="0" w:space="0" w:color="auto"/>
        <w:left w:val="none" w:sz="0" w:space="0" w:color="auto"/>
        <w:bottom w:val="none" w:sz="0" w:space="0" w:color="auto"/>
        <w:right w:val="none" w:sz="0" w:space="0" w:color="auto"/>
      </w:divBdr>
    </w:div>
    <w:div w:id="103430120">
      <w:bodyDiv w:val="1"/>
      <w:marLeft w:val="0"/>
      <w:marRight w:val="0"/>
      <w:marTop w:val="0"/>
      <w:marBottom w:val="0"/>
      <w:divBdr>
        <w:top w:val="none" w:sz="0" w:space="0" w:color="auto"/>
        <w:left w:val="none" w:sz="0" w:space="0" w:color="auto"/>
        <w:bottom w:val="none" w:sz="0" w:space="0" w:color="auto"/>
        <w:right w:val="none" w:sz="0" w:space="0" w:color="auto"/>
      </w:divBdr>
    </w:div>
    <w:div w:id="103767495">
      <w:bodyDiv w:val="1"/>
      <w:marLeft w:val="0"/>
      <w:marRight w:val="0"/>
      <w:marTop w:val="0"/>
      <w:marBottom w:val="0"/>
      <w:divBdr>
        <w:top w:val="none" w:sz="0" w:space="0" w:color="auto"/>
        <w:left w:val="none" w:sz="0" w:space="0" w:color="auto"/>
        <w:bottom w:val="none" w:sz="0" w:space="0" w:color="auto"/>
        <w:right w:val="none" w:sz="0" w:space="0" w:color="auto"/>
      </w:divBdr>
    </w:div>
    <w:div w:id="114954653">
      <w:bodyDiv w:val="1"/>
      <w:marLeft w:val="0"/>
      <w:marRight w:val="0"/>
      <w:marTop w:val="0"/>
      <w:marBottom w:val="0"/>
      <w:divBdr>
        <w:top w:val="none" w:sz="0" w:space="0" w:color="auto"/>
        <w:left w:val="none" w:sz="0" w:space="0" w:color="auto"/>
        <w:bottom w:val="none" w:sz="0" w:space="0" w:color="auto"/>
        <w:right w:val="none" w:sz="0" w:space="0" w:color="auto"/>
      </w:divBdr>
    </w:div>
    <w:div w:id="115025927">
      <w:bodyDiv w:val="1"/>
      <w:marLeft w:val="0"/>
      <w:marRight w:val="0"/>
      <w:marTop w:val="0"/>
      <w:marBottom w:val="0"/>
      <w:divBdr>
        <w:top w:val="none" w:sz="0" w:space="0" w:color="auto"/>
        <w:left w:val="none" w:sz="0" w:space="0" w:color="auto"/>
        <w:bottom w:val="none" w:sz="0" w:space="0" w:color="auto"/>
        <w:right w:val="none" w:sz="0" w:space="0" w:color="auto"/>
      </w:divBdr>
    </w:div>
    <w:div w:id="115299583">
      <w:bodyDiv w:val="1"/>
      <w:marLeft w:val="0"/>
      <w:marRight w:val="0"/>
      <w:marTop w:val="0"/>
      <w:marBottom w:val="0"/>
      <w:divBdr>
        <w:top w:val="none" w:sz="0" w:space="0" w:color="auto"/>
        <w:left w:val="none" w:sz="0" w:space="0" w:color="auto"/>
        <w:bottom w:val="none" w:sz="0" w:space="0" w:color="auto"/>
        <w:right w:val="none" w:sz="0" w:space="0" w:color="auto"/>
      </w:divBdr>
    </w:div>
    <w:div w:id="124472011">
      <w:bodyDiv w:val="1"/>
      <w:marLeft w:val="0"/>
      <w:marRight w:val="0"/>
      <w:marTop w:val="0"/>
      <w:marBottom w:val="0"/>
      <w:divBdr>
        <w:top w:val="none" w:sz="0" w:space="0" w:color="auto"/>
        <w:left w:val="none" w:sz="0" w:space="0" w:color="auto"/>
        <w:bottom w:val="none" w:sz="0" w:space="0" w:color="auto"/>
        <w:right w:val="none" w:sz="0" w:space="0" w:color="auto"/>
      </w:divBdr>
    </w:div>
    <w:div w:id="133955677">
      <w:bodyDiv w:val="1"/>
      <w:marLeft w:val="0"/>
      <w:marRight w:val="0"/>
      <w:marTop w:val="0"/>
      <w:marBottom w:val="0"/>
      <w:divBdr>
        <w:top w:val="none" w:sz="0" w:space="0" w:color="auto"/>
        <w:left w:val="none" w:sz="0" w:space="0" w:color="auto"/>
        <w:bottom w:val="none" w:sz="0" w:space="0" w:color="auto"/>
        <w:right w:val="none" w:sz="0" w:space="0" w:color="auto"/>
      </w:divBdr>
    </w:div>
    <w:div w:id="137577635">
      <w:bodyDiv w:val="1"/>
      <w:marLeft w:val="0"/>
      <w:marRight w:val="0"/>
      <w:marTop w:val="0"/>
      <w:marBottom w:val="0"/>
      <w:divBdr>
        <w:top w:val="none" w:sz="0" w:space="0" w:color="auto"/>
        <w:left w:val="none" w:sz="0" w:space="0" w:color="auto"/>
        <w:bottom w:val="none" w:sz="0" w:space="0" w:color="auto"/>
        <w:right w:val="none" w:sz="0" w:space="0" w:color="auto"/>
      </w:divBdr>
    </w:div>
    <w:div w:id="143400920">
      <w:bodyDiv w:val="1"/>
      <w:marLeft w:val="0"/>
      <w:marRight w:val="0"/>
      <w:marTop w:val="0"/>
      <w:marBottom w:val="0"/>
      <w:divBdr>
        <w:top w:val="none" w:sz="0" w:space="0" w:color="auto"/>
        <w:left w:val="none" w:sz="0" w:space="0" w:color="auto"/>
        <w:bottom w:val="none" w:sz="0" w:space="0" w:color="auto"/>
        <w:right w:val="none" w:sz="0" w:space="0" w:color="auto"/>
      </w:divBdr>
    </w:div>
    <w:div w:id="144319043">
      <w:bodyDiv w:val="1"/>
      <w:marLeft w:val="0"/>
      <w:marRight w:val="0"/>
      <w:marTop w:val="0"/>
      <w:marBottom w:val="0"/>
      <w:divBdr>
        <w:top w:val="none" w:sz="0" w:space="0" w:color="auto"/>
        <w:left w:val="none" w:sz="0" w:space="0" w:color="auto"/>
        <w:bottom w:val="none" w:sz="0" w:space="0" w:color="auto"/>
        <w:right w:val="none" w:sz="0" w:space="0" w:color="auto"/>
      </w:divBdr>
    </w:div>
    <w:div w:id="150879238">
      <w:bodyDiv w:val="1"/>
      <w:marLeft w:val="0"/>
      <w:marRight w:val="0"/>
      <w:marTop w:val="0"/>
      <w:marBottom w:val="0"/>
      <w:divBdr>
        <w:top w:val="none" w:sz="0" w:space="0" w:color="auto"/>
        <w:left w:val="none" w:sz="0" w:space="0" w:color="auto"/>
        <w:bottom w:val="none" w:sz="0" w:space="0" w:color="auto"/>
        <w:right w:val="none" w:sz="0" w:space="0" w:color="auto"/>
      </w:divBdr>
    </w:div>
    <w:div w:id="158739918">
      <w:bodyDiv w:val="1"/>
      <w:marLeft w:val="0"/>
      <w:marRight w:val="0"/>
      <w:marTop w:val="0"/>
      <w:marBottom w:val="0"/>
      <w:divBdr>
        <w:top w:val="none" w:sz="0" w:space="0" w:color="auto"/>
        <w:left w:val="none" w:sz="0" w:space="0" w:color="auto"/>
        <w:bottom w:val="none" w:sz="0" w:space="0" w:color="auto"/>
        <w:right w:val="none" w:sz="0" w:space="0" w:color="auto"/>
      </w:divBdr>
    </w:div>
    <w:div w:id="166752379">
      <w:bodyDiv w:val="1"/>
      <w:marLeft w:val="0"/>
      <w:marRight w:val="0"/>
      <w:marTop w:val="0"/>
      <w:marBottom w:val="0"/>
      <w:divBdr>
        <w:top w:val="none" w:sz="0" w:space="0" w:color="auto"/>
        <w:left w:val="none" w:sz="0" w:space="0" w:color="auto"/>
        <w:bottom w:val="none" w:sz="0" w:space="0" w:color="auto"/>
        <w:right w:val="none" w:sz="0" w:space="0" w:color="auto"/>
      </w:divBdr>
    </w:div>
    <w:div w:id="172764893">
      <w:bodyDiv w:val="1"/>
      <w:marLeft w:val="0"/>
      <w:marRight w:val="0"/>
      <w:marTop w:val="0"/>
      <w:marBottom w:val="0"/>
      <w:divBdr>
        <w:top w:val="none" w:sz="0" w:space="0" w:color="auto"/>
        <w:left w:val="none" w:sz="0" w:space="0" w:color="auto"/>
        <w:bottom w:val="none" w:sz="0" w:space="0" w:color="auto"/>
        <w:right w:val="none" w:sz="0" w:space="0" w:color="auto"/>
      </w:divBdr>
    </w:div>
    <w:div w:id="175847947">
      <w:bodyDiv w:val="1"/>
      <w:marLeft w:val="0"/>
      <w:marRight w:val="0"/>
      <w:marTop w:val="0"/>
      <w:marBottom w:val="0"/>
      <w:divBdr>
        <w:top w:val="none" w:sz="0" w:space="0" w:color="auto"/>
        <w:left w:val="none" w:sz="0" w:space="0" w:color="auto"/>
        <w:bottom w:val="none" w:sz="0" w:space="0" w:color="auto"/>
        <w:right w:val="none" w:sz="0" w:space="0" w:color="auto"/>
      </w:divBdr>
    </w:div>
    <w:div w:id="190413803">
      <w:bodyDiv w:val="1"/>
      <w:marLeft w:val="0"/>
      <w:marRight w:val="0"/>
      <w:marTop w:val="0"/>
      <w:marBottom w:val="0"/>
      <w:divBdr>
        <w:top w:val="none" w:sz="0" w:space="0" w:color="auto"/>
        <w:left w:val="none" w:sz="0" w:space="0" w:color="auto"/>
        <w:bottom w:val="none" w:sz="0" w:space="0" w:color="auto"/>
        <w:right w:val="none" w:sz="0" w:space="0" w:color="auto"/>
      </w:divBdr>
    </w:div>
    <w:div w:id="195506082">
      <w:bodyDiv w:val="1"/>
      <w:marLeft w:val="0"/>
      <w:marRight w:val="0"/>
      <w:marTop w:val="0"/>
      <w:marBottom w:val="0"/>
      <w:divBdr>
        <w:top w:val="none" w:sz="0" w:space="0" w:color="auto"/>
        <w:left w:val="none" w:sz="0" w:space="0" w:color="auto"/>
        <w:bottom w:val="none" w:sz="0" w:space="0" w:color="auto"/>
        <w:right w:val="none" w:sz="0" w:space="0" w:color="auto"/>
      </w:divBdr>
    </w:div>
    <w:div w:id="197932100">
      <w:bodyDiv w:val="1"/>
      <w:marLeft w:val="0"/>
      <w:marRight w:val="0"/>
      <w:marTop w:val="0"/>
      <w:marBottom w:val="0"/>
      <w:divBdr>
        <w:top w:val="none" w:sz="0" w:space="0" w:color="auto"/>
        <w:left w:val="none" w:sz="0" w:space="0" w:color="auto"/>
        <w:bottom w:val="none" w:sz="0" w:space="0" w:color="auto"/>
        <w:right w:val="none" w:sz="0" w:space="0" w:color="auto"/>
      </w:divBdr>
    </w:div>
    <w:div w:id="203446539">
      <w:bodyDiv w:val="1"/>
      <w:marLeft w:val="0"/>
      <w:marRight w:val="0"/>
      <w:marTop w:val="0"/>
      <w:marBottom w:val="0"/>
      <w:divBdr>
        <w:top w:val="none" w:sz="0" w:space="0" w:color="auto"/>
        <w:left w:val="none" w:sz="0" w:space="0" w:color="auto"/>
        <w:bottom w:val="none" w:sz="0" w:space="0" w:color="auto"/>
        <w:right w:val="none" w:sz="0" w:space="0" w:color="auto"/>
      </w:divBdr>
    </w:div>
    <w:div w:id="206840176">
      <w:bodyDiv w:val="1"/>
      <w:marLeft w:val="0"/>
      <w:marRight w:val="0"/>
      <w:marTop w:val="0"/>
      <w:marBottom w:val="0"/>
      <w:divBdr>
        <w:top w:val="none" w:sz="0" w:space="0" w:color="auto"/>
        <w:left w:val="none" w:sz="0" w:space="0" w:color="auto"/>
        <w:bottom w:val="none" w:sz="0" w:space="0" w:color="auto"/>
        <w:right w:val="none" w:sz="0" w:space="0" w:color="auto"/>
      </w:divBdr>
    </w:div>
    <w:div w:id="211699853">
      <w:bodyDiv w:val="1"/>
      <w:marLeft w:val="0"/>
      <w:marRight w:val="0"/>
      <w:marTop w:val="0"/>
      <w:marBottom w:val="0"/>
      <w:divBdr>
        <w:top w:val="none" w:sz="0" w:space="0" w:color="auto"/>
        <w:left w:val="none" w:sz="0" w:space="0" w:color="auto"/>
        <w:bottom w:val="none" w:sz="0" w:space="0" w:color="auto"/>
        <w:right w:val="none" w:sz="0" w:space="0" w:color="auto"/>
      </w:divBdr>
    </w:div>
    <w:div w:id="212547039">
      <w:bodyDiv w:val="1"/>
      <w:marLeft w:val="0"/>
      <w:marRight w:val="0"/>
      <w:marTop w:val="0"/>
      <w:marBottom w:val="0"/>
      <w:divBdr>
        <w:top w:val="none" w:sz="0" w:space="0" w:color="auto"/>
        <w:left w:val="none" w:sz="0" w:space="0" w:color="auto"/>
        <w:bottom w:val="none" w:sz="0" w:space="0" w:color="auto"/>
        <w:right w:val="none" w:sz="0" w:space="0" w:color="auto"/>
      </w:divBdr>
    </w:div>
    <w:div w:id="213544511">
      <w:bodyDiv w:val="1"/>
      <w:marLeft w:val="0"/>
      <w:marRight w:val="0"/>
      <w:marTop w:val="0"/>
      <w:marBottom w:val="0"/>
      <w:divBdr>
        <w:top w:val="none" w:sz="0" w:space="0" w:color="auto"/>
        <w:left w:val="none" w:sz="0" w:space="0" w:color="auto"/>
        <w:bottom w:val="none" w:sz="0" w:space="0" w:color="auto"/>
        <w:right w:val="none" w:sz="0" w:space="0" w:color="auto"/>
      </w:divBdr>
    </w:div>
    <w:div w:id="217014169">
      <w:bodyDiv w:val="1"/>
      <w:marLeft w:val="0"/>
      <w:marRight w:val="0"/>
      <w:marTop w:val="0"/>
      <w:marBottom w:val="0"/>
      <w:divBdr>
        <w:top w:val="none" w:sz="0" w:space="0" w:color="auto"/>
        <w:left w:val="none" w:sz="0" w:space="0" w:color="auto"/>
        <w:bottom w:val="none" w:sz="0" w:space="0" w:color="auto"/>
        <w:right w:val="none" w:sz="0" w:space="0" w:color="auto"/>
      </w:divBdr>
    </w:div>
    <w:div w:id="220411074">
      <w:bodyDiv w:val="1"/>
      <w:marLeft w:val="0"/>
      <w:marRight w:val="0"/>
      <w:marTop w:val="0"/>
      <w:marBottom w:val="0"/>
      <w:divBdr>
        <w:top w:val="none" w:sz="0" w:space="0" w:color="auto"/>
        <w:left w:val="none" w:sz="0" w:space="0" w:color="auto"/>
        <w:bottom w:val="none" w:sz="0" w:space="0" w:color="auto"/>
        <w:right w:val="none" w:sz="0" w:space="0" w:color="auto"/>
      </w:divBdr>
    </w:div>
    <w:div w:id="221449437">
      <w:bodyDiv w:val="1"/>
      <w:marLeft w:val="0"/>
      <w:marRight w:val="0"/>
      <w:marTop w:val="0"/>
      <w:marBottom w:val="0"/>
      <w:divBdr>
        <w:top w:val="none" w:sz="0" w:space="0" w:color="auto"/>
        <w:left w:val="none" w:sz="0" w:space="0" w:color="auto"/>
        <w:bottom w:val="none" w:sz="0" w:space="0" w:color="auto"/>
        <w:right w:val="none" w:sz="0" w:space="0" w:color="auto"/>
      </w:divBdr>
    </w:div>
    <w:div w:id="227040895">
      <w:bodyDiv w:val="1"/>
      <w:marLeft w:val="0"/>
      <w:marRight w:val="0"/>
      <w:marTop w:val="0"/>
      <w:marBottom w:val="0"/>
      <w:divBdr>
        <w:top w:val="none" w:sz="0" w:space="0" w:color="auto"/>
        <w:left w:val="none" w:sz="0" w:space="0" w:color="auto"/>
        <w:bottom w:val="none" w:sz="0" w:space="0" w:color="auto"/>
        <w:right w:val="none" w:sz="0" w:space="0" w:color="auto"/>
      </w:divBdr>
    </w:div>
    <w:div w:id="227958555">
      <w:bodyDiv w:val="1"/>
      <w:marLeft w:val="0"/>
      <w:marRight w:val="0"/>
      <w:marTop w:val="0"/>
      <w:marBottom w:val="0"/>
      <w:divBdr>
        <w:top w:val="none" w:sz="0" w:space="0" w:color="auto"/>
        <w:left w:val="none" w:sz="0" w:space="0" w:color="auto"/>
        <w:bottom w:val="none" w:sz="0" w:space="0" w:color="auto"/>
        <w:right w:val="none" w:sz="0" w:space="0" w:color="auto"/>
      </w:divBdr>
    </w:div>
    <w:div w:id="239759838">
      <w:bodyDiv w:val="1"/>
      <w:marLeft w:val="0"/>
      <w:marRight w:val="0"/>
      <w:marTop w:val="0"/>
      <w:marBottom w:val="0"/>
      <w:divBdr>
        <w:top w:val="none" w:sz="0" w:space="0" w:color="auto"/>
        <w:left w:val="none" w:sz="0" w:space="0" w:color="auto"/>
        <w:bottom w:val="none" w:sz="0" w:space="0" w:color="auto"/>
        <w:right w:val="none" w:sz="0" w:space="0" w:color="auto"/>
      </w:divBdr>
    </w:div>
    <w:div w:id="240917694">
      <w:bodyDiv w:val="1"/>
      <w:marLeft w:val="0"/>
      <w:marRight w:val="0"/>
      <w:marTop w:val="0"/>
      <w:marBottom w:val="0"/>
      <w:divBdr>
        <w:top w:val="none" w:sz="0" w:space="0" w:color="auto"/>
        <w:left w:val="none" w:sz="0" w:space="0" w:color="auto"/>
        <w:bottom w:val="none" w:sz="0" w:space="0" w:color="auto"/>
        <w:right w:val="none" w:sz="0" w:space="0" w:color="auto"/>
      </w:divBdr>
    </w:div>
    <w:div w:id="241139412">
      <w:bodyDiv w:val="1"/>
      <w:marLeft w:val="0"/>
      <w:marRight w:val="0"/>
      <w:marTop w:val="0"/>
      <w:marBottom w:val="0"/>
      <w:divBdr>
        <w:top w:val="none" w:sz="0" w:space="0" w:color="auto"/>
        <w:left w:val="none" w:sz="0" w:space="0" w:color="auto"/>
        <w:bottom w:val="none" w:sz="0" w:space="0" w:color="auto"/>
        <w:right w:val="none" w:sz="0" w:space="0" w:color="auto"/>
      </w:divBdr>
    </w:div>
    <w:div w:id="241566228">
      <w:bodyDiv w:val="1"/>
      <w:marLeft w:val="0"/>
      <w:marRight w:val="0"/>
      <w:marTop w:val="0"/>
      <w:marBottom w:val="0"/>
      <w:divBdr>
        <w:top w:val="none" w:sz="0" w:space="0" w:color="auto"/>
        <w:left w:val="none" w:sz="0" w:space="0" w:color="auto"/>
        <w:bottom w:val="none" w:sz="0" w:space="0" w:color="auto"/>
        <w:right w:val="none" w:sz="0" w:space="0" w:color="auto"/>
      </w:divBdr>
    </w:div>
    <w:div w:id="241792601">
      <w:bodyDiv w:val="1"/>
      <w:marLeft w:val="0"/>
      <w:marRight w:val="0"/>
      <w:marTop w:val="0"/>
      <w:marBottom w:val="0"/>
      <w:divBdr>
        <w:top w:val="none" w:sz="0" w:space="0" w:color="auto"/>
        <w:left w:val="none" w:sz="0" w:space="0" w:color="auto"/>
        <w:bottom w:val="none" w:sz="0" w:space="0" w:color="auto"/>
        <w:right w:val="none" w:sz="0" w:space="0" w:color="auto"/>
      </w:divBdr>
    </w:div>
    <w:div w:id="242223975">
      <w:bodyDiv w:val="1"/>
      <w:marLeft w:val="0"/>
      <w:marRight w:val="0"/>
      <w:marTop w:val="0"/>
      <w:marBottom w:val="0"/>
      <w:divBdr>
        <w:top w:val="none" w:sz="0" w:space="0" w:color="auto"/>
        <w:left w:val="none" w:sz="0" w:space="0" w:color="auto"/>
        <w:bottom w:val="none" w:sz="0" w:space="0" w:color="auto"/>
        <w:right w:val="none" w:sz="0" w:space="0" w:color="auto"/>
      </w:divBdr>
    </w:div>
    <w:div w:id="247424465">
      <w:bodyDiv w:val="1"/>
      <w:marLeft w:val="0"/>
      <w:marRight w:val="0"/>
      <w:marTop w:val="0"/>
      <w:marBottom w:val="0"/>
      <w:divBdr>
        <w:top w:val="none" w:sz="0" w:space="0" w:color="auto"/>
        <w:left w:val="none" w:sz="0" w:space="0" w:color="auto"/>
        <w:bottom w:val="none" w:sz="0" w:space="0" w:color="auto"/>
        <w:right w:val="none" w:sz="0" w:space="0" w:color="auto"/>
      </w:divBdr>
    </w:div>
    <w:div w:id="249042019">
      <w:bodyDiv w:val="1"/>
      <w:marLeft w:val="0"/>
      <w:marRight w:val="0"/>
      <w:marTop w:val="0"/>
      <w:marBottom w:val="0"/>
      <w:divBdr>
        <w:top w:val="none" w:sz="0" w:space="0" w:color="auto"/>
        <w:left w:val="none" w:sz="0" w:space="0" w:color="auto"/>
        <w:bottom w:val="none" w:sz="0" w:space="0" w:color="auto"/>
        <w:right w:val="none" w:sz="0" w:space="0" w:color="auto"/>
      </w:divBdr>
    </w:div>
    <w:div w:id="249893780">
      <w:bodyDiv w:val="1"/>
      <w:marLeft w:val="0"/>
      <w:marRight w:val="0"/>
      <w:marTop w:val="0"/>
      <w:marBottom w:val="0"/>
      <w:divBdr>
        <w:top w:val="none" w:sz="0" w:space="0" w:color="auto"/>
        <w:left w:val="none" w:sz="0" w:space="0" w:color="auto"/>
        <w:bottom w:val="none" w:sz="0" w:space="0" w:color="auto"/>
        <w:right w:val="none" w:sz="0" w:space="0" w:color="auto"/>
      </w:divBdr>
    </w:div>
    <w:div w:id="253366818">
      <w:bodyDiv w:val="1"/>
      <w:marLeft w:val="0"/>
      <w:marRight w:val="0"/>
      <w:marTop w:val="0"/>
      <w:marBottom w:val="0"/>
      <w:divBdr>
        <w:top w:val="none" w:sz="0" w:space="0" w:color="auto"/>
        <w:left w:val="none" w:sz="0" w:space="0" w:color="auto"/>
        <w:bottom w:val="none" w:sz="0" w:space="0" w:color="auto"/>
        <w:right w:val="none" w:sz="0" w:space="0" w:color="auto"/>
      </w:divBdr>
    </w:div>
    <w:div w:id="254244503">
      <w:bodyDiv w:val="1"/>
      <w:marLeft w:val="0"/>
      <w:marRight w:val="0"/>
      <w:marTop w:val="0"/>
      <w:marBottom w:val="0"/>
      <w:divBdr>
        <w:top w:val="none" w:sz="0" w:space="0" w:color="auto"/>
        <w:left w:val="none" w:sz="0" w:space="0" w:color="auto"/>
        <w:bottom w:val="none" w:sz="0" w:space="0" w:color="auto"/>
        <w:right w:val="none" w:sz="0" w:space="0" w:color="auto"/>
      </w:divBdr>
    </w:div>
    <w:div w:id="256014498">
      <w:bodyDiv w:val="1"/>
      <w:marLeft w:val="0"/>
      <w:marRight w:val="0"/>
      <w:marTop w:val="0"/>
      <w:marBottom w:val="0"/>
      <w:divBdr>
        <w:top w:val="none" w:sz="0" w:space="0" w:color="auto"/>
        <w:left w:val="none" w:sz="0" w:space="0" w:color="auto"/>
        <w:bottom w:val="none" w:sz="0" w:space="0" w:color="auto"/>
        <w:right w:val="none" w:sz="0" w:space="0" w:color="auto"/>
      </w:divBdr>
      <w:divsChild>
        <w:div w:id="460194313">
          <w:marLeft w:val="0"/>
          <w:marRight w:val="0"/>
          <w:marTop w:val="150"/>
          <w:marBottom w:val="300"/>
          <w:divBdr>
            <w:top w:val="none" w:sz="0" w:space="0" w:color="auto"/>
            <w:left w:val="none" w:sz="0" w:space="0" w:color="auto"/>
            <w:bottom w:val="none" w:sz="0" w:space="0" w:color="auto"/>
            <w:right w:val="none" w:sz="0" w:space="0" w:color="auto"/>
          </w:divBdr>
        </w:div>
        <w:div w:id="289485060">
          <w:marLeft w:val="0"/>
          <w:marRight w:val="0"/>
          <w:marTop w:val="150"/>
          <w:marBottom w:val="300"/>
          <w:divBdr>
            <w:top w:val="none" w:sz="0" w:space="0" w:color="auto"/>
            <w:left w:val="none" w:sz="0" w:space="0" w:color="auto"/>
            <w:bottom w:val="none" w:sz="0" w:space="0" w:color="auto"/>
            <w:right w:val="none" w:sz="0" w:space="0" w:color="auto"/>
          </w:divBdr>
        </w:div>
        <w:div w:id="1110275754">
          <w:marLeft w:val="0"/>
          <w:marRight w:val="0"/>
          <w:marTop w:val="150"/>
          <w:marBottom w:val="300"/>
          <w:divBdr>
            <w:top w:val="none" w:sz="0" w:space="0" w:color="auto"/>
            <w:left w:val="none" w:sz="0" w:space="0" w:color="auto"/>
            <w:bottom w:val="none" w:sz="0" w:space="0" w:color="auto"/>
            <w:right w:val="none" w:sz="0" w:space="0" w:color="auto"/>
          </w:divBdr>
        </w:div>
      </w:divsChild>
    </w:div>
    <w:div w:id="262420306">
      <w:bodyDiv w:val="1"/>
      <w:marLeft w:val="0"/>
      <w:marRight w:val="0"/>
      <w:marTop w:val="0"/>
      <w:marBottom w:val="0"/>
      <w:divBdr>
        <w:top w:val="none" w:sz="0" w:space="0" w:color="auto"/>
        <w:left w:val="none" w:sz="0" w:space="0" w:color="auto"/>
        <w:bottom w:val="none" w:sz="0" w:space="0" w:color="auto"/>
        <w:right w:val="none" w:sz="0" w:space="0" w:color="auto"/>
      </w:divBdr>
    </w:div>
    <w:div w:id="264389859">
      <w:bodyDiv w:val="1"/>
      <w:marLeft w:val="0"/>
      <w:marRight w:val="0"/>
      <w:marTop w:val="0"/>
      <w:marBottom w:val="0"/>
      <w:divBdr>
        <w:top w:val="none" w:sz="0" w:space="0" w:color="auto"/>
        <w:left w:val="none" w:sz="0" w:space="0" w:color="auto"/>
        <w:bottom w:val="none" w:sz="0" w:space="0" w:color="auto"/>
        <w:right w:val="none" w:sz="0" w:space="0" w:color="auto"/>
      </w:divBdr>
    </w:div>
    <w:div w:id="275064003">
      <w:bodyDiv w:val="1"/>
      <w:marLeft w:val="0"/>
      <w:marRight w:val="0"/>
      <w:marTop w:val="0"/>
      <w:marBottom w:val="0"/>
      <w:divBdr>
        <w:top w:val="none" w:sz="0" w:space="0" w:color="auto"/>
        <w:left w:val="none" w:sz="0" w:space="0" w:color="auto"/>
        <w:bottom w:val="none" w:sz="0" w:space="0" w:color="auto"/>
        <w:right w:val="none" w:sz="0" w:space="0" w:color="auto"/>
      </w:divBdr>
    </w:div>
    <w:div w:id="276765007">
      <w:bodyDiv w:val="1"/>
      <w:marLeft w:val="0"/>
      <w:marRight w:val="0"/>
      <w:marTop w:val="0"/>
      <w:marBottom w:val="0"/>
      <w:divBdr>
        <w:top w:val="none" w:sz="0" w:space="0" w:color="auto"/>
        <w:left w:val="none" w:sz="0" w:space="0" w:color="auto"/>
        <w:bottom w:val="none" w:sz="0" w:space="0" w:color="auto"/>
        <w:right w:val="none" w:sz="0" w:space="0" w:color="auto"/>
      </w:divBdr>
    </w:div>
    <w:div w:id="276832848">
      <w:bodyDiv w:val="1"/>
      <w:marLeft w:val="0"/>
      <w:marRight w:val="0"/>
      <w:marTop w:val="0"/>
      <w:marBottom w:val="0"/>
      <w:divBdr>
        <w:top w:val="none" w:sz="0" w:space="0" w:color="auto"/>
        <w:left w:val="none" w:sz="0" w:space="0" w:color="auto"/>
        <w:bottom w:val="none" w:sz="0" w:space="0" w:color="auto"/>
        <w:right w:val="none" w:sz="0" w:space="0" w:color="auto"/>
      </w:divBdr>
    </w:div>
    <w:div w:id="278729457">
      <w:bodyDiv w:val="1"/>
      <w:marLeft w:val="0"/>
      <w:marRight w:val="0"/>
      <w:marTop w:val="0"/>
      <w:marBottom w:val="0"/>
      <w:divBdr>
        <w:top w:val="none" w:sz="0" w:space="0" w:color="auto"/>
        <w:left w:val="none" w:sz="0" w:space="0" w:color="auto"/>
        <w:bottom w:val="none" w:sz="0" w:space="0" w:color="auto"/>
        <w:right w:val="none" w:sz="0" w:space="0" w:color="auto"/>
      </w:divBdr>
    </w:div>
    <w:div w:id="281497076">
      <w:bodyDiv w:val="1"/>
      <w:marLeft w:val="0"/>
      <w:marRight w:val="0"/>
      <w:marTop w:val="0"/>
      <w:marBottom w:val="0"/>
      <w:divBdr>
        <w:top w:val="none" w:sz="0" w:space="0" w:color="auto"/>
        <w:left w:val="none" w:sz="0" w:space="0" w:color="auto"/>
        <w:bottom w:val="none" w:sz="0" w:space="0" w:color="auto"/>
        <w:right w:val="none" w:sz="0" w:space="0" w:color="auto"/>
      </w:divBdr>
    </w:div>
    <w:div w:id="295917493">
      <w:bodyDiv w:val="1"/>
      <w:marLeft w:val="0"/>
      <w:marRight w:val="0"/>
      <w:marTop w:val="0"/>
      <w:marBottom w:val="0"/>
      <w:divBdr>
        <w:top w:val="none" w:sz="0" w:space="0" w:color="auto"/>
        <w:left w:val="none" w:sz="0" w:space="0" w:color="auto"/>
        <w:bottom w:val="none" w:sz="0" w:space="0" w:color="auto"/>
        <w:right w:val="none" w:sz="0" w:space="0" w:color="auto"/>
      </w:divBdr>
    </w:div>
    <w:div w:id="300691086">
      <w:bodyDiv w:val="1"/>
      <w:marLeft w:val="0"/>
      <w:marRight w:val="0"/>
      <w:marTop w:val="0"/>
      <w:marBottom w:val="0"/>
      <w:divBdr>
        <w:top w:val="none" w:sz="0" w:space="0" w:color="auto"/>
        <w:left w:val="none" w:sz="0" w:space="0" w:color="auto"/>
        <w:bottom w:val="none" w:sz="0" w:space="0" w:color="auto"/>
        <w:right w:val="none" w:sz="0" w:space="0" w:color="auto"/>
      </w:divBdr>
    </w:div>
    <w:div w:id="303705029">
      <w:bodyDiv w:val="1"/>
      <w:marLeft w:val="0"/>
      <w:marRight w:val="0"/>
      <w:marTop w:val="0"/>
      <w:marBottom w:val="0"/>
      <w:divBdr>
        <w:top w:val="none" w:sz="0" w:space="0" w:color="auto"/>
        <w:left w:val="none" w:sz="0" w:space="0" w:color="auto"/>
        <w:bottom w:val="none" w:sz="0" w:space="0" w:color="auto"/>
        <w:right w:val="none" w:sz="0" w:space="0" w:color="auto"/>
      </w:divBdr>
    </w:div>
    <w:div w:id="305164660">
      <w:bodyDiv w:val="1"/>
      <w:marLeft w:val="0"/>
      <w:marRight w:val="0"/>
      <w:marTop w:val="0"/>
      <w:marBottom w:val="0"/>
      <w:divBdr>
        <w:top w:val="none" w:sz="0" w:space="0" w:color="auto"/>
        <w:left w:val="none" w:sz="0" w:space="0" w:color="auto"/>
        <w:bottom w:val="none" w:sz="0" w:space="0" w:color="auto"/>
        <w:right w:val="none" w:sz="0" w:space="0" w:color="auto"/>
      </w:divBdr>
    </w:div>
    <w:div w:id="307440061">
      <w:bodyDiv w:val="1"/>
      <w:marLeft w:val="0"/>
      <w:marRight w:val="0"/>
      <w:marTop w:val="0"/>
      <w:marBottom w:val="0"/>
      <w:divBdr>
        <w:top w:val="none" w:sz="0" w:space="0" w:color="auto"/>
        <w:left w:val="none" w:sz="0" w:space="0" w:color="auto"/>
        <w:bottom w:val="none" w:sz="0" w:space="0" w:color="auto"/>
        <w:right w:val="none" w:sz="0" w:space="0" w:color="auto"/>
      </w:divBdr>
    </w:div>
    <w:div w:id="312373595">
      <w:bodyDiv w:val="1"/>
      <w:marLeft w:val="0"/>
      <w:marRight w:val="0"/>
      <w:marTop w:val="0"/>
      <w:marBottom w:val="0"/>
      <w:divBdr>
        <w:top w:val="none" w:sz="0" w:space="0" w:color="auto"/>
        <w:left w:val="none" w:sz="0" w:space="0" w:color="auto"/>
        <w:bottom w:val="none" w:sz="0" w:space="0" w:color="auto"/>
        <w:right w:val="none" w:sz="0" w:space="0" w:color="auto"/>
      </w:divBdr>
    </w:div>
    <w:div w:id="321470049">
      <w:bodyDiv w:val="1"/>
      <w:marLeft w:val="0"/>
      <w:marRight w:val="0"/>
      <w:marTop w:val="0"/>
      <w:marBottom w:val="0"/>
      <w:divBdr>
        <w:top w:val="none" w:sz="0" w:space="0" w:color="auto"/>
        <w:left w:val="none" w:sz="0" w:space="0" w:color="auto"/>
        <w:bottom w:val="none" w:sz="0" w:space="0" w:color="auto"/>
        <w:right w:val="none" w:sz="0" w:space="0" w:color="auto"/>
      </w:divBdr>
    </w:div>
    <w:div w:id="326179563">
      <w:bodyDiv w:val="1"/>
      <w:marLeft w:val="0"/>
      <w:marRight w:val="0"/>
      <w:marTop w:val="0"/>
      <w:marBottom w:val="0"/>
      <w:divBdr>
        <w:top w:val="none" w:sz="0" w:space="0" w:color="auto"/>
        <w:left w:val="none" w:sz="0" w:space="0" w:color="auto"/>
        <w:bottom w:val="none" w:sz="0" w:space="0" w:color="auto"/>
        <w:right w:val="none" w:sz="0" w:space="0" w:color="auto"/>
      </w:divBdr>
    </w:div>
    <w:div w:id="326715872">
      <w:bodyDiv w:val="1"/>
      <w:marLeft w:val="0"/>
      <w:marRight w:val="0"/>
      <w:marTop w:val="0"/>
      <w:marBottom w:val="0"/>
      <w:divBdr>
        <w:top w:val="none" w:sz="0" w:space="0" w:color="auto"/>
        <w:left w:val="none" w:sz="0" w:space="0" w:color="auto"/>
        <w:bottom w:val="none" w:sz="0" w:space="0" w:color="auto"/>
        <w:right w:val="none" w:sz="0" w:space="0" w:color="auto"/>
      </w:divBdr>
    </w:div>
    <w:div w:id="327753550">
      <w:bodyDiv w:val="1"/>
      <w:marLeft w:val="0"/>
      <w:marRight w:val="0"/>
      <w:marTop w:val="0"/>
      <w:marBottom w:val="0"/>
      <w:divBdr>
        <w:top w:val="none" w:sz="0" w:space="0" w:color="auto"/>
        <w:left w:val="none" w:sz="0" w:space="0" w:color="auto"/>
        <w:bottom w:val="none" w:sz="0" w:space="0" w:color="auto"/>
        <w:right w:val="none" w:sz="0" w:space="0" w:color="auto"/>
      </w:divBdr>
    </w:div>
    <w:div w:id="333072776">
      <w:bodyDiv w:val="1"/>
      <w:marLeft w:val="0"/>
      <w:marRight w:val="0"/>
      <w:marTop w:val="0"/>
      <w:marBottom w:val="0"/>
      <w:divBdr>
        <w:top w:val="none" w:sz="0" w:space="0" w:color="auto"/>
        <w:left w:val="none" w:sz="0" w:space="0" w:color="auto"/>
        <w:bottom w:val="none" w:sz="0" w:space="0" w:color="auto"/>
        <w:right w:val="none" w:sz="0" w:space="0" w:color="auto"/>
      </w:divBdr>
    </w:div>
    <w:div w:id="336227348">
      <w:bodyDiv w:val="1"/>
      <w:marLeft w:val="0"/>
      <w:marRight w:val="0"/>
      <w:marTop w:val="0"/>
      <w:marBottom w:val="0"/>
      <w:divBdr>
        <w:top w:val="none" w:sz="0" w:space="0" w:color="auto"/>
        <w:left w:val="none" w:sz="0" w:space="0" w:color="auto"/>
        <w:bottom w:val="none" w:sz="0" w:space="0" w:color="auto"/>
        <w:right w:val="none" w:sz="0" w:space="0" w:color="auto"/>
      </w:divBdr>
    </w:div>
    <w:div w:id="340740922">
      <w:bodyDiv w:val="1"/>
      <w:marLeft w:val="0"/>
      <w:marRight w:val="0"/>
      <w:marTop w:val="0"/>
      <w:marBottom w:val="0"/>
      <w:divBdr>
        <w:top w:val="none" w:sz="0" w:space="0" w:color="auto"/>
        <w:left w:val="none" w:sz="0" w:space="0" w:color="auto"/>
        <w:bottom w:val="none" w:sz="0" w:space="0" w:color="auto"/>
        <w:right w:val="none" w:sz="0" w:space="0" w:color="auto"/>
      </w:divBdr>
    </w:div>
    <w:div w:id="341393951">
      <w:bodyDiv w:val="1"/>
      <w:marLeft w:val="0"/>
      <w:marRight w:val="0"/>
      <w:marTop w:val="0"/>
      <w:marBottom w:val="0"/>
      <w:divBdr>
        <w:top w:val="none" w:sz="0" w:space="0" w:color="auto"/>
        <w:left w:val="none" w:sz="0" w:space="0" w:color="auto"/>
        <w:bottom w:val="none" w:sz="0" w:space="0" w:color="auto"/>
        <w:right w:val="none" w:sz="0" w:space="0" w:color="auto"/>
      </w:divBdr>
    </w:div>
    <w:div w:id="349993985">
      <w:bodyDiv w:val="1"/>
      <w:marLeft w:val="0"/>
      <w:marRight w:val="0"/>
      <w:marTop w:val="0"/>
      <w:marBottom w:val="0"/>
      <w:divBdr>
        <w:top w:val="none" w:sz="0" w:space="0" w:color="auto"/>
        <w:left w:val="none" w:sz="0" w:space="0" w:color="auto"/>
        <w:bottom w:val="none" w:sz="0" w:space="0" w:color="auto"/>
        <w:right w:val="none" w:sz="0" w:space="0" w:color="auto"/>
      </w:divBdr>
    </w:div>
    <w:div w:id="351345227">
      <w:bodyDiv w:val="1"/>
      <w:marLeft w:val="0"/>
      <w:marRight w:val="0"/>
      <w:marTop w:val="0"/>
      <w:marBottom w:val="0"/>
      <w:divBdr>
        <w:top w:val="none" w:sz="0" w:space="0" w:color="auto"/>
        <w:left w:val="none" w:sz="0" w:space="0" w:color="auto"/>
        <w:bottom w:val="none" w:sz="0" w:space="0" w:color="auto"/>
        <w:right w:val="none" w:sz="0" w:space="0" w:color="auto"/>
      </w:divBdr>
    </w:div>
    <w:div w:id="360010782">
      <w:bodyDiv w:val="1"/>
      <w:marLeft w:val="0"/>
      <w:marRight w:val="0"/>
      <w:marTop w:val="0"/>
      <w:marBottom w:val="0"/>
      <w:divBdr>
        <w:top w:val="none" w:sz="0" w:space="0" w:color="auto"/>
        <w:left w:val="none" w:sz="0" w:space="0" w:color="auto"/>
        <w:bottom w:val="none" w:sz="0" w:space="0" w:color="auto"/>
        <w:right w:val="none" w:sz="0" w:space="0" w:color="auto"/>
      </w:divBdr>
    </w:div>
    <w:div w:id="362170835">
      <w:bodyDiv w:val="1"/>
      <w:marLeft w:val="0"/>
      <w:marRight w:val="0"/>
      <w:marTop w:val="0"/>
      <w:marBottom w:val="0"/>
      <w:divBdr>
        <w:top w:val="none" w:sz="0" w:space="0" w:color="auto"/>
        <w:left w:val="none" w:sz="0" w:space="0" w:color="auto"/>
        <w:bottom w:val="none" w:sz="0" w:space="0" w:color="auto"/>
        <w:right w:val="none" w:sz="0" w:space="0" w:color="auto"/>
      </w:divBdr>
    </w:div>
    <w:div w:id="362368344">
      <w:bodyDiv w:val="1"/>
      <w:marLeft w:val="0"/>
      <w:marRight w:val="0"/>
      <w:marTop w:val="0"/>
      <w:marBottom w:val="0"/>
      <w:divBdr>
        <w:top w:val="none" w:sz="0" w:space="0" w:color="auto"/>
        <w:left w:val="none" w:sz="0" w:space="0" w:color="auto"/>
        <w:bottom w:val="none" w:sz="0" w:space="0" w:color="auto"/>
        <w:right w:val="none" w:sz="0" w:space="0" w:color="auto"/>
      </w:divBdr>
    </w:div>
    <w:div w:id="362483521">
      <w:bodyDiv w:val="1"/>
      <w:marLeft w:val="0"/>
      <w:marRight w:val="0"/>
      <w:marTop w:val="0"/>
      <w:marBottom w:val="0"/>
      <w:divBdr>
        <w:top w:val="none" w:sz="0" w:space="0" w:color="auto"/>
        <w:left w:val="none" w:sz="0" w:space="0" w:color="auto"/>
        <w:bottom w:val="none" w:sz="0" w:space="0" w:color="auto"/>
        <w:right w:val="none" w:sz="0" w:space="0" w:color="auto"/>
      </w:divBdr>
    </w:div>
    <w:div w:id="371349437">
      <w:bodyDiv w:val="1"/>
      <w:marLeft w:val="0"/>
      <w:marRight w:val="0"/>
      <w:marTop w:val="0"/>
      <w:marBottom w:val="0"/>
      <w:divBdr>
        <w:top w:val="none" w:sz="0" w:space="0" w:color="auto"/>
        <w:left w:val="none" w:sz="0" w:space="0" w:color="auto"/>
        <w:bottom w:val="none" w:sz="0" w:space="0" w:color="auto"/>
        <w:right w:val="none" w:sz="0" w:space="0" w:color="auto"/>
      </w:divBdr>
    </w:div>
    <w:div w:id="375087230">
      <w:bodyDiv w:val="1"/>
      <w:marLeft w:val="0"/>
      <w:marRight w:val="0"/>
      <w:marTop w:val="0"/>
      <w:marBottom w:val="0"/>
      <w:divBdr>
        <w:top w:val="none" w:sz="0" w:space="0" w:color="auto"/>
        <w:left w:val="none" w:sz="0" w:space="0" w:color="auto"/>
        <w:bottom w:val="none" w:sz="0" w:space="0" w:color="auto"/>
        <w:right w:val="none" w:sz="0" w:space="0" w:color="auto"/>
      </w:divBdr>
    </w:div>
    <w:div w:id="376127814">
      <w:bodyDiv w:val="1"/>
      <w:marLeft w:val="0"/>
      <w:marRight w:val="0"/>
      <w:marTop w:val="0"/>
      <w:marBottom w:val="0"/>
      <w:divBdr>
        <w:top w:val="none" w:sz="0" w:space="0" w:color="auto"/>
        <w:left w:val="none" w:sz="0" w:space="0" w:color="auto"/>
        <w:bottom w:val="none" w:sz="0" w:space="0" w:color="auto"/>
        <w:right w:val="none" w:sz="0" w:space="0" w:color="auto"/>
      </w:divBdr>
    </w:div>
    <w:div w:id="386539003">
      <w:bodyDiv w:val="1"/>
      <w:marLeft w:val="0"/>
      <w:marRight w:val="0"/>
      <w:marTop w:val="0"/>
      <w:marBottom w:val="0"/>
      <w:divBdr>
        <w:top w:val="none" w:sz="0" w:space="0" w:color="auto"/>
        <w:left w:val="none" w:sz="0" w:space="0" w:color="auto"/>
        <w:bottom w:val="none" w:sz="0" w:space="0" w:color="auto"/>
        <w:right w:val="none" w:sz="0" w:space="0" w:color="auto"/>
      </w:divBdr>
    </w:div>
    <w:div w:id="397750804">
      <w:bodyDiv w:val="1"/>
      <w:marLeft w:val="0"/>
      <w:marRight w:val="0"/>
      <w:marTop w:val="0"/>
      <w:marBottom w:val="0"/>
      <w:divBdr>
        <w:top w:val="none" w:sz="0" w:space="0" w:color="auto"/>
        <w:left w:val="none" w:sz="0" w:space="0" w:color="auto"/>
        <w:bottom w:val="none" w:sz="0" w:space="0" w:color="auto"/>
        <w:right w:val="none" w:sz="0" w:space="0" w:color="auto"/>
      </w:divBdr>
    </w:div>
    <w:div w:id="397900024">
      <w:bodyDiv w:val="1"/>
      <w:marLeft w:val="0"/>
      <w:marRight w:val="0"/>
      <w:marTop w:val="0"/>
      <w:marBottom w:val="0"/>
      <w:divBdr>
        <w:top w:val="none" w:sz="0" w:space="0" w:color="auto"/>
        <w:left w:val="none" w:sz="0" w:space="0" w:color="auto"/>
        <w:bottom w:val="none" w:sz="0" w:space="0" w:color="auto"/>
        <w:right w:val="none" w:sz="0" w:space="0" w:color="auto"/>
      </w:divBdr>
    </w:div>
    <w:div w:id="402990215">
      <w:bodyDiv w:val="1"/>
      <w:marLeft w:val="0"/>
      <w:marRight w:val="0"/>
      <w:marTop w:val="0"/>
      <w:marBottom w:val="0"/>
      <w:divBdr>
        <w:top w:val="none" w:sz="0" w:space="0" w:color="auto"/>
        <w:left w:val="none" w:sz="0" w:space="0" w:color="auto"/>
        <w:bottom w:val="none" w:sz="0" w:space="0" w:color="auto"/>
        <w:right w:val="none" w:sz="0" w:space="0" w:color="auto"/>
      </w:divBdr>
    </w:div>
    <w:div w:id="403256398">
      <w:bodyDiv w:val="1"/>
      <w:marLeft w:val="0"/>
      <w:marRight w:val="0"/>
      <w:marTop w:val="0"/>
      <w:marBottom w:val="0"/>
      <w:divBdr>
        <w:top w:val="none" w:sz="0" w:space="0" w:color="auto"/>
        <w:left w:val="none" w:sz="0" w:space="0" w:color="auto"/>
        <w:bottom w:val="none" w:sz="0" w:space="0" w:color="auto"/>
        <w:right w:val="none" w:sz="0" w:space="0" w:color="auto"/>
      </w:divBdr>
    </w:div>
    <w:div w:id="403651333">
      <w:bodyDiv w:val="1"/>
      <w:marLeft w:val="0"/>
      <w:marRight w:val="0"/>
      <w:marTop w:val="0"/>
      <w:marBottom w:val="0"/>
      <w:divBdr>
        <w:top w:val="none" w:sz="0" w:space="0" w:color="auto"/>
        <w:left w:val="none" w:sz="0" w:space="0" w:color="auto"/>
        <w:bottom w:val="none" w:sz="0" w:space="0" w:color="auto"/>
        <w:right w:val="none" w:sz="0" w:space="0" w:color="auto"/>
      </w:divBdr>
    </w:div>
    <w:div w:id="419328851">
      <w:bodyDiv w:val="1"/>
      <w:marLeft w:val="0"/>
      <w:marRight w:val="0"/>
      <w:marTop w:val="0"/>
      <w:marBottom w:val="0"/>
      <w:divBdr>
        <w:top w:val="none" w:sz="0" w:space="0" w:color="auto"/>
        <w:left w:val="none" w:sz="0" w:space="0" w:color="auto"/>
        <w:bottom w:val="none" w:sz="0" w:space="0" w:color="auto"/>
        <w:right w:val="none" w:sz="0" w:space="0" w:color="auto"/>
      </w:divBdr>
    </w:div>
    <w:div w:id="419720912">
      <w:bodyDiv w:val="1"/>
      <w:marLeft w:val="0"/>
      <w:marRight w:val="0"/>
      <w:marTop w:val="0"/>
      <w:marBottom w:val="0"/>
      <w:divBdr>
        <w:top w:val="none" w:sz="0" w:space="0" w:color="auto"/>
        <w:left w:val="none" w:sz="0" w:space="0" w:color="auto"/>
        <w:bottom w:val="none" w:sz="0" w:space="0" w:color="auto"/>
        <w:right w:val="none" w:sz="0" w:space="0" w:color="auto"/>
      </w:divBdr>
    </w:div>
    <w:div w:id="421027542">
      <w:bodyDiv w:val="1"/>
      <w:marLeft w:val="0"/>
      <w:marRight w:val="0"/>
      <w:marTop w:val="0"/>
      <w:marBottom w:val="0"/>
      <w:divBdr>
        <w:top w:val="none" w:sz="0" w:space="0" w:color="auto"/>
        <w:left w:val="none" w:sz="0" w:space="0" w:color="auto"/>
        <w:bottom w:val="none" w:sz="0" w:space="0" w:color="auto"/>
        <w:right w:val="none" w:sz="0" w:space="0" w:color="auto"/>
      </w:divBdr>
    </w:div>
    <w:div w:id="431820397">
      <w:bodyDiv w:val="1"/>
      <w:marLeft w:val="0"/>
      <w:marRight w:val="0"/>
      <w:marTop w:val="0"/>
      <w:marBottom w:val="0"/>
      <w:divBdr>
        <w:top w:val="none" w:sz="0" w:space="0" w:color="auto"/>
        <w:left w:val="none" w:sz="0" w:space="0" w:color="auto"/>
        <w:bottom w:val="none" w:sz="0" w:space="0" w:color="auto"/>
        <w:right w:val="none" w:sz="0" w:space="0" w:color="auto"/>
      </w:divBdr>
    </w:div>
    <w:div w:id="432476614">
      <w:bodyDiv w:val="1"/>
      <w:marLeft w:val="0"/>
      <w:marRight w:val="0"/>
      <w:marTop w:val="0"/>
      <w:marBottom w:val="0"/>
      <w:divBdr>
        <w:top w:val="none" w:sz="0" w:space="0" w:color="auto"/>
        <w:left w:val="none" w:sz="0" w:space="0" w:color="auto"/>
        <w:bottom w:val="none" w:sz="0" w:space="0" w:color="auto"/>
        <w:right w:val="none" w:sz="0" w:space="0" w:color="auto"/>
      </w:divBdr>
    </w:div>
    <w:div w:id="433986843">
      <w:bodyDiv w:val="1"/>
      <w:marLeft w:val="0"/>
      <w:marRight w:val="0"/>
      <w:marTop w:val="0"/>
      <w:marBottom w:val="0"/>
      <w:divBdr>
        <w:top w:val="none" w:sz="0" w:space="0" w:color="auto"/>
        <w:left w:val="none" w:sz="0" w:space="0" w:color="auto"/>
        <w:bottom w:val="none" w:sz="0" w:space="0" w:color="auto"/>
        <w:right w:val="none" w:sz="0" w:space="0" w:color="auto"/>
      </w:divBdr>
    </w:div>
    <w:div w:id="434713173">
      <w:bodyDiv w:val="1"/>
      <w:marLeft w:val="0"/>
      <w:marRight w:val="0"/>
      <w:marTop w:val="0"/>
      <w:marBottom w:val="0"/>
      <w:divBdr>
        <w:top w:val="none" w:sz="0" w:space="0" w:color="auto"/>
        <w:left w:val="none" w:sz="0" w:space="0" w:color="auto"/>
        <w:bottom w:val="none" w:sz="0" w:space="0" w:color="auto"/>
        <w:right w:val="none" w:sz="0" w:space="0" w:color="auto"/>
      </w:divBdr>
    </w:div>
    <w:div w:id="436147315">
      <w:bodyDiv w:val="1"/>
      <w:marLeft w:val="0"/>
      <w:marRight w:val="0"/>
      <w:marTop w:val="0"/>
      <w:marBottom w:val="0"/>
      <w:divBdr>
        <w:top w:val="none" w:sz="0" w:space="0" w:color="auto"/>
        <w:left w:val="none" w:sz="0" w:space="0" w:color="auto"/>
        <w:bottom w:val="none" w:sz="0" w:space="0" w:color="auto"/>
        <w:right w:val="none" w:sz="0" w:space="0" w:color="auto"/>
      </w:divBdr>
    </w:div>
    <w:div w:id="439419068">
      <w:bodyDiv w:val="1"/>
      <w:marLeft w:val="0"/>
      <w:marRight w:val="0"/>
      <w:marTop w:val="0"/>
      <w:marBottom w:val="0"/>
      <w:divBdr>
        <w:top w:val="none" w:sz="0" w:space="0" w:color="auto"/>
        <w:left w:val="none" w:sz="0" w:space="0" w:color="auto"/>
        <w:bottom w:val="none" w:sz="0" w:space="0" w:color="auto"/>
        <w:right w:val="none" w:sz="0" w:space="0" w:color="auto"/>
      </w:divBdr>
      <w:divsChild>
        <w:div w:id="1255481643">
          <w:marLeft w:val="274"/>
          <w:marRight w:val="0"/>
          <w:marTop w:val="0"/>
          <w:marBottom w:val="0"/>
          <w:divBdr>
            <w:top w:val="none" w:sz="0" w:space="0" w:color="auto"/>
            <w:left w:val="none" w:sz="0" w:space="0" w:color="auto"/>
            <w:bottom w:val="none" w:sz="0" w:space="0" w:color="auto"/>
            <w:right w:val="none" w:sz="0" w:space="0" w:color="auto"/>
          </w:divBdr>
        </w:div>
        <w:div w:id="705059609">
          <w:marLeft w:val="274"/>
          <w:marRight w:val="0"/>
          <w:marTop w:val="0"/>
          <w:marBottom w:val="0"/>
          <w:divBdr>
            <w:top w:val="none" w:sz="0" w:space="0" w:color="auto"/>
            <w:left w:val="none" w:sz="0" w:space="0" w:color="auto"/>
            <w:bottom w:val="none" w:sz="0" w:space="0" w:color="auto"/>
            <w:right w:val="none" w:sz="0" w:space="0" w:color="auto"/>
          </w:divBdr>
        </w:div>
        <w:div w:id="1484277951">
          <w:marLeft w:val="274"/>
          <w:marRight w:val="0"/>
          <w:marTop w:val="0"/>
          <w:marBottom w:val="0"/>
          <w:divBdr>
            <w:top w:val="none" w:sz="0" w:space="0" w:color="auto"/>
            <w:left w:val="none" w:sz="0" w:space="0" w:color="auto"/>
            <w:bottom w:val="none" w:sz="0" w:space="0" w:color="auto"/>
            <w:right w:val="none" w:sz="0" w:space="0" w:color="auto"/>
          </w:divBdr>
        </w:div>
        <w:div w:id="3631159">
          <w:marLeft w:val="274"/>
          <w:marRight w:val="0"/>
          <w:marTop w:val="0"/>
          <w:marBottom w:val="0"/>
          <w:divBdr>
            <w:top w:val="none" w:sz="0" w:space="0" w:color="auto"/>
            <w:left w:val="none" w:sz="0" w:space="0" w:color="auto"/>
            <w:bottom w:val="none" w:sz="0" w:space="0" w:color="auto"/>
            <w:right w:val="none" w:sz="0" w:space="0" w:color="auto"/>
          </w:divBdr>
        </w:div>
      </w:divsChild>
    </w:div>
    <w:div w:id="451748284">
      <w:bodyDiv w:val="1"/>
      <w:marLeft w:val="0"/>
      <w:marRight w:val="0"/>
      <w:marTop w:val="0"/>
      <w:marBottom w:val="0"/>
      <w:divBdr>
        <w:top w:val="none" w:sz="0" w:space="0" w:color="auto"/>
        <w:left w:val="none" w:sz="0" w:space="0" w:color="auto"/>
        <w:bottom w:val="none" w:sz="0" w:space="0" w:color="auto"/>
        <w:right w:val="none" w:sz="0" w:space="0" w:color="auto"/>
      </w:divBdr>
    </w:div>
    <w:div w:id="453522383">
      <w:bodyDiv w:val="1"/>
      <w:marLeft w:val="0"/>
      <w:marRight w:val="0"/>
      <w:marTop w:val="0"/>
      <w:marBottom w:val="0"/>
      <w:divBdr>
        <w:top w:val="none" w:sz="0" w:space="0" w:color="auto"/>
        <w:left w:val="none" w:sz="0" w:space="0" w:color="auto"/>
        <w:bottom w:val="none" w:sz="0" w:space="0" w:color="auto"/>
        <w:right w:val="none" w:sz="0" w:space="0" w:color="auto"/>
      </w:divBdr>
    </w:div>
    <w:div w:id="467627472">
      <w:bodyDiv w:val="1"/>
      <w:marLeft w:val="0"/>
      <w:marRight w:val="0"/>
      <w:marTop w:val="0"/>
      <w:marBottom w:val="0"/>
      <w:divBdr>
        <w:top w:val="none" w:sz="0" w:space="0" w:color="auto"/>
        <w:left w:val="none" w:sz="0" w:space="0" w:color="auto"/>
        <w:bottom w:val="none" w:sz="0" w:space="0" w:color="auto"/>
        <w:right w:val="none" w:sz="0" w:space="0" w:color="auto"/>
      </w:divBdr>
    </w:div>
    <w:div w:id="476148749">
      <w:bodyDiv w:val="1"/>
      <w:marLeft w:val="0"/>
      <w:marRight w:val="0"/>
      <w:marTop w:val="0"/>
      <w:marBottom w:val="0"/>
      <w:divBdr>
        <w:top w:val="none" w:sz="0" w:space="0" w:color="auto"/>
        <w:left w:val="none" w:sz="0" w:space="0" w:color="auto"/>
        <w:bottom w:val="none" w:sz="0" w:space="0" w:color="auto"/>
        <w:right w:val="none" w:sz="0" w:space="0" w:color="auto"/>
      </w:divBdr>
    </w:div>
    <w:div w:id="482966522">
      <w:bodyDiv w:val="1"/>
      <w:marLeft w:val="0"/>
      <w:marRight w:val="0"/>
      <w:marTop w:val="0"/>
      <w:marBottom w:val="0"/>
      <w:divBdr>
        <w:top w:val="none" w:sz="0" w:space="0" w:color="auto"/>
        <w:left w:val="none" w:sz="0" w:space="0" w:color="auto"/>
        <w:bottom w:val="none" w:sz="0" w:space="0" w:color="auto"/>
        <w:right w:val="none" w:sz="0" w:space="0" w:color="auto"/>
      </w:divBdr>
    </w:div>
    <w:div w:id="488446276">
      <w:bodyDiv w:val="1"/>
      <w:marLeft w:val="0"/>
      <w:marRight w:val="0"/>
      <w:marTop w:val="0"/>
      <w:marBottom w:val="0"/>
      <w:divBdr>
        <w:top w:val="none" w:sz="0" w:space="0" w:color="auto"/>
        <w:left w:val="none" w:sz="0" w:space="0" w:color="auto"/>
        <w:bottom w:val="none" w:sz="0" w:space="0" w:color="auto"/>
        <w:right w:val="none" w:sz="0" w:space="0" w:color="auto"/>
      </w:divBdr>
    </w:div>
    <w:div w:id="492794683">
      <w:bodyDiv w:val="1"/>
      <w:marLeft w:val="0"/>
      <w:marRight w:val="0"/>
      <w:marTop w:val="0"/>
      <w:marBottom w:val="0"/>
      <w:divBdr>
        <w:top w:val="none" w:sz="0" w:space="0" w:color="auto"/>
        <w:left w:val="none" w:sz="0" w:space="0" w:color="auto"/>
        <w:bottom w:val="none" w:sz="0" w:space="0" w:color="auto"/>
        <w:right w:val="none" w:sz="0" w:space="0" w:color="auto"/>
      </w:divBdr>
    </w:div>
    <w:div w:id="493961643">
      <w:bodyDiv w:val="1"/>
      <w:marLeft w:val="0"/>
      <w:marRight w:val="0"/>
      <w:marTop w:val="0"/>
      <w:marBottom w:val="0"/>
      <w:divBdr>
        <w:top w:val="none" w:sz="0" w:space="0" w:color="auto"/>
        <w:left w:val="none" w:sz="0" w:space="0" w:color="auto"/>
        <w:bottom w:val="none" w:sz="0" w:space="0" w:color="auto"/>
        <w:right w:val="none" w:sz="0" w:space="0" w:color="auto"/>
      </w:divBdr>
    </w:div>
    <w:div w:id="499974576">
      <w:bodyDiv w:val="1"/>
      <w:marLeft w:val="0"/>
      <w:marRight w:val="0"/>
      <w:marTop w:val="0"/>
      <w:marBottom w:val="0"/>
      <w:divBdr>
        <w:top w:val="none" w:sz="0" w:space="0" w:color="auto"/>
        <w:left w:val="none" w:sz="0" w:space="0" w:color="auto"/>
        <w:bottom w:val="none" w:sz="0" w:space="0" w:color="auto"/>
        <w:right w:val="none" w:sz="0" w:space="0" w:color="auto"/>
      </w:divBdr>
    </w:div>
    <w:div w:id="500583634">
      <w:bodyDiv w:val="1"/>
      <w:marLeft w:val="0"/>
      <w:marRight w:val="0"/>
      <w:marTop w:val="0"/>
      <w:marBottom w:val="0"/>
      <w:divBdr>
        <w:top w:val="none" w:sz="0" w:space="0" w:color="auto"/>
        <w:left w:val="none" w:sz="0" w:space="0" w:color="auto"/>
        <w:bottom w:val="none" w:sz="0" w:space="0" w:color="auto"/>
        <w:right w:val="none" w:sz="0" w:space="0" w:color="auto"/>
      </w:divBdr>
    </w:div>
    <w:div w:id="505370027">
      <w:bodyDiv w:val="1"/>
      <w:marLeft w:val="0"/>
      <w:marRight w:val="0"/>
      <w:marTop w:val="0"/>
      <w:marBottom w:val="0"/>
      <w:divBdr>
        <w:top w:val="none" w:sz="0" w:space="0" w:color="auto"/>
        <w:left w:val="none" w:sz="0" w:space="0" w:color="auto"/>
        <w:bottom w:val="none" w:sz="0" w:space="0" w:color="auto"/>
        <w:right w:val="none" w:sz="0" w:space="0" w:color="auto"/>
      </w:divBdr>
    </w:div>
    <w:div w:id="507259751">
      <w:bodyDiv w:val="1"/>
      <w:marLeft w:val="0"/>
      <w:marRight w:val="0"/>
      <w:marTop w:val="0"/>
      <w:marBottom w:val="0"/>
      <w:divBdr>
        <w:top w:val="none" w:sz="0" w:space="0" w:color="auto"/>
        <w:left w:val="none" w:sz="0" w:space="0" w:color="auto"/>
        <w:bottom w:val="none" w:sz="0" w:space="0" w:color="auto"/>
        <w:right w:val="none" w:sz="0" w:space="0" w:color="auto"/>
      </w:divBdr>
    </w:div>
    <w:div w:id="508327078">
      <w:bodyDiv w:val="1"/>
      <w:marLeft w:val="0"/>
      <w:marRight w:val="0"/>
      <w:marTop w:val="0"/>
      <w:marBottom w:val="0"/>
      <w:divBdr>
        <w:top w:val="none" w:sz="0" w:space="0" w:color="auto"/>
        <w:left w:val="none" w:sz="0" w:space="0" w:color="auto"/>
        <w:bottom w:val="none" w:sz="0" w:space="0" w:color="auto"/>
        <w:right w:val="none" w:sz="0" w:space="0" w:color="auto"/>
      </w:divBdr>
    </w:div>
    <w:div w:id="509102042">
      <w:bodyDiv w:val="1"/>
      <w:marLeft w:val="0"/>
      <w:marRight w:val="0"/>
      <w:marTop w:val="0"/>
      <w:marBottom w:val="0"/>
      <w:divBdr>
        <w:top w:val="none" w:sz="0" w:space="0" w:color="auto"/>
        <w:left w:val="none" w:sz="0" w:space="0" w:color="auto"/>
        <w:bottom w:val="none" w:sz="0" w:space="0" w:color="auto"/>
        <w:right w:val="none" w:sz="0" w:space="0" w:color="auto"/>
      </w:divBdr>
    </w:div>
    <w:div w:id="516623812">
      <w:bodyDiv w:val="1"/>
      <w:marLeft w:val="0"/>
      <w:marRight w:val="0"/>
      <w:marTop w:val="0"/>
      <w:marBottom w:val="0"/>
      <w:divBdr>
        <w:top w:val="none" w:sz="0" w:space="0" w:color="auto"/>
        <w:left w:val="none" w:sz="0" w:space="0" w:color="auto"/>
        <w:bottom w:val="none" w:sz="0" w:space="0" w:color="auto"/>
        <w:right w:val="none" w:sz="0" w:space="0" w:color="auto"/>
      </w:divBdr>
    </w:div>
    <w:div w:id="516844531">
      <w:bodyDiv w:val="1"/>
      <w:marLeft w:val="0"/>
      <w:marRight w:val="0"/>
      <w:marTop w:val="0"/>
      <w:marBottom w:val="0"/>
      <w:divBdr>
        <w:top w:val="none" w:sz="0" w:space="0" w:color="auto"/>
        <w:left w:val="none" w:sz="0" w:space="0" w:color="auto"/>
        <w:bottom w:val="none" w:sz="0" w:space="0" w:color="auto"/>
        <w:right w:val="none" w:sz="0" w:space="0" w:color="auto"/>
      </w:divBdr>
    </w:div>
    <w:div w:id="517617183">
      <w:bodyDiv w:val="1"/>
      <w:marLeft w:val="0"/>
      <w:marRight w:val="0"/>
      <w:marTop w:val="0"/>
      <w:marBottom w:val="0"/>
      <w:divBdr>
        <w:top w:val="none" w:sz="0" w:space="0" w:color="auto"/>
        <w:left w:val="none" w:sz="0" w:space="0" w:color="auto"/>
        <w:bottom w:val="none" w:sz="0" w:space="0" w:color="auto"/>
        <w:right w:val="none" w:sz="0" w:space="0" w:color="auto"/>
      </w:divBdr>
    </w:div>
    <w:div w:id="518275762">
      <w:bodyDiv w:val="1"/>
      <w:marLeft w:val="0"/>
      <w:marRight w:val="0"/>
      <w:marTop w:val="0"/>
      <w:marBottom w:val="0"/>
      <w:divBdr>
        <w:top w:val="none" w:sz="0" w:space="0" w:color="auto"/>
        <w:left w:val="none" w:sz="0" w:space="0" w:color="auto"/>
        <w:bottom w:val="none" w:sz="0" w:space="0" w:color="auto"/>
        <w:right w:val="none" w:sz="0" w:space="0" w:color="auto"/>
      </w:divBdr>
    </w:div>
    <w:div w:id="523251053">
      <w:bodyDiv w:val="1"/>
      <w:marLeft w:val="0"/>
      <w:marRight w:val="0"/>
      <w:marTop w:val="0"/>
      <w:marBottom w:val="0"/>
      <w:divBdr>
        <w:top w:val="none" w:sz="0" w:space="0" w:color="auto"/>
        <w:left w:val="none" w:sz="0" w:space="0" w:color="auto"/>
        <w:bottom w:val="none" w:sz="0" w:space="0" w:color="auto"/>
        <w:right w:val="none" w:sz="0" w:space="0" w:color="auto"/>
      </w:divBdr>
    </w:div>
    <w:div w:id="534586111">
      <w:bodyDiv w:val="1"/>
      <w:marLeft w:val="0"/>
      <w:marRight w:val="0"/>
      <w:marTop w:val="0"/>
      <w:marBottom w:val="0"/>
      <w:divBdr>
        <w:top w:val="none" w:sz="0" w:space="0" w:color="auto"/>
        <w:left w:val="none" w:sz="0" w:space="0" w:color="auto"/>
        <w:bottom w:val="none" w:sz="0" w:space="0" w:color="auto"/>
        <w:right w:val="none" w:sz="0" w:space="0" w:color="auto"/>
      </w:divBdr>
    </w:div>
    <w:div w:id="540365575">
      <w:bodyDiv w:val="1"/>
      <w:marLeft w:val="0"/>
      <w:marRight w:val="0"/>
      <w:marTop w:val="0"/>
      <w:marBottom w:val="0"/>
      <w:divBdr>
        <w:top w:val="none" w:sz="0" w:space="0" w:color="auto"/>
        <w:left w:val="none" w:sz="0" w:space="0" w:color="auto"/>
        <w:bottom w:val="none" w:sz="0" w:space="0" w:color="auto"/>
        <w:right w:val="none" w:sz="0" w:space="0" w:color="auto"/>
      </w:divBdr>
    </w:div>
    <w:div w:id="544022718">
      <w:bodyDiv w:val="1"/>
      <w:marLeft w:val="0"/>
      <w:marRight w:val="0"/>
      <w:marTop w:val="0"/>
      <w:marBottom w:val="0"/>
      <w:divBdr>
        <w:top w:val="none" w:sz="0" w:space="0" w:color="auto"/>
        <w:left w:val="none" w:sz="0" w:space="0" w:color="auto"/>
        <w:bottom w:val="none" w:sz="0" w:space="0" w:color="auto"/>
        <w:right w:val="none" w:sz="0" w:space="0" w:color="auto"/>
      </w:divBdr>
    </w:div>
    <w:div w:id="551694319">
      <w:bodyDiv w:val="1"/>
      <w:marLeft w:val="0"/>
      <w:marRight w:val="0"/>
      <w:marTop w:val="0"/>
      <w:marBottom w:val="0"/>
      <w:divBdr>
        <w:top w:val="none" w:sz="0" w:space="0" w:color="auto"/>
        <w:left w:val="none" w:sz="0" w:space="0" w:color="auto"/>
        <w:bottom w:val="none" w:sz="0" w:space="0" w:color="auto"/>
        <w:right w:val="none" w:sz="0" w:space="0" w:color="auto"/>
      </w:divBdr>
    </w:div>
    <w:div w:id="557203216">
      <w:bodyDiv w:val="1"/>
      <w:marLeft w:val="0"/>
      <w:marRight w:val="0"/>
      <w:marTop w:val="0"/>
      <w:marBottom w:val="0"/>
      <w:divBdr>
        <w:top w:val="none" w:sz="0" w:space="0" w:color="auto"/>
        <w:left w:val="none" w:sz="0" w:space="0" w:color="auto"/>
        <w:bottom w:val="none" w:sz="0" w:space="0" w:color="auto"/>
        <w:right w:val="none" w:sz="0" w:space="0" w:color="auto"/>
      </w:divBdr>
    </w:div>
    <w:div w:id="557933437">
      <w:bodyDiv w:val="1"/>
      <w:marLeft w:val="0"/>
      <w:marRight w:val="0"/>
      <w:marTop w:val="0"/>
      <w:marBottom w:val="0"/>
      <w:divBdr>
        <w:top w:val="none" w:sz="0" w:space="0" w:color="auto"/>
        <w:left w:val="none" w:sz="0" w:space="0" w:color="auto"/>
        <w:bottom w:val="none" w:sz="0" w:space="0" w:color="auto"/>
        <w:right w:val="none" w:sz="0" w:space="0" w:color="auto"/>
      </w:divBdr>
    </w:div>
    <w:div w:id="559826894">
      <w:bodyDiv w:val="1"/>
      <w:marLeft w:val="0"/>
      <w:marRight w:val="0"/>
      <w:marTop w:val="0"/>
      <w:marBottom w:val="0"/>
      <w:divBdr>
        <w:top w:val="none" w:sz="0" w:space="0" w:color="auto"/>
        <w:left w:val="none" w:sz="0" w:space="0" w:color="auto"/>
        <w:bottom w:val="none" w:sz="0" w:space="0" w:color="auto"/>
        <w:right w:val="none" w:sz="0" w:space="0" w:color="auto"/>
      </w:divBdr>
    </w:div>
    <w:div w:id="570041947">
      <w:bodyDiv w:val="1"/>
      <w:marLeft w:val="0"/>
      <w:marRight w:val="0"/>
      <w:marTop w:val="0"/>
      <w:marBottom w:val="0"/>
      <w:divBdr>
        <w:top w:val="none" w:sz="0" w:space="0" w:color="auto"/>
        <w:left w:val="none" w:sz="0" w:space="0" w:color="auto"/>
        <w:bottom w:val="none" w:sz="0" w:space="0" w:color="auto"/>
        <w:right w:val="none" w:sz="0" w:space="0" w:color="auto"/>
      </w:divBdr>
    </w:div>
    <w:div w:id="594365601">
      <w:bodyDiv w:val="1"/>
      <w:marLeft w:val="0"/>
      <w:marRight w:val="0"/>
      <w:marTop w:val="0"/>
      <w:marBottom w:val="0"/>
      <w:divBdr>
        <w:top w:val="none" w:sz="0" w:space="0" w:color="auto"/>
        <w:left w:val="none" w:sz="0" w:space="0" w:color="auto"/>
        <w:bottom w:val="none" w:sz="0" w:space="0" w:color="auto"/>
        <w:right w:val="none" w:sz="0" w:space="0" w:color="auto"/>
      </w:divBdr>
    </w:div>
    <w:div w:id="603345603">
      <w:bodyDiv w:val="1"/>
      <w:marLeft w:val="0"/>
      <w:marRight w:val="0"/>
      <w:marTop w:val="0"/>
      <w:marBottom w:val="0"/>
      <w:divBdr>
        <w:top w:val="none" w:sz="0" w:space="0" w:color="auto"/>
        <w:left w:val="none" w:sz="0" w:space="0" w:color="auto"/>
        <w:bottom w:val="none" w:sz="0" w:space="0" w:color="auto"/>
        <w:right w:val="none" w:sz="0" w:space="0" w:color="auto"/>
      </w:divBdr>
    </w:div>
    <w:div w:id="604847512">
      <w:bodyDiv w:val="1"/>
      <w:marLeft w:val="0"/>
      <w:marRight w:val="0"/>
      <w:marTop w:val="0"/>
      <w:marBottom w:val="0"/>
      <w:divBdr>
        <w:top w:val="none" w:sz="0" w:space="0" w:color="auto"/>
        <w:left w:val="none" w:sz="0" w:space="0" w:color="auto"/>
        <w:bottom w:val="none" w:sz="0" w:space="0" w:color="auto"/>
        <w:right w:val="none" w:sz="0" w:space="0" w:color="auto"/>
      </w:divBdr>
    </w:div>
    <w:div w:id="608971144">
      <w:bodyDiv w:val="1"/>
      <w:marLeft w:val="0"/>
      <w:marRight w:val="0"/>
      <w:marTop w:val="0"/>
      <w:marBottom w:val="0"/>
      <w:divBdr>
        <w:top w:val="none" w:sz="0" w:space="0" w:color="auto"/>
        <w:left w:val="none" w:sz="0" w:space="0" w:color="auto"/>
        <w:bottom w:val="none" w:sz="0" w:space="0" w:color="auto"/>
        <w:right w:val="none" w:sz="0" w:space="0" w:color="auto"/>
      </w:divBdr>
    </w:div>
    <w:div w:id="611860493">
      <w:bodyDiv w:val="1"/>
      <w:marLeft w:val="0"/>
      <w:marRight w:val="0"/>
      <w:marTop w:val="0"/>
      <w:marBottom w:val="0"/>
      <w:divBdr>
        <w:top w:val="none" w:sz="0" w:space="0" w:color="auto"/>
        <w:left w:val="none" w:sz="0" w:space="0" w:color="auto"/>
        <w:bottom w:val="none" w:sz="0" w:space="0" w:color="auto"/>
        <w:right w:val="none" w:sz="0" w:space="0" w:color="auto"/>
      </w:divBdr>
    </w:div>
    <w:div w:id="615916709">
      <w:bodyDiv w:val="1"/>
      <w:marLeft w:val="0"/>
      <w:marRight w:val="0"/>
      <w:marTop w:val="0"/>
      <w:marBottom w:val="0"/>
      <w:divBdr>
        <w:top w:val="none" w:sz="0" w:space="0" w:color="auto"/>
        <w:left w:val="none" w:sz="0" w:space="0" w:color="auto"/>
        <w:bottom w:val="none" w:sz="0" w:space="0" w:color="auto"/>
        <w:right w:val="none" w:sz="0" w:space="0" w:color="auto"/>
      </w:divBdr>
    </w:div>
    <w:div w:id="626742390">
      <w:bodyDiv w:val="1"/>
      <w:marLeft w:val="0"/>
      <w:marRight w:val="0"/>
      <w:marTop w:val="0"/>
      <w:marBottom w:val="0"/>
      <w:divBdr>
        <w:top w:val="none" w:sz="0" w:space="0" w:color="auto"/>
        <w:left w:val="none" w:sz="0" w:space="0" w:color="auto"/>
        <w:bottom w:val="none" w:sz="0" w:space="0" w:color="auto"/>
        <w:right w:val="none" w:sz="0" w:space="0" w:color="auto"/>
      </w:divBdr>
    </w:div>
    <w:div w:id="640574289">
      <w:bodyDiv w:val="1"/>
      <w:marLeft w:val="0"/>
      <w:marRight w:val="0"/>
      <w:marTop w:val="0"/>
      <w:marBottom w:val="0"/>
      <w:divBdr>
        <w:top w:val="none" w:sz="0" w:space="0" w:color="auto"/>
        <w:left w:val="none" w:sz="0" w:space="0" w:color="auto"/>
        <w:bottom w:val="none" w:sz="0" w:space="0" w:color="auto"/>
        <w:right w:val="none" w:sz="0" w:space="0" w:color="auto"/>
      </w:divBdr>
    </w:div>
    <w:div w:id="650326103">
      <w:bodyDiv w:val="1"/>
      <w:marLeft w:val="0"/>
      <w:marRight w:val="0"/>
      <w:marTop w:val="0"/>
      <w:marBottom w:val="0"/>
      <w:divBdr>
        <w:top w:val="none" w:sz="0" w:space="0" w:color="auto"/>
        <w:left w:val="none" w:sz="0" w:space="0" w:color="auto"/>
        <w:bottom w:val="none" w:sz="0" w:space="0" w:color="auto"/>
        <w:right w:val="none" w:sz="0" w:space="0" w:color="auto"/>
      </w:divBdr>
    </w:div>
    <w:div w:id="651107632">
      <w:bodyDiv w:val="1"/>
      <w:marLeft w:val="0"/>
      <w:marRight w:val="0"/>
      <w:marTop w:val="0"/>
      <w:marBottom w:val="0"/>
      <w:divBdr>
        <w:top w:val="none" w:sz="0" w:space="0" w:color="auto"/>
        <w:left w:val="none" w:sz="0" w:space="0" w:color="auto"/>
        <w:bottom w:val="none" w:sz="0" w:space="0" w:color="auto"/>
        <w:right w:val="none" w:sz="0" w:space="0" w:color="auto"/>
      </w:divBdr>
    </w:div>
    <w:div w:id="659430712">
      <w:bodyDiv w:val="1"/>
      <w:marLeft w:val="0"/>
      <w:marRight w:val="0"/>
      <w:marTop w:val="0"/>
      <w:marBottom w:val="0"/>
      <w:divBdr>
        <w:top w:val="none" w:sz="0" w:space="0" w:color="auto"/>
        <w:left w:val="none" w:sz="0" w:space="0" w:color="auto"/>
        <w:bottom w:val="none" w:sz="0" w:space="0" w:color="auto"/>
        <w:right w:val="none" w:sz="0" w:space="0" w:color="auto"/>
      </w:divBdr>
    </w:div>
    <w:div w:id="665595662">
      <w:bodyDiv w:val="1"/>
      <w:marLeft w:val="0"/>
      <w:marRight w:val="0"/>
      <w:marTop w:val="0"/>
      <w:marBottom w:val="0"/>
      <w:divBdr>
        <w:top w:val="none" w:sz="0" w:space="0" w:color="auto"/>
        <w:left w:val="none" w:sz="0" w:space="0" w:color="auto"/>
        <w:bottom w:val="none" w:sz="0" w:space="0" w:color="auto"/>
        <w:right w:val="none" w:sz="0" w:space="0" w:color="auto"/>
      </w:divBdr>
    </w:div>
    <w:div w:id="670567428">
      <w:bodyDiv w:val="1"/>
      <w:marLeft w:val="0"/>
      <w:marRight w:val="0"/>
      <w:marTop w:val="0"/>
      <w:marBottom w:val="0"/>
      <w:divBdr>
        <w:top w:val="none" w:sz="0" w:space="0" w:color="auto"/>
        <w:left w:val="none" w:sz="0" w:space="0" w:color="auto"/>
        <w:bottom w:val="none" w:sz="0" w:space="0" w:color="auto"/>
        <w:right w:val="none" w:sz="0" w:space="0" w:color="auto"/>
      </w:divBdr>
    </w:div>
    <w:div w:id="671640328">
      <w:bodyDiv w:val="1"/>
      <w:marLeft w:val="0"/>
      <w:marRight w:val="0"/>
      <w:marTop w:val="0"/>
      <w:marBottom w:val="0"/>
      <w:divBdr>
        <w:top w:val="none" w:sz="0" w:space="0" w:color="auto"/>
        <w:left w:val="none" w:sz="0" w:space="0" w:color="auto"/>
        <w:bottom w:val="none" w:sz="0" w:space="0" w:color="auto"/>
        <w:right w:val="none" w:sz="0" w:space="0" w:color="auto"/>
      </w:divBdr>
    </w:div>
    <w:div w:id="675308179">
      <w:bodyDiv w:val="1"/>
      <w:marLeft w:val="0"/>
      <w:marRight w:val="0"/>
      <w:marTop w:val="0"/>
      <w:marBottom w:val="0"/>
      <w:divBdr>
        <w:top w:val="none" w:sz="0" w:space="0" w:color="auto"/>
        <w:left w:val="none" w:sz="0" w:space="0" w:color="auto"/>
        <w:bottom w:val="none" w:sz="0" w:space="0" w:color="auto"/>
        <w:right w:val="none" w:sz="0" w:space="0" w:color="auto"/>
      </w:divBdr>
    </w:div>
    <w:div w:id="677123831">
      <w:bodyDiv w:val="1"/>
      <w:marLeft w:val="0"/>
      <w:marRight w:val="0"/>
      <w:marTop w:val="0"/>
      <w:marBottom w:val="0"/>
      <w:divBdr>
        <w:top w:val="none" w:sz="0" w:space="0" w:color="auto"/>
        <w:left w:val="none" w:sz="0" w:space="0" w:color="auto"/>
        <w:bottom w:val="none" w:sz="0" w:space="0" w:color="auto"/>
        <w:right w:val="none" w:sz="0" w:space="0" w:color="auto"/>
      </w:divBdr>
    </w:div>
    <w:div w:id="681518416">
      <w:bodyDiv w:val="1"/>
      <w:marLeft w:val="0"/>
      <w:marRight w:val="0"/>
      <w:marTop w:val="0"/>
      <w:marBottom w:val="0"/>
      <w:divBdr>
        <w:top w:val="none" w:sz="0" w:space="0" w:color="auto"/>
        <w:left w:val="none" w:sz="0" w:space="0" w:color="auto"/>
        <w:bottom w:val="none" w:sz="0" w:space="0" w:color="auto"/>
        <w:right w:val="none" w:sz="0" w:space="0" w:color="auto"/>
      </w:divBdr>
    </w:div>
    <w:div w:id="687096709">
      <w:bodyDiv w:val="1"/>
      <w:marLeft w:val="0"/>
      <w:marRight w:val="0"/>
      <w:marTop w:val="0"/>
      <w:marBottom w:val="0"/>
      <w:divBdr>
        <w:top w:val="none" w:sz="0" w:space="0" w:color="auto"/>
        <w:left w:val="none" w:sz="0" w:space="0" w:color="auto"/>
        <w:bottom w:val="none" w:sz="0" w:space="0" w:color="auto"/>
        <w:right w:val="none" w:sz="0" w:space="0" w:color="auto"/>
      </w:divBdr>
    </w:div>
    <w:div w:id="690491762">
      <w:bodyDiv w:val="1"/>
      <w:marLeft w:val="0"/>
      <w:marRight w:val="0"/>
      <w:marTop w:val="0"/>
      <w:marBottom w:val="0"/>
      <w:divBdr>
        <w:top w:val="none" w:sz="0" w:space="0" w:color="auto"/>
        <w:left w:val="none" w:sz="0" w:space="0" w:color="auto"/>
        <w:bottom w:val="none" w:sz="0" w:space="0" w:color="auto"/>
        <w:right w:val="none" w:sz="0" w:space="0" w:color="auto"/>
      </w:divBdr>
    </w:div>
    <w:div w:id="695693246">
      <w:bodyDiv w:val="1"/>
      <w:marLeft w:val="0"/>
      <w:marRight w:val="0"/>
      <w:marTop w:val="0"/>
      <w:marBottom w:val="0"/>
      <w:divBdr>
        <w:top w:val="none" w:sz="0" w:space="0" w:color="auto"/>
        <w:left w:val="none" w:sz="0" w:space="0" w:color="auto"/>
        <w:bottom w:val="none" w:sz="0" w:space="0" w:color="auto"/>
        <w:right w:val="none" w:sz="0" w:space="0" w:color="auto"/>
      </w:divBdr>
    </w:div>
    <w:div w:id="699207319">
      <w:bodyDiv w:val="1"/>
      <w:marLeft w:val="0"/>
      <w:marRight w:val="0"/>
      <w:marTop w:val="0"/>
      <w:marBottom w:val="0"/>
      <w:divBdr>
        <w:top w:val="none" w:sz="0" w:space="0" w:color="auto"/>
        <w:left w:val="none" w:sz="0" w:space="0" w:color="auto"/>
        <w:bottom w:val="none" w:sz="0" w:space="0" w:color="auto"/>
        <w:right w:val="none" w:sz="0" w:space="0" w:color="auto"/>
      </w:divBdr>
    </w:div>
    <w:div w:id="712653929">
      <w:bodyDiv w:val="1"/>
      <w:marLeft w:val="0"/>
      <w:marRight w:val="0"/>
      <w:marTop w:val="0"/>
      <w:marBottom w:val="0"/>
      <w:divBdr>
        <w:top w:val="none" w:sz="0" w:space="0" w:color="auto"/>
        <w:left w:val="none" w:sz="0" w:space="0" w:color="auto"/>
        <w:bottom w:val="none" w:sz="0" w:space="0" w:color="auto"/>
        <w:right w:val="none" w:sz="0" w:space="0" w:color="auto"/>
      </w:divBdr>
    </w:div>
    <w:div w:id="714735842">
      <w:bodyDiv w:val="1"/>
      <w:marLeft w:val="0"/>
      <w:marRight w:val="0"/>
      <w:marTop w:val="0"/>
      <w:marBottom w:val="0"/>
      <w:divBdr>
        <w:top w:val="none" w:sz="0" w:space="0" w:color="auto"/>
        <w:left w:val="none" w:sz="0" w:space="0" w:color="auto"/>
        <w:bottom w:val="none" w:sz="0" w:space="0" w:color="auto"/>
        <w:right w:val="none" w:sz="0" w:space="0" w:color="auto"/>
      </w:divBdr>
    </w:div>
    <w:div w:id="723067422">
      <w:bodyDiv w:val="1"/>
      <w:marLeft w:val="0"/>
      <w:marRight w:val="0"/>
      <w:marTop w:val="0"/>
      <w:marBottom w:val="0"/>
      <w:divBdr>
        <w:top w:val="none" w:sz="0" w:space="0" w:color="auto"/>
        <w:left w:val="none" w:sz="0" w:space="0" w:color="auto"/>
        <w:bottom w:val="none" w:sz="0" w:space="0" w:color="auto"/>
        <w:right w:val="none" w:sz="0" w:space="0" w:color="auto"/>
      </w:divBdr>
    </w:div>
    <w:div w:id="741441476">
      <w:bodyDiv w:val="1"/>
      <w:marLeft w:val="0"/>
      <w:marRight w:val="0"/>
      <w:marTop w:val="0"/>
      <w:marBottom w:val="0"/>
      <w:divBdr>
        <w:top w:val="none" w:sz="0" w:space="0" w:color="auto"/>
        <w:left w:val="none" w:sz="0" w:space="0" w:color="auto"/>
        <w:bottom w:val="none" w:sz="0" w:space="0" w:color="auto"/>
        <w:right w:val="none" w:sz="0" w:space="0" w:color="auto"/>
      </w:divBdr>
    </w:div>
    <w:div w:id="745612092">
      <w:bodyDiv w:val="1"/>
      <w:marLeft w:val="0"/>
      <w:marRight w:val="0"/>
      <w:marTop w:val="0"/>
      <w:marBottom w:val="0"/>
      <w:divBdr>
        <w:top w:val="none" w:sz="0" w:space="0" w:color="auto"/>
        <w:left w:val="none" w:sz="0" w:space="0" w:color="auto"/>
        <w:bottom w:val="none" w:sz="0" w:space="0" w:color="auto"/>
        <w:right w:val="none" w:sz="0" w:space="0" w:color="auto"/>
      </w:divBdr>
    </w:div>
    <w:div w:id="749275069">
      <w:bodyDiv w:val="1"/>
      <w:marLeft w:val="0"/>
      <w:marRight w:val="0"/>
      <w:marTop w:val="0"/>
      <w:marBottom w:val="0"/>
      <w:divBdr>
        <w:top w:val="none" w:sz="0" w:space="0" w:color="auto"/>
        <w:left w:val="none" w:sz="0" w:space="0" w:color="auto"/>
        <w:bottom w:val="none" w:sz="0" w:space="0" w:color="auto"/>
        <w:right w:val="none" w:sz="0" w:space="0" w:color="auto"/>
      </w:divBdr>
    </w:div>
    <w:div w:id="750128644">
      <w:bodyDiv w:val="1"/>
      <w:marLeft w:val="0"/>
      <w:marRight w:val="0"/>
      <w:marTop w:val="0"/>
      <w:marBottom w:val="0"/>
      <w:divBdr>
        <w:top w:val="none" w:sz="0" w:space="0" w:color="auto"/>
        <w:left w:val="none" w:sz="0" w:space="0" w:color="auto"/>
        <w:bottom w:val="none" w:sz="0" w:space="0" w:color="auto"/>
        <w:right w:val="none" w:sz="0" w:space="0" w:color="auto"/>
      </w:divBdr>
    </w:div>
    <w:div w:id="754673373">
      <w:bodyDiv w:val="1"/>
      <w:marLeft w:val="0"/>
      <w:marRight w:val="0"/>
      <w:marTop w:val="0"/>
      <w:marBottom w:val="0"/>
      <w:divBdr>
        <w:top w:val="none" w:sz="0" w:space="0" w:color="auto"/>
        <w:left w:val="none" w:sz="0" w:space="0" w:color="auto"/>
        <w:bottom w:val="none" w:sz="0" w:space="0" w:color="auto"/>
        <w:right w:val="none" w:sz="0" w:space="0" w:color="auto"/>
      </w:divBdr>
    </w:div>
    <w:div w:id="764573591">
      <w:bodyDiv w:val="1"/>
      <w:marLeft w:val="0"/>
      <w:marRight w:val="0"/>
      <w:marTop w:val="0"/>
      <w:marBottom w:val="0"/>
      <w:divBdr>
        <w:top w:val="none" w:sz="0" w:space="0" w:color="auto"/>
        <w:left w:val="none" w:sz="0" w:space="0" w:color="auto"/>
        <w:bottom w:val="none" w:sz="0" w:space="0" w:color="auto"/>
        <w:right w:val="none" w:sz="0" w:space="0" w:color="auto"/>
      </w:divBdr>
    </w:div>
    <w:div w:id="766999952">
      <w:bodyDiv w:val="1"/>
      <w:marLeft w:val="0"/>
      <w:marRight w:val="0"/>
      <w:marTop w:val="0"/>
      <w:marBottom w:val="0"/>
      <w:divBdr>
        <w:top w:val="none" w:sz="0" w:space="0" w:color="auto"/>
        <w:left w:val="none" w:sz="0" w:space="0" w:color="auto"/>
        <w:bottom w:val="none" w:sz="0" w:space="0" w:color="auto"/>
        <w:right w:val="none" w:sz="0" w:space="0" w:color="auto"/>
      </w:divBdr>
    </w:div>
    <w:div w:id="771124754">
      <w:bodyDiv w:val="1"/>
      <w:marLeft w:val="0"/>
      <w:marRight w:val="0"/>
      <w:marTop w:val="0"/>
      <w:marBottom w:val="0"/>
      <w:divBdr>
        <w:top w:val="none" w:sz="0" w:space="0" w:color="auto"/>
        <w:left w:val="none" w:sz="0" w:space="0" w:color="auto"/>
        <w:bottom w:val="none" w:sz="0" w:space="0" w:color="auto"/>
        <w:right w:val="none" w:sz="0" w:space="0" w:color="auto"/>
      </w:divBdr>
    </w:div>
    <w:div w:id="778791771">
      <w:bodyDiv w:val="1"/>
      <w:marLeft w:val="0"/>
      <w:marRight w:val="0"/>
      <w:marTop w:val="0"/>
      <w:marBottom w:val="0"/>
      <w:divBdr>
        <w:top w:val="none" w:sz="0" w:space="0" w:color="auto"/>
        <w:left w:val="none" w:sz="0" w:space="0" w:color="auto"/>
        <w:bottom w:val="none" w:sz="0" w:space="0" w:color="auto"/>
        <w:right w:val="none" w:sz="0" w:space="0" w:color="auto"/>
      </w:divBdr>
    </w:div>
    <w:div w:id="785195136">
      <w:bodyDiv w:val="1"/>
      <w:marLeft w:val="0"/>
      <w:marRight w:val="0"/>
      <w:marTop w:val="0"/>
      <w:marBottom w:val="0"/>
      <w:divBdr>
        <w:top w:val="none" w:sz="0" w:space="0" w:color="auto"/>
        <w:left w:val="none" w:sz="0" w:space="0" w:color="auto"/>
        <w:bottom w:val="none" w:sz="0" w:space="0" w:color="auto"/>
        <w:right w:val="none" w:sz="0" w:space="0" w:color="auto"/>
      </w:divBdr>
    </w:div>
    <w:div w:id="794906216">
      <w:bodyDiv w:val="1"/>
      <w:marLeft w:val="0"/>
      <w:marRight w:val="0"/>
      <w:marTop w:val="0"/>
      <w:marBottom w:val="0"/>
      <w:divBdr>
        <w:top w:val="none" w:sz="0" w:space="0" w:color="auto"/>
        <w:left w:val="none" w:sz="0" w:space="0" w:color="auto"/>
        <w:bottom w:val="none" w:sz="0" w:space="0" w:color="auto"/>
        <w:right w:val="none" w:sz="0" w:space="0" w:color="auto"/>
      </w:divBdr>
    </w:div>
    <w:div w:id="811672404">
      <w:bodyDiv w:val="1"/>
      <w:marLeft w:val="0"/>
      <w:marRight w:val="0"/>
      <w:marTop w:val="0"/>
      <w:marBottom w:val="0"/>
      <w:divBdr>
        <w:top w:val="none" w:sz="0" w:space="0" w:color="auto"/>
        <w:left w:val="none" w:sz="0" w:space="0" w:color="auto"/>
        <w:bottom w:val="none" w:sz="0" w:space="0" w:color="auto"/>
        <w:right w:val="none" w:sz="0" w:space="0" w:color="auto"/>
      </w:divBdr>
    </w:div>
    <w:div w:id="819274523">
      <w:bodyDiv w:val="1"/>
      <w:marLeft w:val="0"/>
      <w:marRight w:val="0"/>
      <w:marTop w:val="0"/>
      <w:marBottom w:val="0"/>
      <w:divBdr>
        <w:top w:val="none" w:sz="0" w:space="0" w:color="auto"/>
        <w:left w:val="none" w:sz="0" w:space="0" w:color="auto"/>
        <w:bottom w:val="none" w:sz="0" w:space="0" w:color="auto"/>
        <w:right w:val="none" w:sz="0" w:space="0" w:color="auto"/>
      </w:divBdr>
    </w:div>
    <w:div w:id="827019071">
      <w:bodyDiv w:val="1"/>
      <w:marLeft w:val="0"/>
      <w:marRight w:val="0"/>
      <w:marTop w:val="0"/>
      <w:marBottom w:val="0"/>
      <w:divBdr>
        <w:top w:val="none" w:sz="0" w:space="0" w:color="auto"/>
        <w:left w:val="none" w:sz="0" w:space="0" w:color="auto"/>
        <w:bottom w:val="none" w:sz="0" w:space="0" w:color="auto"/>
        <w:right w:val="none" w:sz="0" w:space="0" w:color="auto"/>
      </w:divBdr>
    </w:div>
    <w:div w:id="847135639">
      <w:bodyDiv w:val="1"/>
      <w:marLeft w:val="0"/>
      <w:marRight w:val="0"/>
      <w:marTop w:val="0"/>
      <w:marBottom w:val="0"/>
      <w:divBdr>
        <w:top w:val="none" w:sz="0" w:space="0" w:color="auto"/>
        <w:left w:val="none" w:sz="0" w:space="0" w:color="auto"/>
        <w:bottom w:val="none" w:sz="0" w:space="0" w:color="auto"/>
        <w:right w:val="none" w:sz="0" w:space="0" w:color="auto"/>
      </w:divBdr>
    </w:div>
    <w:div w:id="850995802">
      <w:bodyDiv w:val="1"/>
      <w:marLeft w:val="0"/>
      <w:marRight w:val="0"/>
      <w:marTop w:val="0"/>
      <w:marBottom w:val="0"/>
      <w:divBdr>
        <w:top w:val="none" w:sz="0" w:space="0" w:color="auto"/>
        <w:left w:val="none" w:sz="0" w:space="0" w:color="auto"/>
        <w:bottom w:val="none" w:sz="0" w:space="0" w:color="auto"/>
        <w:right w:val="none" w:sz="0" w:space="0" w:color="auto"/>
      </w:divBdr>
    </w:div>
    <w:div w:id="851068094">
      <w:bodyDiv w:val="1"/>
      <w:marLeft w:val="0"/>
      <w:marRight w:val="0"/>
      <w:marTop w:val="0"/>
      <w:marBottom w:val="0"/>
      <w:divBdr>
        <w:top w:val="none" w:sz="0" w:space="0" w:color="auto"/>
        <w:left w:val="none" w:sz="0" w:space="0" w:color="auto"/>
        <w:bottom w:val="none" w:sz="0" w:space="0" w:color="auto"/>
        <w:right w:val="none" w:sz="0" w:space="0" w:color="auto"/>
      </w:divBdr>
    </w:div>
    <w:div w:id="859855455">
      <w:bodyDiv w:val="1"/>
      <w:marLeft w:val="0"/>
      <w:marRight w:val="0"/>
      <w:marTop w:val="0"/>
      <w:marBottom w:val="0"/>
      <w:divBdr>
        <w:top w:val="none" w:sz="0" w:space="0" w:color="auto"/>
        <w:left w:val="none" w:sz="0" w:space="0" w:color="auto"/>
        <w:bottom w:val="none" w:sz="0" w:space="0" w:color="auto"/>
        <w:right w:val="none" w:sz="0" w:space="0" w:color="auto"/>
      </w:divBdr>
    </w:div>
    <w:div w:id="865799081">
      <w:bodyDiv w:val="1"/>
      <w:marLeft w:val="0"/>
      <w:marRight w:val="0"/>
      <w:marTop w:val="0"/>
      <w:marBottom w:val="0"/>
      <w:divBdr>
        <w:top w:val="none" w:sz="0" w:space="0" w:color="auto"/>
        <w:left w:val="none" w:sz="0" w:space="0" w:color="auto"/>
        <w:bottom w:val="none" w:sz="0" w:space="0" w:color="auto"/>
        <w:right w:val="none" w:sz="0" w:space="0" w:color="auto"/>
      </w:divBdr>
    </w:div>
    <w:div w:id="866141129">
      <w:bodyDiv w:val="1"/>
      <w:marLeft w:val="0"/>
      <w:marRight w:val="0"/>
      <w:marTop w:val="0"/>
      <w:marBottom w:val="0"/>
      <w:divBdr>
        <w:top w:val="none" w:sz="0" w:space="0" w:color="auto"/>
        <w:left w:val="none" w:sz="0" w:space="0" w:color="auto"/>
        <w:bottom w:val="none" w:sz="0" w:space="0" w:color="auto"/>
        <w:right w:val="none" w:sz="0" w:space="0" w:color="auto"/>
      </w:divBdr>
    </w:div>
    <w:div w:id="869878299">
      <w:bodyDiv w:val="1"/>
      <w:marLeft w:val="0"/>
      <w:marRight w:val="0"/>
      <w:marTop w:val="0"/>
      <w:marBottom w:val="0"/>
      <w:divBdr>
        <w:top w:val="none" w:sz="0" w:space="0" w:color="auto"/>
        <w:left w:val="none" w:sz="0" w:space="0" w:color="auto"/>
        <w:bottom w:val="none" w:sz="0" w:space="0" w:color="auto"/>
        <w:right w:val="none" w:sz="0" w:space="0" w:color="auto"/>
      </w:divBdr>
    </w:div>
    <w:div w:id="870073262">
      <w:bodyDiv w:val="1"/>
      <w:marLeft w:val="0"/>
      <w:marRight w:val="0"/>
      <w:marTop w:val="0"/>
      <w:marBottom w:val="0"/>
      <w:divBdr>
        <w:top w:val="none" w:sz="0" w:space="0" w:color="auto"/>
        <w:left w:val="none" w:sz="0" w:space="0" w:color="auto"/>
        <w:bottom w:val="none" w:sz="0" w:space="0" w:color="auto"/>
        <w:right w:val="none" w:sz="0" w:space="0" w:color="auto"/>
      </w:divBdr>
    </w:div>
    <w:div w:id="870149409">
      <w:bodyDiv w:val="1"/>
      <w:marLeft w:val="0"/>
      <w:marRight w:val="0"/>
      <w:marTop w:val="0"/>
      <w:marBottom w:val="0"/>
      <w:divBdr>
        <w:top w:val="none" w:sz="0" w:space="0" w:color="auto"/>
        <w:left w:val="none" w:sz="0" w:space="0" w:color="auto"/>
        <w:bottom w:val="none" w:sz="0" w:space="0" w:color="auto"/>
        <w:right w:val="none" w:sz="0" w:space="0" w:color="auto"/>
      </w:divBdr>
    </w:div>
    <w:div w:id="874347503">
      <w:bodyDiv w:val="1"/>
      <w:marLeft w:val="0"/>
      <w:marRight w:val="0"/>
      <w:marTop w:val="0"/>
      <w:marBottom w:val="0"/>
      <w:divBdr>
        <w:top w:val="none" w:sz="0" w:space="0" w:color="auto"/>
        <w:left w:val="none" w:sz="0" w:space="0" w:color="auto"/>
        <w:bottom w:val="none" w:sz="0" w:space="0" w:color="auto"/>
        <w:right w:val="none" w:sz="0" w:space="0" w:color="auto"/>
      </w:divBdr>
    </w:div>
    <w:div w:id="878662001">
      <w:bodyDiv w:val="1"/>
      <w:marLeft w:val="0"/>
      <w:marRight w:val="0"/>
      <w:marTop w:val="0"/>
      <w:marBottom w:val="0"/>
      <w:divBdr>
        <w:top w:val="none" w:sz="0" w:space="0" w:color="auto"/>
        <w:left w:val="none" w:sz="0" w:space="0" w:color="auto"/>
        <w:bottom w:val="none" w:sz="0" w:space="0" w:color="auto"/>
        <w:right w:val="none" w:sz="0" w:space="0" w:color="auto"/>
      </w:divBdr>
    </w:div>
    <w:div w:id="884607759">
      <w:bodyDiv w:val="1"/>
      <w:marLeft w:val="0"/>
      <w:marRight w:val="0"/>
      <w:marTop w:val="0"/>
      <w:marBottom w:val="0"/>
      <w:divBdr>
        <w:top w:val="none" w:sz="0" w:space="0" w:color="auto"/>
        <w:left w:val="none" w:sz="0" w:space="0" w:color="auto"/>
        <w:bottom w:val="none" w:sz="0" w:space="0" w:color="auto"/>
        <w:right w:val="none" w:sz="0" w:space="0" w:color="auto"/>
      </w:divBdr>
    </w:div>
    <w:div w:id="891843459">
      <w:bodyDiv w:val="1"/>
      <w:marLeft w:val="0"/>
      <w:marRight w:val="0"/>
      <w:marTop w:val="0"/>
      <w:marBottom w:val="0"/>
      <w:divBdr>
        <w:top w:val="none" w:sz="0" w:space="0" w:color="auto"/>
        <w:left w:val="none" w:sz="0" w:space="0" w:color="auto"/>
        <w:bottom w:val="none" w:sz="0" w:space="0" w:color="auto"/>
        <w:right w:val="none" w:sz="0" w:space="0" w:color="auto"/>
      </w:divBdr>
    </w:div>
    <w:div w:id="905578088">
      <w:bodyDiv w:val="1"/>
      <w:marLeft w:val="0"/>
      <w:marRight w:val="0"/>
      <w:marTop w:val="0"/>
      <w:marBottom w:val="0"/>
      <w:divBdr>
        <w:top w:val="none" w:sz="0" w:space="0" w:color="auto"/>
        <w:left w:val="none" w:sz="0" w:space="0" w:color="auto"/>
        <w:bottom w:val="none" w:sz="0" w:space="0" w:color="auto"/>
        <w:right w:val="none" w:sz="0" w:space="0" w:color="auto"/>
      </w:divBdr>
    </w:div>
    <w:div w:id="913205659">
      <w:bodyDiv w:val="1"/>
      <w:marLeft w:val="0"/>
      <w:marRight w:val="0"/>
      <w:marTop w:val="0"/>
      <w:marBottom w:val="0"/>
      <w:divBdr>
        <w:top w:val="none" w:sz="0" w:space="0" w:color="auto"/>
        <w:left w:val="none" w:sz="0" w:space="0" w:color="auto"/>
        <w:bottom w:val="none" w:sz="0" w:space="0" w:color="auto"/>
        <w:right w:val="none" w:sz="0" w:space="0" w:color="auto"/>
      </w:divBdr>
    </w:div>
    <w:div w:id="914893911">
      <w:bodyDiv w:val="1"/>
      <w:marLeft w:val="0"/>
      <w:marRight w:val="0"/>
      <w:marTop w:val="0"/>
      <w:marBottom w:val="0"/>
      <w:divBdr>
        <w:top w:val="none" w:sz="0" w:space="0" w:color="auto"/>
        <w:left w:val="none" w:sz="0" w:space="0" w:color="auto"/>
        <w:bottom w:val="none" w:sz="0" w:space="0" w:color="auto"/>
        <w:right w:val="none" w:sz="0" w:space="0" w:color="auto"/>
      </w:divBdr>
    </w:div>
    <w:div w:id="923612276">
      <w:bodyDiv w:val="1"/>
      <w:marLeft w:val="0"/>
      <w:marRight w:val="0"/>
      <w:marTop w:val="0"/>
      <w:marBottom w:val="0"/>
      <w:divBdr>
        <w:top w:val="none" w:sz="0" w:space="0" w:color="auto"/>
        <w:left w:val="none" w:sz="0" w:space="0" w:color="auto"/>
        <w:bottom w:val="none" w:sz="0" w:space="0" w:color="auto"/>
        <w:right w:val="none" w:sz="0" w:space="0" w:color="auto"/>
      </w:divBdr>
    </w:div>
    <w:div w:id="928074353">
      <w:bodyDiv w:val="1"/>
      <w:marLeft w:val="0"/>
      <w:marRight w:val="0"/>
      <w:marTop w:val="0"/>
      <w:marBottom w:val="0"/>
      <w:divBdr>
        <w:top w:val="none" w:sz="0" w:space="0" w:color="auto"/>
        <w:left w:val="none" w:sz="0" w:space="0" w:color="auto"/>
        <w:bottom w:val="none" w:sz="0" w:space="0" w:color="auto"/>
        <w:right w:val="none" w:sz="0" w:space="0" w:color="auto"/>
      </w:divBdr>
    </w:div>
    <w:div w:id="932979895">
      <w:bodyDiv w:val="1"/>
      <w:marLeft w:val="0"/>
      <w:marRight w:val="0"/>
      <w:marTop w:val="0"/>
      <w:marBottom w:val="0"/>
      <w:divBdr>
        <w:top w:val="none" w:sz="0" w:space="0" w:color="auto"/>
        <w:left w:val="none" w:sz="0" w:space="0" w:color="auto"/>
        <w:bottom w:val="none" w:sz="0" w:space="0" w:color="auto"/>
        <w:right w:val="none" w:sz="0" w:space="0" w:color="auto"/>
      </w:divBdr>
    </w:div>
    <w:div w:id="934020887">
      <w:bodyDiv w:val="1"/>
      <w:marLeft w:val="0"/>
      <w:marRight w:val="0"/>
      <w:marTop w:val="0"/>
      <w:marBottom w:val="0"/>
      <w:divBdr>
        <w:top w:val="none" w:sz="0" w:space="0" w:color="auto"/>
        <w:left w:val="none" w:sz="0" w:space="0" w:color="auto"/>
        <w:bottom w:val="none" w:sz="0" w:space="0" w:color="auto"/>
        <w:right w:val="none" w:sz="0" w:space="0" w:color="auto"/>
      </w:divBdr>
    </w:div>
    <w:div w:id="948120885">
      <w:bodyDiv w:val="1"/>
      <w:marLeft w:val="0"/>
      <w:marRight w:val="0"/>
      <w:marTop w:val="0"/>
      <w:marBottom w:val="0"/>
      <w:divBdr>
        <w:top w:val="none" w:sz="0" w:space="0" w:color="auto"/>
        <w:left w:val="none" w:sz="0" w:space="0" w:color="auto"/>
        <w:bottom w:val="none" w:sz="0" w:space="0" w:color="auto"/>
        <w:right w:val="none" w:sz="0" w:space="0" w:color="auto"/>
      </w:divBdr>
    </w:div>
    <w:div w:id="953288516">
      <w:bodyDiv w:val="1"/>
      <w:marLeft w:val="0"/>
      <w:marRight w:val="0"/>
      <w:marTop w:val="0"/>
      <w:marBottom w:val="0"/>
      <w:divBdr>
        <w:top w:val="none" w:sz="0" w:space="0" w:color="auto"/>
        <w:left w:val="none" w:sz="0" w:space="0" w:color="auto"/>
        <w:bottom w:val="none" w:sz="0" w:space="0" w:color="auto"/>
        <w:right w:val="none" w:sz="0" w:space="0" w:color="auto"/>
      </w:divBdr>
    </w:div>
    <w:div w:id="955789670">
      <w:bodyDiv w:val="1"/>
      <w:marLeft w:val="0"/>
      <w:marRight w:val="0"/>
      <w:marTop w:val="0"/>
      <w:marBottom w:val="0"/>
      <w:divBdr>
        <w:top w:val="none" w:sz="0" w:space="0" w:color="auto"/>
        <w:left w:val="none" w:sz="0" w:space="0" w:color="auto"/>
        <w:bottom w:val="none" w:sz="0" w:space="0" w:color="auto"/>
        <w:right w:val="none" w:sz="0" w:space="0" w:color="auto"/>
      </w:divBdr>
    </w:div>
    <w:div w:id="979263094">
      <w:bodyDiv w:val="1"/>
      <w:marLeft w:val="0"/>
      <w:marRight w:val="0"/>
      <w:marTop w:val="0"/>
      <w:marBottom w:val="0"/>
      <w:divBdr>
        <w:top w:val="none" w:sz="0" w:space="0" w:color="auto"/>
        <w:left w:val="none" w:sz="0" w:space="0" w:color="auto"/>
        <w:bottom w:val="none" w:sz="0" w:space="0" w:color="auto"/>
        <w:right w:val="none" w:sz="0" w:space="0" w:color="auto"/>
      </w:divBdr>
    </w:div>
    <w:div w:id="979457624">
      <w:bodyDiv w:val="1"/>
      <w:marLeft w:val="0"/>
      <w:marRight w:val="0"/>
      <w:marTop w:val="0"/>
      <w:marBottom w:val="0"/>
      <w:divBdr>
        <w:top w:val="none" w:sz="0" w:space="0" w:color="auto"/>
        <w:left w:val="none" w:sz="0" w:space="0" w:color="auto"/>
        <w:bottom w:val="none" w:sz="0" w:space="0" w:color="auto"/>
        <w:right w:val="none" w:sz="0" w:space="0" w:color="auto"/>
      </w:divBdr>
    </w:div>
    <w:div w:id="984314496">
      <w:bodyDiv w:val="1"/>
      <w:marLeft w:val="0"/>
      <w:marRight w:val="0"/>
      <w:marTop w:val="0"/>
      <w:marBottom w:val="0"/>
      <w:divBdr>
        <w:top w:val="none" w:sz="0" w:space="0" w:color="auto"/>
        <w:left w:val="none" w:sz="0" w:space="0" w:color="auto"/>
        <w:bottom w:val="none" w:sz="0" w:space="0" w:color="auto"/>
        <w:right w:val="none" w:sz="0" w:space="0" w:color="auto"/>
      </w:divBdr>
    </w:div>
    <w:div w:id="985473123">
      <w:bodyDiv w:val="1"/>
      <w:marLeft w:val="0"/>
      <w:marRight w:val="0"/>
      <w:marTop w:val="0"/>
      <w:marBottom w:val="0"/>
      <w:divBdr>
        <w:top w:val="none" w:sz="0" w:space="0" w:color="auto"/>
        <w:left w:val="none" w:sz="0" w:space="0" w:color="auto"/>
        <w:bottom w:val="none" w:sz="0" w:space="0" w:color="auto"/>
        <w:right w:val="none" w:sz="0" w:space="0" w:color="auto"/>
      </w:divBdr>
    </w:div>
    <w:div w:id="986669541">
      <w:bodyDiv w:val="1"/>
      <w:marLeft w:val="0"/>
      <w:marRight w:val="0"/>
      <w:marTop w:val="0"/>
      <w:marBottom w:val="0"/>
      <w:divBdr>
        <w:top w:val="none" w:sz="0" w:space="0" w:color="auto"/>
        <w:left w:val="none" w:sz="0" w:space="0" w:color="auto"/>
        <w:bottom w:val="none" w:sz="0" w:space="0" w:color="auto"/>
        <w:right w:val="none" w:sz="0" w:space="0" w:color="auto"/>
      </w:divBdr>
    </w:div>
    <w:div w:id="989748186">
      <w:bodyDiv w:val="1"/>
      <w:marLeft w:val="0"/>
      <w:marRight w:val="0"/>
      <w:marTop w:val="0"/>
      <w:marBottom w:val="0"/>
      <w:divBdr>
        <w:top w:val="none" w:sz="0" w:space="0" w:color="auto"/>
        <w:left w:val="none" w:sz="0" w:space="0" w:color="auto"/>
        <w:bottom w:val="none" w:sz="0" w:space="0" w:color="auto"/>
        <w:right w:val="none" w:sz="0" w:space="0" w:color="auto"/>
      </w:divBdr>
    </w:div>
    <w:div w:id="991526142">
      <w:bodyDiv w:val="1"/>
      <w:marLeft w:val="0"/>
      <w:marRight w:val="0"/>
      <w:marTop w:val="0"/>
      <w:marBottom w:val="0"/>
      <w:divBdr>
        <w:top w:val="none" w:sz="0" w:space="0" w:color="auto"/>
        <w:left w:val="none" w:sz="0" w:space="0" w:color="auto"/>
        <w:bottom w:val="none" w:sz="0" w:space="0" w:color="auto"/>
        <w:right w:val="none" w:sz="0" w:space="0" w:color="auto"/>
      </w:divBdr>
    </w:div>
    <w:div w:id="995456367">
      <w:bodyDiv w:val="1"/>
      <w:marLeft w:val="0"/>
      <w:marRight w:val="0"/>
      <w:marTop w:val="0"/>
      <w:marBottom w:val="0"/>
      <w:divBdr>
        <w:top w:val="none" w:sz="0" w:space="0" w:color="auto"/>
        <w:left w:val="none" w:sz="0" w:space="0" w:color="auto"/>
        <w:bottom w:val="none" w:sz="0" w:space="0" w:color="auto"/>
        <w:right w:val="none" w:sz="0" w:space="0" w:color="auto"/>
      </w:divBdr>
    </w:div>
    <w:div w:id="996418888">
      <w:bodyDiv w:val="1"/>
      <w:marLeft w:val="0"/>
      <w:marRight w:val="0"/>
      <w:marTop w:val="0"/>
      <w:marBottom w:val="0"/>
      <w:divBdr>
        <w:top w:val="none" w:sz="0" w:space="0" w:color="auto"/>
        <w:left w:val="none" w:sz="0" w:space="0" w:color="auto"/>
        <w:bottom w:val="none" w:sz="0" w:space="0" w:color="auto"/>
        <w:right w:val="none" w:sz="0" w:space="0" w:color="auto"/>
      </w:divBdr>
    </w:div>
    <w:div w:id="1006009098">
      <w:bodyDiv w:val="1"/>
      <w:marLeft w:val="0"/>
      <w:marRight w:val="0"/>
      <w:marTop w:val="0"/>
      <w:marBottom w:val="0"/>
      <w:divBdr>
        <w:top w:val="none" w:sz="0" w:space="0" w:color="auto"/>
        <w:left w:val="none" w:sz="0" w:space="0" w:color="auto"/>
        <w:bottom w:val="none" w:sz="0" w:space="0" w:color="auto"/>
        <w:right w:val="none" w:sz="0" w:space="0" w:color="auto"/>
      </w:divBdr>
    </w:div>
    <w:div w:id="1011102828">
      <w:bodyDiv w:val="1"/>
      <w:marLeft w:val="0"/>
      <w:marRight w:val="0"/>
      <w:marTop w:val="0"/>
      <w:marBottom w:val="0"/>
      <w:divBdr>
        <w:top w:val="none" w:sz="0" w:space="0" w:color="auto"/>
        <w:left w:val="none" w:sz="0" w:space="0" w:color="auto"/>
        <w:bottom w:val="none" w:sz="0" w:space="0" w:color="auto"/>
        <w:right w:val="none" w:sz="0" w:space="0" w:color="auto"/>
      </w:divBdr>
      <w:divsChild>
        <w:div w:id="1338844174">
          <w:marLeft w:val="0"/>
          <w:marRight w:val="0"/>
          <w:marTop w:val="0"/>
          <w:marBottom w:val="0"/>
          <w:divBdr>
            <w:top w:val="none" w:sz="0" w:space="0" w:color="auto"/>
            <w:left w:val="none" w:sz="0" w:space="0" w:color="auto"/>
            <w:bottom w:val="none" w:sz="0" w:space="0" w:color="auto"/>
            <w:right w:val="none" w:sz="0" w:space="0" w:color="auto"/>
          </w:divBdr>
        </w:div>
      </w:divsChild>
    </w:div>
    <w:div w:id="1016348901">
      <w:bodyDiv w:val="1"/>
      <w:marLeft w:val="0"/>
      <w:marRight w:val="0"/>
      <w:marTop w:val="0"/>
      <w:marBottom w:val="0"/>
      <w:divBdr>
        <w:top w:val="none" w:sz="0" w:space="0" w:color="auto"/>
        <w:left w:val="none" w:sz="0" w:space="0" w:color="auto"/>
        <w:bottom w:val="none" w:sz="0" w:space="0" w:color="auto"/>
        <w:right w:val="none" w:sz="0" w:space="0" w:color="auto"/>
      </w:divBdr>
    </w:div>
    <w:div w:id="1030229947">
      <w:bodyDiv w:val="1"/>
      <w:marLeft w:val="0"/>
      <w:marRight w:val="0"/>
      <w:marTop w:val="0"/>
      <w:marBottom w:val="0"/>
      <w:divBdr>
        <w:top w:val="none" w:sz="0" w:space="0" w:color="auto"/>
        <w:left w:val="none" w:sz="0" w:space="0" w:color="auto"/>
        <w:bottom w:val="none" w:sz="0" w:space="0" w:color="auto"/>
        <w:right w:val="none" w:sz="0" w:space="0" w:color="auto"/>
      </w:divBdr>
    </w:div>
    <w:div w:id="1044326727">
      <w:bodyDiv w:val="1"/>
      <w:marLeft w:val="0"/>
      <w:marRight w:val="0"/>
      <w:marTop w:val="0"/>
      <w:marBottom w:val="0"/>
      <w:divBdr>
        <w:top w:val="none" w:sz="0" w:space="0" w:color="auto"/>
        <w:left w:val="none" w:sz="0" w:space="0" w:color="auto"/>
        <w:bottom w:val="none" w:sz="0" w:space="0" w:color="auto"/>
        <w:right w:val="none" w:sz="0" w:space="0" w:color="auto"/>
      </w:divBdr>
    </w:div>
    <w:div w:id="1046952648">
      <w:bodyDiv w:val="1"/>
      <w:marLeft w:val="0"/>
      <w:marRight w:val="0"/>
      <w:marTop w:val="0"/>
      <w:marBottom w:val="0"/>
      <w:divBdr>
        <w:top w:val="none" w:sz="0" w:space="0" w:color="auto"/>
        <w:left w:val="none" w:sz="0" w:space="0" w:color="auto"/>
        <w:bottom w:val="none" w:sz="0" w:space="0" w:color="auto"/>
        <w:right w:val="none" w:sz="0" w:space="0" w:color="auto"/>
      </w:divBdr>
    </w:div>
    <w:div w:id="1052658798">
      <w:bodyDiv w:val="1"/>
      <w:marLeft w:val="0"/>
      <w:marRight w:val="0"/>
      <w:marTop w:val="0"/>
      <w:marBottom w:val="0"/>
      <w:divBdr>
        <w:top w:val="none" w:sz="0" w:space="0" w:color="auto"/>
        <w:left w:val="none" w:sz="0" w:space="0" w:color="auto"/>
        <w:bottom w:val="none" w:sz="0" w:space="0" w:color="auto"/>
        <w:right w:val="none" w:sz="0" w:space="0" w:color="auto"/>
      </w:divBdr>
    </w:div>
    <w:div w:id="1052920404">
      <w:bodyDiv w:val="1"/>
      <w:marLeft w:val="0"/>
      <w:marRight w:val="0"/>
      <w:marTop w:val="0"/>
      <w:marBottom w:val="0"/>
      <w:divBdr>
        <w:top w:val="none" w:sz="0" w:space="0" w:color="auto"/>
        <w:left w:val="none" w:sz="0" w:space="0" w:color="auto"/>
        <w:bottom w:val="none" w:sz="0" w:space="0" w:color="auto"/>
        <w:right w:val="none" w:sz="0" w:space="0" w:color="auto"/>
      </w:divBdr>
    </w:div>
    <w:div w:id="1054306087">
      <w:bodyDiv w:val="1"/>
      <w:marLeft w:val="0"/>
      <w:marRight w:val="0"/>
      <w:marTop w:val="0"/>
      <w:marBottom w:val="0"/>
      <w:divBdr>
        <w:top w:val="none" w:sz="0" w:space="0" w:color="auto"/>
        <w:left w:val="none" w:sz="0" w:space="0" w:color="auto"/>
        <w:bottom w:val="none" w:sz="0" w:space="0" w:color="auto"/>
        <w:right w:val="none" w:sz="0" w:space="0" w:color="auto"/>
      </w:divBdr>
      <w:divsChild>
        <w:div w:id="813760596">
          <w:marLeft w:val="0"/>
          <w:marRight w:val="0"/>
          <w:marTop w:val="150"/>
          <w:marBottom w:val="300"/>
          <w:divBdr>
            <w:top w:val="none" w:sz="0" w:space="0" w:color="auto"/>
            <w:left w:val="none" w:sz="0" w:space="0" w:color="auto"/>
            <w:bottom w:val="none" w:sz="0" w:space="0" w:color="auto"/>
            <w:right w:val="none" w:sz="0" w:space="0" w:color="auto"/>
          </w:divBdr>
        </w:div>
        <w:div w:id="681205888">
          <w:marLeft w:val="0"/>
          <w:marRight w:val="0"/>
          <w:marTop w:val="150"/>
          <w:marBottom w:val="300"/>
          <w:divBdr>
            <w:top w:val="none" w:sz="0" w:space="0" w:color="auto"/>
            <w:left w:val="none" w:sz="0" w:space="0" w:color="auto"/>
            <w:bottom w:val="none" w:sz="0" w:space="0" w:color="auto"/>
            <w:right w:val="none" w:sz="0" w:space="0" w:color="auto"/>
          </w:divBdr>
        </w:div>
        <w:div w:id="1872649154">
          <w:marLeft w:val="0"/>
          <w:marRight w:val="0"/>
          <w:marTop w:val="150"/>
          <w:marBottom w:val="300"/>
          <w:divBdr>
            <w:top w:val="none" w:sz="0" w:space="0" w:color="auto"/>
            <w:left w:val="none" w:sz="0" w:space="0" w:color="auto"/>
            <w:bottom w:val="none" w:sz="0" w:space="0" w:color="auto"/>
            <w:right w:val="none" w:sz="0" w:space="0" w:color="auto"/>
          </w:divBdr>
        </w:div>
      </w:divsChild>
    </w:div>
    <w:div w:id="1060054475">
      <w:bodyDiv w:val="1"/>
      <w:marLeft w:val="0"/>
      <w:marRight w:val="0"/>
      <w:marTop w:val="0"/>
      <w:marBottom w:val="0"/>
      <w:divBdr>
        <w:top w:val="none" w:sz="0" w:space="0" w:color="auto"/>
        <w:left w:val="none" w:sz="0" w:space="0" w:color="auto"/>
        <w:bottom w:val="none" w:sz="0" w:space="0" w:color="auto"/>
        <w:right w:val="none" w:sz="0" w:space="0" w:color="auto"/>
      </w:divBdr>
    </w:div>
    <w:div w:id="1060590529">
      <w:bodyDiv w:val="1"/>
      <w:marLeft w:val="0"/>
      <w:marRight w:val="0"/>
      <w:marTop w:val="0"/>
      <w:marBottom w:val="0"/>
      <w:divBdr>
        <w:top w:val="none" w:sz="0" w:space="0" w:color="auto"/>
        <w:left w:val="none" w:sz="0" w:space="0" w:color="auto"/>
        <w:bottom w:val="none" w:sz="0" w:space="0" w:color="auto"/>
        <w:right w:val="none" w:sz="0" w:space="0" w:color="auto"/>
      </w:divBdr>
    </w:div>
    <w:div w:id="1064138532">
      <w:bodyDiv w:val="1"/>
      <w:marLeft w:val="0"/>
      <w:marRight w:val="0"/>
      <w:marTop w:val="0"/>
      <w:marBottom w:val="0"/>
      <w:divBdr>
        <w:top w:val="none" w:sz="0" w:space="0" w:color="auto"/>
        <w:left w:val="none" w:sz="0" w:space="0" w:color="auto"/>
        <w:bottom w:val="none" w:sz="0" w:space="0" w:color="auto"/>
        <w:right w:val="none" w:sz="0" w:space="0" w:color="auto"/>
      </w:divBdr>
    </w:div>
    <w:div w:id="1064840648">
      <w:bodyDiv w:val="1"/>
      <w:marLeft w:val="0"/>
      <w:marRight w:val="0"/>
      <w:marTop w:val="0"/>
      <w:marBottom w:val="0"/>
      <w:divBdr>
        <w:top w:val="none" w:sz="0" w:space="0" w:color="auto"/>
        <w:left w:val="none" w:sz="0" w:space="0" w:color="auto"/>
        <w:bottom w:val="none" w:sz="0" w:space="0" w:color="auto"/>
        <w:right w:val="none" w:sz="0" w:space="0" w:color="auto"/>
      </w:divBdr>
    </w:div>
    <w:div w:id="1071150145">
      <w:bodyDiv w:val="1"/>
      <w:marLeft w:val="0"/>
      <w:marRight w:val="0"/>
      <w:marTop w:val="0"/>
      <w:marBottom w:val="0"/>
      <w:divBdr>
        <w:top w:val="none" w:sz="0" w:space="0" w:color="auto"/>
        <w:left w:val="none" w:sz="0" w:space="0" w:color="auto"/>
        <w:bottom w:val="none" w:sz="0" w:space="0" w:color="auto"/>
        <w:right w:val="none" w:sz="0" w:space="0" w:color="auto"/>
      </w:divBdr>
    </w:div>
    <w:div w:id="1076629282">
      <w:bodyDiv w:val="1"/>
      <w:marLeft w:val="0"/>
      <w:marRight w:val="0"/>
      <w:marTop w:val="0"/>
      <w:marBottom w:val="0"/>
      <w:divBdr>
        <w:top w:val="none" w:sz="0" w:space="0" w:color="auto"/>
        <w:left w:val="none" w:sz="0" w:space="0" w:color="auto"/>
        <w:bottom w:val="none" w:sz="0" w:space="0" w:color="auto"/>
        <w:right w:val="none" w:sz="0" w:space="0" w:color="auto"/>
      </w:divBdr>
    </w:div>
    <w:div w:id="1086272492">
      <w:bodyDiv w:val="1"/>
      <w:marLeft w:val="0"/>
      <w:marRight w:val="0"/>
      <w:marTop w:val="0"/>
      <w:marBottom w:val="0"/>
      <w:divBdr>
        <w:top w:val="none" w:sz="0" w:space="0" w:color="auto"/>
        <w:left w:val="none" w:sz="0" w:space="0" w:color="auto"/>
        <w:bottom w:val="none" w:sz="0" w:space="0" w:color="auto"/>
        <w:right w:val="none" w:sz="0" w:space="0" w:color="auto"/>
      </w:divBdr>
    </w:div>
    <w:div w:id="1089733016">
      <w:bodyDiv w:val="1"/>
      <w:marLeft w:val="0"/>
      <w:marRight w:val="0"/>
      <w:marTop w:val="0"/>
      <w:marBottom w:val="0"/>
      <w:divBdr>
        <w:top w:val="none" w:sz="0" w:space="0" w:color="auto"/>
        <w:left w:val="none" w:sz="0" w:space="0" w:color="auto"/>
        <w:bottom w:val="none" w:sz="0" w:space="0" w:color="auto"/>
        <w:right w:val="none" w:sz="0" w:space="0" w:color="auto"/>
      </w:divBdr>
    </w:div>
    <w:div w:id="1098915484">
      <w:bodyDiv w:val="1"/>
      <w:marLeft w:val="0"/>
      <w:marRight w:val="0"/>
      <w:marTop w:val="0"/>
      <w:marBottom w:val="0"/>
      <w:divBdr>
        <w:top w:val="none" w:sz="0" w:space="0" w:color="auto"/>
        <w:left w:val="none" w:sz="0" w:space="0" w:color="auto"/>
        <w:bottom w:val="none" w:sz="0" w:space="0" w:color="auto"/>
        <w:right w:val="none" w:sz="0" w:space="0" w:color="auto"/>
      </w:divBdr>
    </w:div>
    <w:div w:id="1105005262">
      <w:bodyDiv w:val="1"/>
      <w:marLeft w:val="0"/>
      <w:marRight w:val="0"/>
      <w:marTop w:val="0"/>
      <w:marBottom w:val="0"/>
      <w:divBdr>
        <w:top w:val="none" w:sz="0" w:space="0" w:color="auto"/>
        <w:left w:val="none" w:sz="0" w:space="0" w:color="auto"/>
        <w:bottom w:val="none" w:sz="0" w:space="0" w:color="auto"/>
        <w:right w:val="none" w:sz="0" w:space="0" w:color="auto"/>
      </w:divBdr>
    </w:div>
    <w:div w:id="1114521324">
      <w:bodyDiv w:val="1"/>
      <w:marLeft w:val="0"/>
      <w:marRight w:val="0"/>
      <w:marTop w:val="0"/>
      <w:marBottom w:val="0"/>
      <w:divBdr>
        <w:top w:val="none" w:sz="0" w:space="0" w:color="auto"/>
        <w:left w:val="none" w:sz="0" w:space="0" w:color="auto"/>
        <w:bottom w:val="none" w:sz="0" w:space="0" w:color="auto"/>
        <w:right w:val="none" w:sz="0" w:space="0" w:color="auto"/>
      </w:divBdr>
    </w:div>
    <w:div w:id="1116825528">
      <w:bodyDiv w:val="1"/>
      <w:marLeft w:val="0"/>
      <w:marRight w:val="0"/>
      <w:marTop w:val="0"/>
      <w:marBottom w:val="0"/>
      <w:divBdr>
        <w:top w:val="none" w:sz="0" w:space="0" w:color="auto"/>
        <w:left w:val="none" w:sz="0" w:space="0" w:color="auto"/>
        <w:bottom w:val="none" w:sz="0" w:space="0" w:color="auto"/>
        <w:right w:val="none" w:sz="0" w:space="0" w:color="auto"/>
      </w:divBdr>
    </w:div>
    <w:div w:id="1117868558">
      <w:bodyDiv w:val="1"/>
      <w:marLeft w:val="0"/>
      <w:marRight w:val="0"/>
      <w:marTop w:val="0"/>
      <w:marBottom w:val="0"/>
      <w:divBdr>
        <w:top w:val="none" w:sz="0" w:space="0" w:color="auto"/>
        <w:left w:val="none" w:sz="0" w:space="0" w:color="auto"/>
        <w:bottom w:val="none" w:sz="0" w:space="0" w:color="auto"/>
        <w:right w:val="none" w:sz="0" w:space="0" w:color="auto"/>
      </w:divBdr>
    </w:div>
    <w:div w:id="1120415107">
      <w:bodyDiv w:val="1"/>
      <w:marLeft w:val="0"/>
      <w:marRight w:val="0"/>
      <w:marTop w:val="0"/>
      <w:marBottom w:val="0"/>
      <w:divBdr>
        <w:top w:val="none" w:sz="0" w:space="0" w:color="auto"/>
        <w:left w:val="none" w:sz="0" w:space="0" w:color="auto"/>
        <w:bottom w:val="none" w:sz="0" w:space="0" w:color="auto"/>
        <w:right w:val="none" w:sz="0" w:space="0" w:color="auto"/>
      </w:divBdr>
    </w:div>
    <w:div w:id="1125004018">
      <w:bodyDiv w:val="1"/>
      <w:marLeft w:val="0"/>
      <w:marRight w:val="0"/>
      <w:marTop w:val="0"/>
      <w:marBottom w:val="0"/>
      <w:divBdr>
        <w:top w:val="none" w:sz="0" w:space="0" w:color="auto"/>
        <w:left w:val="none" w:sz="0" w:space="0" w:color="auto"/>
        <w:bottom w:val="none" w:sz="0" w:space="0" w:color="auto"/>
        <w:right w:val="none" w:sz="0" w:space="0" w:color="auto"/>
      </w:divBdr>
    </w:div>
    <w:div w:id="1128161573">
      <w:bodyDiv w:val="1"/>
      <w:marLeft w:val="0"/>
      <w:marRight w:val="0"/>
      <w:marTop w:val="0"/>
      <w:marBottom w:val="0"/>
      <w:divBdr>
        <w:top w:val="none" w:sz="0" w:space="0" w:color="auto"/>
        <w:left w:val="none" w:sz="0" w:space="0" w:color="auto"/>
        <w:bottom w:val="none" w:sz="0" w:space="0" w:color="auto"/>
        <w:right w:val="none" w:sz="0" w:space="0" w:color="auto"/>
      </w:divBdr>
    </w:div>
    <w:div w:id="1132672425">
      <w:bodyDiv w:val="1"/>
      <w:marLeft w:val="0"/>
      <w:marRight w:val="0"/>
      <w:marTop w:val="0"/>
      <w:marBottom w:val="0"/>
      <w:divBdr>
        <w:top w:val="none" w:sz="0" w:space="0" w:color="auto"/>
        <w:left w:val="none" w:sz="0" w:space="0" w:color="auto"/>
        <w:bottom w:val="none" w:sz="0" w:space="0" w:color="auto"/>
        <w:right w:val="none" w:sz="0" w:space="0" w:color="auto"/>
      </w:divBdr>
    </w:div>
    <w:div w:id="1145005079">
      <w:bodyDiv w:val="1"/>
      <w:marLeft w:val="0"/>
      <w:marRight w:val="0"/>
      <w:marTop w:val="0"/>
      <w:marBottom w:val="0"/>
      <w:divBdr>
        <w:top w:val="none" w:sz="0" w:space="0" w:color="auto"/>
        <w:left w:val="none" w:sz="0" w:space="0" w:color="auto"/>
        <w:bottom w:val="none" w:sz="0" w:space="0" w:color="auto"/>
        <w:right w:val="none" w:sz="0" w:space="0" w:color="auto"/>
      </w:divBdr>
    </w:div>
    <w:div w:id="1147014574">
      <w:bodyDiv w:val="1"/>
      <w:marLeft w:val="0"/>
      <w:marRight w:val="0"/>
      <w:marTop w:val="0"/>
      <w:marBottom w:val="0"/>
      <w:divBdr>
        <w:top w:val="none" w:sz="0" w:space="0" w:color="auto"/>
        <w:left w:val="none" w:sz="0" w:space="0" w:color="auto"/>
        <w:bottom w:val="none" w:sz="0" w:space="0" w:color="auto"/>
        <w:right w:val="none" w:sz="0" w:space="0" w:color="auto"/>
      </w:divBdr>
    </w:div>
    <w:div w:id="1147168368">
      <w:bodyDiv w:val="1"/>
      <w:marLeft w:val="0"/>
      <w:marRight w:val="0"/>
      <w:marTop w:val="0"/>
      <w:marBottom w:val="0"/>
      <w:divBdr>
        <w:top w:val="none" w:sz="0" w:space="0" w:color="auto"/>
        <w:left w:val="none" w:sz="0" w:space="0" w:color="auto"/>
        <w:bottom w:val="none" w:sz="0" w:space="0" w:color="auto"/>
        <w:right w:val="none" w:sz="0" w:space="0" w:color="auto"/>
      </w:divBdr>
    </w:div>
    <w:div w:id="1147238241">
      <w:bodyDiv w:val="1"/>
      <w:marLeft w:val="0"/>
      <w:marRight w:val="0"/>
      <w:marTop w:val="0"/>
      <w:marBottom w:val="0"/>
      <w:divBdr>
        <w:top w:val="none" w:sz="0" w:space="0" w:color="auto"/>
        <w:left w:val="none" w:sz="0" w:space="0" w:color="auto"/>
        <w:bottom w:val="none" w:sz="0" w:space="0" w:color="auto"/>
        <w:right w:val="none" w:sz="0" w:space="0" w:color="auto"/>
      </w:divBdr>
    </w:div>
    <w:div w:id="1149400858">
      <w:bodyDiv w:val="1"/>
      <w:marLeft w:val="0"/>
      <w:marRight w:val="0"/>
      <w:marTop w:val="0"/>
      <w:marBottom w:val="0"/>
      <w:divBdr>
        <w:top w:val="none" w:sz="0" w:space="0" w:color="auto"/>
        <w:left w:val="none" w:sz="0" w:space="0" w:color="auto"/>
        <w:bottom w:val="none" w:sz="0" w:space="0" w:color="auto"/>
        <w:right w:val="none" w:sz="0" w:space="0" w:color="auto"/>
      </w:divBdr>
    </w:div>
    <w:div w:id="1161190147">
      <w:bodyDiv w:val="1"/>
      <w:marLeft w:val="0"/>
      <w:marRight w:val="0"/>
      <w:marTop w:val="0"/>
      <w:marBottom w:val="0"/>
      <w:divBdr>
        <w:top w:val="none" w:sz="0" w:space="0" w:color="auto"/>
        <w:left w:val="none" w:sz="0" w:space="0" w:color="auto"/>
        <w:bottom w:val="none" w:sz="0" w:space="0" w:color="auto"/>
        <w:right w:val="none" w:sz="0" w:space="0" w:color="auto"/>
      </w:divBdr>
    </w:div>
    <w:div w:id="1162816723">
      <w:bodyDiv w:val="1"/>
      <w:marLeft w:val="0"/>
      <w:marRight w:val="0"/>
      <w:marTop w:val="0"/>
      <w:marBottom w:val="0"/>
      <w:divBdr>
        <w:top w:val="none" w:sz="0" w:space="0" w:color="auto"/>
        <w:left w:val="none" w:sz="0" w:space="0" w:color="auto"/>
        <w:bottom w:val="none" w:sz="0" w:space="0" w:color="auto"/>
        <w:right w:val="none" w:sz="0" w:space="0" w:color="auto"/>
      </w:divBdr>
    </w:div>
    <w:div w:id="1172335420">
      <w:bodyDiv w:val="1"/>
      <w:marLeft w:val="0"/>
      <w:marRight w:val="0"/>
      <w:marTop w:val="0"/>
      <w:marBottom w:val="0"/>
      <w:divBdr>
        <w:top w:val="none" w:sz="0" w:space="0" w:color="auto"/>
        <w:left w:val="none" w:sz="0" w:space="0" w:color="auto"/>
        <w:bottom w:val="none" w:sz="0" w:space="0" w:color="auto"/>
        <w:right w:val="none" w:sz="0" w:space="0" w:color="auto"/>
      </w:divBdr>
    </w:div>
    <w:div w:id="1181623648">
      <w:bodyDiv w:val="1"/>
      <w:marLeft w:val="0"/>
      <w:marRight w:val="0"/>
      <w:marTop w:val="0"/>
      <w:marBottom w:val="0"/>
      <w:divBdr>
        <w:top w:val="none" w:sz="0" w:space="0" w:color="auto"/>
        <w:left w:val="none" w:sz="0" w:space="0" w:color="auto"/>
        <w:bottom w:val="none" w:sz="0" w:space="0" w:color="auto"/>
        <w:right w:val="none" w:sz="0" w:space="0" w:color="auto"/>
      </w:divBdr>
    </w:div>
    <w:div w:id="1184440189">
      <w:bodyDiv w:val="1"/>
      <w:marLeft w:val="0"/>
      <w:marRight w:val="0"/>
      <w:marTop w:val="0"/>
      <w:marBottom w:val="0"/>
      <w:divBdr>
        <w:top w:val="none" w:sz="0" w:space="0" w:color="auto"/>
        <w:left w:val="none" w:sz="0" w:space="0" w:color="auto"/>
        <w:bottom w:val="none" w:sz="0" w:space="0" w:color="auto"/>
        <w:right w:val="none" w:sz="0" w:space="0" w:color="auto"/>
      </w:divBdr>
    </w:div>
    <w:div w:id="1184713605">
      <w:bodyDiv w:val="1"/>
      <w:marLeft w:val="0"/>
      <w:marRight w:val="0"/>
      <w:marTop w:val="0"/>
      <w:marBottom w:val="0"/>
      <w:divBdr>
        <w:top w:val="none" w:sz="0" w:space="0" w:color="auto"/>
        <w:left w:val="none" w:sz="0" w:space="0" w:color="auto"/>
        <w:bottom w:val="none" w:sz="0" w:space="0" w:color="auto"/>
        <w:right w:val="none" w:sz="0" w:space="0" w:color="auto"/>
      </w:divBdr>
    </w:div>
    <w:div w:id="1189903436">
      <w:bodyDiv w:val="1"/>
      <w:marLeft w:val="0"/>
      <w:marRight w:val="0"/>
      <w:marTop w:val="0"/>
      <w:marBottom w:val="0"/>
      <w:divBdr>
        <w:top w:val="none" w:sz="0" w:space="0" w:color="auto"/>
        <w:left w:val="none" w:sz="0" w:space="0" w:color="auto"/>
        <w:bottom w:val="none" w:sz="0" w:space="0" w:color="auto"/>
        <w:right w:val="none" w:sz="0" w:space="0" w:color="auto"/>
      </w:divBdr>
    </w:div>
    <w:div w:id="1193609889">
      <w:bodyDiv w:val="1"/>
      <w:marLeft w:val="0"/>
      <w:marRight w:val="0"/>
      <w:marTop w:val="0"/>
      <w:marBottom w:val="0"/>
      <w:divBdr>
        <w:top w:val="none" w:sz="0" w:space="0" w:color="auto"/>
        <w:left w:val="none" w:sz="0" w:space="0" w:color="auto"/>
        <w:bottom w:val="none" w:sz="0" w:space="0" w:color="auto"/>
        <w:right w:val="none" w:sz="0" w:space="0" w:color="auto"/>
      </w:divBdr>
    </w:div>
    <w:div w:id="1204710188">
      <w:bodyDiv w:val="1"/>
      <w:marLeft w:val="0"/>
      <w:marRight w:val="0"/>
      <w:marTop w:val="0"/>
      <w:marBottom w:val="0"/>
      <w:divBdr>
        <w:top w:val="none" w:sz="0" w:space="0" w:color="auto"/>
        <w:left w:val="none" w:sz="0" w:space="0" w:color="auto"/>
        <w:bottom w:val="none" w:sz="0" w:space="0" w:color="auto"/>
        <w:right w:val="none" w:sz="0" w:space="0" w:color="auto"/>
      </w:divBdr>
    </w:div>
    <w:div w:id="1206983556">
      <w:bodyDiv w:val="1"/>
      <w:marLeft w:val="0"/>
      <w:marRight w:val="0"/>
      <w:marTop w:val="0"/>
      <w:marBottom w:val="0"/>
      <w:divBdr>
        <w:top w:val="none" w:sz="0" w:space="0" w:color="auto"/>
        <w:left w:val="none" w:sz="0" w:space="0" w:color="auto"/>
        <w:bottom w:val="none" w:sz="0" w:space="0" w:color="auto"/>
        <w:right w:val="none" w:sz="0" w:space="0" w:color="auto"/>
      </w:divBdr>
    </w:div>
    <w:div w:id="1207378273">
      <w:bodyDiv w:val="1"/>
      <w:marLeft w:val="0"/>
      <w:marRight w:val="0"/>
      <w:marTop w:val="0"/>
      <w:marBottom w:val="0"/>
      <w:divBdr>
        <w:top w:val="none" w:sz="0" w:space="0" w:color="auto"/>
        <w:left w:val="none" w:sz="0" w:space="0" w:color="auto"/>
        <w:bottom w:val="none" w:sz="0" w:space="0" w:color="auto"/>
        <w:right w:val="none" w:sz="0" w:space="0" w:color="auto"/>
      </w:divBdr>
    </w:div>
    <w:div w:id="1209684191">
      <w:bodyDiv w:val="1"/>
      <w:marLeft w:val="0"/>
      <w:marRight w:val="0"/>
      <w:marTop w:val="0"/>
      <w:marBottom w:val="0"/>
      <w:divBdr>
        <w:top w:val="none" w:sz="0" w:space="0" w:color="auto"/>
        <w:left w:val="none" w:sz="0" w:space="0" w:color="auto"/>
        <w:bottom w:val="none" w:sz="0" w:space="0" w:color="auto"/>
        <w:right w:val="none" w:sz="0" w:space="0" w:color="auto"/>
      </w:divBdr>
    </w:div>
    <w:div w:id="1211072273">
      <w:bodyDiv w:val="1"/>
      <w:marLeft w:val="0"/>
      <w:marRight w:val="0"/>
      <w:marTop w:val="0"/>
      <w:marBottom w:val="0"/>
      <w:divBdr>
        <w:top w:val="none" w:sz="0" w:space="0" w:color="auto"/>
        <w:left w:val="none" w:sz="0" w:space="0" w:color="auto"/>
        <w:bottom w:val="none" w:sz="0" w:space="0" w:color="auto"/>
        <w:right w:val="none" w:sz="0" w:space="0" w:color="auto"/>
      </w:divBdr>
    </w:div>
    <w:div w:id="1215387713">
      <w:bodyDiv w:val="1"/>
      <w:marLeft w:val="0"/>
      <w:marRight w:val="0"/>
      <w:marTop w:val="0"/>
      <w:marBottom w:val="0"/>
      <w:divBdr>
        <w:top w:val="none" w:sz="0" w:space="0" w:color="auto"/>
        <w:left w:val="none" w:sz="0" w:space="0" w:color="auto"/>
        <w:bottom w:val="none" w:sz="0" w:space="0" w:color="auto"/>
        <w:right w:val="none" w:sz="0" w:space="0" w:color="auto"/>
      </w:divBdr>
    </w:div>
    <w:div w:id="1222981809">
      <w:bodyDiv w:val="1"/>
      <w:marLeft w:val="0"/>
      <w:marRight w:val="0"/>
      <w:marTop w:val="0"/>
      <w:marBottom w:val="0"/>
      <w:divBdr>
        <w:top w:val="none" w:sz="0" w:space="0" w:color="auto"/>
        <w:left w:val="none" w:sz="0" w:space="0" w:color="auto"/>
        <w:bottom w:val="none" w:sz="0" w:space="0" w:color="auto"/>
        <w:right w:val="none" w:sz="0" w:space="0" w:color="auto"/>
      </w:divBdr>
    </w:div>
    <w:div w:id="1227567823">
      <w:bodyDiv w:val="1"/>
      <w:marLeft w:val="0"/>
      <w:marRight w:val="0"/>
      <w:marTop w:val="0"/>
      <w:marBottom w:val="0"/>
      <w:divBdr>
        <w:top w:val="none" w:sz="0" w:space="0" w:color="auto"/>
        <w:left w:val="none" w:sz="0" w:space="0" w:color="auto"/>
        <w:bottom w:val="none" w:sz="0" w:space="0" w:color="auto"/>
        <w:right w:val="none" w:sz="0" w:space="0" w:color="auto"/>
      </w:divBdr>
    </w:div>
    <w:div w:id="1229806400">
      <w:bodyDiv w:val="1"/>
      <w:marLeft w:val="0"/>
      <w:marRight w:val="0"/>
      <w:marTop w:val="0"/>
      <w:marBottom w:val="0"/>
      <w:divBdr>
        <w:top w:val="none" w:sz="0" w:space="0" w:color="auto"/>
        <w:left w:val="none" w:sz="0" w:space="0" w:color="auto"/>
        <w:bottom w:val="none" w:sz="0" w:space="0" w:color="auto"/>
        <w:right w:val="none" w:sz="0" w:space="0" w:color="auto"/>
      </w:divBdr>
    </w:div>
    <w:div w:id="1230920157">
      <w:bodyDiv w:val="1"/>
      <w:marLeft w:val="0"/>
      <w:marRight w:val="0"/>
      <w:marTop w:val="0"/>
      <w:marBottom w:val="0"/>
      <w:divBdr>
        <w:top w:val="none" w:sz="0" w:space="0" w:color="auto"/>
        <w:left w:val="none" w:sz="0" w:space="0" w:color="auto"/>
        <w:bottom w:val="none" w:sz="0" w:space="0" w:color="auto"/>
        <w:right w:val="none" w:sz="0" w:space="0" w:color="auto"/>
      </w:divBdr>
    </w:div>
    <w:div w:id="1233808698">
      <w:bodyDiv w:val="1"/>
      <w:marLeft w:val="0"/>
      <w:marRight w:val="0"/>
      <w:marTop w:val="0"/>
      <w:marBottom w:val="0"/>
      <w:divBdr>
        <w:top w:val="none" w:sz="0" w:space="0" w:color="auto"/>
        <w:left w:val="none" w:sz="0" w:space="0" w:color="auto"/>
        <w:bottom w:val="none" w:sz="0" w:space="0" w:color="auto"/>
        <w:right w:val="none" w:sz="0" w:space="0" w:color="auto"/>
      </w:divBdr>
    </w:div>
    <w:div w:id="1234122742">
      <w:bodyDiv w:val="1"/>
      <w:marLeft w:val="0"/>
      <w:marRight w:val="0"/>
      <w:marTop w:val="0"/>
      <w:marBottom w:val="0"/>
      <w:divBdr>
        <w:top w:val="none" w:sz="0" w:space="0" w:color="auto"/>
        <w:left w:val="none" w:sz="0" w:space="0" w:color="auto"/>
        <w:bottom w:val="none" w:sz="0" w:space="0" w:color="auto"/>
        <w:right w:val="none" w:sz="0" w:space="0" w:color="auto"/>
      </w:divBdr>
    </w:div>
    <w:div w:id="1239092485">
      <w:bodyDiv w:val="1"/>
      <w:marLeft w:val="0"/>
      <w:marRight w:val="0"/>
      <w:marTop w:val="0"/>
      <w:marBottom w:val="0"/>
      <w:divBdr>
        <w:top w:val="none" w:sz="0" w:space="0" w:color="auto"/>
        <w:left w:val="none" w:sz="0" w:space="0" w:color="auto"/>
        <w:bottom w:val="none" w:sz="0" w:space="0" w:color="auto"/>
        <w:right w:val="none" w:sz="0" w:space="0" w:color="auto"/>
      </w:divBdr>
    </w:div>
    <w:div w:id="1239637857">
      <w:bodyDiv w:val="1"/>
      <w:marLeft w:val="0"/>
      <w:marRight w:val="0"/>
      <w:marTop w:val="0"/>
      <w:marBottom w:val="0"/>
      <w:divBdr>
        <w:top w:val="none" w:sz="0" w:space="0" w:color="auto"/>
        <w:left w:val="none" w:sz="0" w:space="0" w:color="auto"/>
        <w:bottom w:val="none" w:sz="0" w:space="0" w:color="auto"/>
        <w:right w:val="none" w:sz="0" w:space="0" w:color="auto"/>
      </w:divBdr>
    </w:div>
    <w:div w:id="1243874440">
      <w:bodyDiv w:val="1"/>
      <w:marLeft w:val="0"/>
      <w:marRight w:val="0"/>
      <w:marTop w:val="0"/>
      <w:marBottom w:val="0"/>
      <w:divBdr>
        <w:top w:val="none" w:sz="0" w:space="0" w:color="auto"/>
        <w:left w:val="none" w:sz="0" w:space="0" w:color="auto"/>
        <w:bottom w:val="none" w:sz="0" w:space="0" w:color="auto"/>
        <w:right w:val="none" w:sz="0" w:space="0" w:color="auto"/>
      </w:divBdr>
    </w:div>
    <w:div w:id="1246766438">
      <w:bodyDiv w:val="1"/>
      <w:marLeft w:val="0"/>
      <w:marRight w:val="0"/>
      <w:marTop w:val="0"/>
      <w:marBottom w:val="0"/>
      <w:divBdr>
        <w:top w:val="none" w:sz="0" w:space="0" w:color="auto"/>
        <w:left w:val="none" w:sz="0" w:space="0" w:color="auto"/>
        <w:bottom w:val="none" w:sz="0" w:space="0" w:color="auto"/>
        <w:right w:val="none" w:sz="0" w:space="0" w:color="auto"/>
      </w:divBdr>
    </w:div>
    <w:div w:id="1248885063">
      <w:bodyDiv w:val="1"/>
      <w:marLeft w:val="0"/>
      <w:marRight w:val="0"/>
      <w:marTop w:val="0"/>
      <w:marBottom w:val="0"/>
      <w:divBdr>
        <w:top w:val="none" w:sz="0" w:space="0" w:color="auto"/>
        <w:left w:val="none" w:sz="0" w:space="0" w:color="auto"/>
        <w:bottom w:val="none" w:sz="0" w:space="0" w:color="auto"/>
        <w:right w:val="none" w:sz="0" w:space="0" w:color="auto"/>
      </w:divBdr>
    </w:div>
    <w:div w:id="1262567234">
      <w:bodyDiv w:val="1"/>
      <w:marLeft w:val="0"/>
      <w:marRight w:val="0"/>
      <w:marTop w:val="0"/>
      <w:marBottom w:val="0"/>
      <w:divBdr>
        <w:top w:val="none" w:sz="0" w:space="0" w:color="auto"/>
        <w:left w:val="none" w:sz="0" w:space="0" w:color="auto"/>
        <w:bottom w:val="none" w:sz="0" w:space="0" w:color="auto"/>
        <w:right w:val="none" w:sz="0" w:space="0" w:color="auto"/>
      </w:divBdr>
    </w:div>
    <w:div w:id="1268080386">
      <w:bodyDiv w:val="1"/>
      <w:marLeft w:val="0"/>
      <w:marRight w:val="0"/>
      <w:marTop w:val="0"/>
      <w:marBottom w:val="0"/>
      <w:divBdr>
        <w:top w:val="none" w:sz="0" w:space="0" w:color="auto"/>
        <w:left w:val="none" w:sz="0" w:space="0" w:color="auto"/>
        <w:bottom w:val="none" w:sz="0" w:space="0" w:color="auto"/>
        <w:right w:val="none" w:sz="0" w:space="0" w:color="auto"/>
      </w:divBdr>
    </w:div>
    <w:div w:id="1269972276">
      <w:bodyDiv w:val="1"/>
      <w:marLeft w:val="0"/>
      <w:marRight w:val="0"/>
      <w:marTop w:val="0"/>
      <w:marBottom w:val="0"/>
      <w:divBdr>
        <w:top w:val="none" w:sz="0" w:space="0" w:color="auto"/>
        <w:left w:val="none" w:sz="0" w:space="0" w:color="auto"/>
        <w:bottom w:val="none" w:sz="0" w:space="0" w:color="auto"/>
        <w:right w:val="none" w:sz="0" w:space="0" w:color="auto"/>
      </w:divBdr>
    </w:div>
    <w:div w:id="1277759275">
      <w:bodyDiv w:val="1"/>
      <w:marLeft w:val="0"/>
      <w:marRight w:val="0"/>
      <w:marTop w:val="0"/>
      <w:marBottom w:val="0"/>
      <w:divBdr>
        <w:top w:val="none" w:sz="0" w:space="0" w:color="auto"/>
        <w:left w:val="none" w:sz="0" w:space="0" w:color="auto"/>
        <w:bottom w:val="none" w:sz="0" w:space="0" w:color="auto"/>
        <w:right w:val="none" w:sz="0" w:space="0" w:color="auto"/>
      </w:divBdr>
    </w:div>
    <w:div w:id="1278953836">
      <w:bodyDiv w:val="1"/>
      <w:marLeft w:val="0"/>
      <w:marRight w:val="0"/>
      <w:marTop w:val="0"/>
      <w:marBottom w:val="0"/>
      <w:divBdr>
        <w:top w:val="none" w:sz="0" w:space="0" w:color="auto"/>
        <w:left w:val="none" w:sz="0" w:space="0" w:color="auto"/>
        <w:bottom w:val="none" w:sz="0" w:space="0" w:color="auto"/>
        <w:right w:val="none" w:sz="0" w:space="0" w:color="auto"/>
      </w:divBdr>
    </w:div>
    <w:div w:id="1282878628">
      <w:bodyDiv w:val="1"/>
      <w:marLeft w:val="0"/>
      <w:marRight w:val="0"/>
      <w:marTop w:val="0"/>
      <w:marBottom w:val="0"/>
      <w:divBdr>
        <w:top w:val="none" w:sz="0" w:space="0" w:color="auto"/>
        <w:left w:val="none" w:sz="0" w:space="0" w:color="auto"/>
        <w:bottom w:val="none" w:sz="0" w:space="0" w:color="auto"/>
        <w:right w:val="none" w:sz="0" w:space="0" w:color="auto"/>
      </w:divBdr>
    </w:div>
    <w:div w:id="1284849203">
      <w:bodyDiv w:val="1"/>
      <w:marLeft w:val="0"/>
      <w:marRight w:val="0"/>
      <w:marTop w:val="0"/>
      <w:marBottom w:val="0"/>
      <w:divBdr>
        <w:top w:val="none" w:sz="0" w:space="0" w:color="auto"/>
        <w:left w:val="none" w:sz="0" w:space="0" w:color="auto"/>
        <w:bottom w:val="none" w:sz="0" w:space="0" w:color="auto"/>
        <w:right w:val="none" w:sz="0" w:space="0" w:color="auto"/>
      </w:divBdr>
    </w:div>
    <w:div w:id="1290016913">
      <w:bodyDiv w:val="1"/>
      <w:marLeft w:val="0"/>
      <w:marRight w:val="0"/>
      <w:marTop w:val="0"/>
      <w:marBottom w:val="0"/>
      <w:divBdr>
        <w:top w:val="none" w:sz="0" w:space="0" w:color="auto"/>
        <w:left w:val="none" w:sz="0" w:space="0" w:color="auto"/>
        <w:bottom w:val="none" w:sz="0" w:space="0" w:color="auto"/>
        <w:right w:val="none" w:sz="0" w:space="0" w:color="auto"/>
      </w:divBdr>
    </w:div>
    <w:div w:id="1291596657">
      <w:bodyDiv w:val="1"/>
      <w:marLeft w:val="0"/>
      <w:marRight w:val="0"/>
      <w:marTop w:val="0"/>
      <w:marBottom w:val="0"/>
      <w:divBdr>
        <w:top w:val="none" w:sz="0" w:space="0" w:color="auto"/>
        <w:left w:val="none" w:sz="0" w:space="0" w:color="auto"/>
        <w:bottom w:val="none" w:sz="0" w:space="0" w:color="auto"/>
        <w:right w:val="none" w:sz="0" w:space="0" w:color="auto"/>
      </w:divBdr>
    </w:div>
    <w:div w:id="1296132413">
      <w:bodyDiv w:val="1"/>
      <w:marLeft w:val="0"/>
      <w:marRight w:val="0"/>
      <w:marTop w:val="0"/>
      <w:marBottom w:val="0"/>
      <w:divBdr>
        <w:top w:val="none" w:sz="0" w:space="0" w:color="auto"/>
        <w:left w:val="none" w:sz="0" w:space="0" w:color="auto"/>
        <w:bottom w:val="none" w:sz="0" w:space="0" w:color="auto"/>
        <w:right w:val="none" w:sz="0" w:space="0" w:color="auto"/>
      </w:divBdr>
    </w:div>
    <w:div w:id="1297948220">
      <w:bodyDiv w:val="1"/>
      <w:marLeft w:val="0"/>
      <w:marRight w:val="0"/>
      <w:marTop w:val="0"/>
      <w:marBottom w:val="0"/>
      <w:divBdr>
        <w:top w:val="none" w:sz="0" w:space="0" w:color="auto"/>
        <w:left w:val="none" w:sz="0" w:space="0" w:color="auto"/>
        <w:bottom w:val="none" w:sz="0" w:space="0" w:color="auto"/>
        <w:right w:val="none" w:sz="0" w:space="0" w:color="auto"/>
      </w:divBdr>
    </w:div>
    <w:div w:id="1300384193">
      <w:bodyDiv w:val="1"/>
      <w:marLeft w:val="0"/>
      <w:marRight w:val="0"/>
      <w:marTop w:val="0"/>
      <w:marBottom w:val="0"/>
      <w:divBdr>
        <w:top w:val="none" w:sz="0" w:space="0" w:color="auto"/>
        <w:left w:val="none" w:sz="0" w:space="0" w:color="auto"/>
        <w:bottom w:val="none" w:sz="0" w:space="0" w:color="auto"/>
        <w:right w:val="none" w:sz="0" w:space="0" w:color="auto"/>
      </w:divBdr>
    </w:div>
    <w:div w:id="1314068412">
      <w:bodyDiv w:val="1"/>
      <w:marLeft w:val="0"/>
      <w:marRight w:val="0"/>
      <w:marTop w:val="0"/>
      <w:marBottom w:val="0"/>
      <w:divBdr>
        <w:top w:val="none" w:sz="0" w:space="0" w:color="auto"/>
        <w:left w:val="none" w:sz="0" w:space="0" w:color="auto"/>
        <w:bottom w:val="none" w:sz="0" w:space="0" w:color="auto"/>
        <w:right w:val="none" w:sz="0" w:space="0" w:color="auto"/>
      </w:divBdr>
    </w:div>
    <w:div w:id="1329357885">
      <w:bodyDiv w:val="1"/>
      <w:marLeft w:val="0"/>
      <w:marRight w:val="0"/>
      <w:marTop w:val="0"/>
      <w:marBottom w:val="0"/>
      <w:divBdr>
        <w:top w:val="none" w:sz="0" w:space="0" w:color="auto"/>
        <w:left w:val="none" w:sz="0" w:space="0" w:color="auto"/>
        <w:bottom w:val="none" w:sz="0" w:space="0" w:color="auto"/>
        <w:right w:val="none" w:sz="0" w:space="0" w:color="auto"/>
      </w:divBdr>
    </w:div>
    <w:div w:id="1330672503">
      <w:bodyDiv w:val="1"/>
      <w:marLeft w:val="0"/>
      <w:marRight w:val="0"/>
      <w:marTop w:val="0"/>
      <w:marBottom w:val="0"/>
      <w:divBdr>
        <w:top w:val="none" w:sz="0" w:space="0" w:color="auto"/>
        <w:left w:val="none" w:sz="0" w:space="0" w:color="auto"/>
        <w:bottom w:val="none" w:sz="0" w:space="0" w:color="auto"/>
        <w:right w:val="none" w:sz="0" w:space="0" w:color="auto"/>
      </w:divBdr>
    </w:div>
    <w:div w:id="1332367436">
      <w:bodyDiv w:val="1"/>
      <w:marLeft w:val="0"/>
      <w:marRight w:val="0"/>
      <w:marTop w:val="0"/>
      <w:marBottom w:val="0"/>
      <w:divBdr>
        <w:top w:val="none" w:sz="0" w:space="0" w:color="auto"/>
        <w:left w:val="none" w:sz="0" w:space="0" w:color="auto"/>
        <w:bottom w:val="none" w:sz="0" w:space="0" w:color="auto"/>
        <w:right w:val="none" w:sz="0" w:space="0" w:color="auto"/>
      </w:divBdr>
    </w:div>
    <w:div w:id="1332683859">
      <w:bodyDiv w:val="1"/>
      <w:marLeft w:val="0"/>
      <w:marRight w:val="0"/>
      <w:marTop w:val="0"/>
      <w:marBottom w:val="0"/>
      <w:divBdr>
        <w:top w:val="none" w:sz="0" w:space="0" w:color="auto"/>
        <w:left w:val="none" w:sz="0" w:space="0" w:color="auto"/>
        <w:bottom w:val="none" w:sz="0" w:space="0" w:color="auto"/>
        <w:right w:val="none" w:sz="0" w:space="0" w:color="auto"/>
      </w:divBdr>
    </w:div>
    <w:div w:id="1333290219">
      <w:bodyDiv w:val="1"/>
      <w:marLeft w:val="0"/>
      <w:marRight w:val="0"/>
      <w:marTop w:val="0"/>
      <w:marBottom w:val="0"/>
      <w:divBdr>
        <w:top w:val="none" w:sz="0" w:space="0" w:color="auto"/>
        <w:left w:val="none" w:sz="0" w:space="0" w:color="auto"/>
        <w:bottom w:val="none" w:sz="0" w:space="0" w:color="auto"/>
        <w:right w:val="none" w:sz="0" w:space="0" w:color="auto"/>
      </w:divBdr>
    </w:div>
    <w:div w:id="1335718866">
      <w:bodyDiv w:val="1"/>
      <w:marLeft w:val="0"/>
      <w:marRight w:val="0"/>
      <w:marTop w:val="0"/>
      <w:marBottom w:val="0"/>
      <w:divBdr>
        <w:top w:val="none" w:sz="0" w:space="0" w:color="auto"/>
        <w:left w:val="none" w:sz="0" w:space="0" w:color="auto"/>
        <w:bottom w:val="none" w:sz="0" w:space="0" w:color="auto"/>
        <w:right w:val="none" w:sz="0" w:space="0" w:color="auto"/>
      </w:divBdr>
    </w:div>
    <w:div w:id="1344937177">
      <w:bodyDiv w:val="1"/>
      <w:marLeft w:val="0"/>
      <w:marRight w:val="0"/>
      <w:marTop w:val="0"/>
      <w:marBottom w:val="0"/>
      <w:divBdr>
        <w:top w:val="none" w:sz="0" w:space="0" w:color="auto"/>
        <w:left w:val="none" w:sz="0" w:space="0" w:color="auto"/>
        <w:bottom w:val="none" w:sz="0" w:space="0" w:color="auto"/>
        <w:right w:val="none" w:sz="0" w:space="0" w:color="auto"/>
      </w:divBdr>
    </w:div>
    <w:div w:id="1349141005">
      <w:bodyDiv w:val="1"/>
      <w:marLeft w:val="0"/>
      <w:marRight w:val="0"/>
      <w:marTop w:val="0"/>
      <w:marBottom w:val="0"/>
      <w:divBdr>
        <w:top w:val="none" w:sz="0" w:space="0" w:color="auto"/>
        <w:left w:val="none" w:sz="0" w:space="0" w:color="auto"/>
        <w:bottom w:val="none" w:sz="0" w:space="0" w:color="auto"/>
        <w:right w:val="none" w:sz="0" w:space="0" w:color="auto"/>
      </w:divBdr>
    </w:div>
    <w:div w:id="1351641264">
      <w:bodyDiv w:val="1"/>
      <w:marLeft w:val="0"/>
      <w:marRight w:val="0"/>
      <w:marTop w:val="0"/>
      <w:marBottom w:val="0"/>
      <w:divBdr>
        <w:top w:val="none" w:sz="0" w:space="0" w:color="auto"/>
        <w:left w:val="none" w:sz="0" w:space="0" w:color="auto"/>
        <w:bottom w:val="none" w:sz="0" w:space="0" w:color="auto"/>
        <w:right w:val="none" w:sz="0" w:space="0" w:color="auto"/>
      </w:divBdr>
    </w:div>
    <w:div w:id="1351877535">
      <w:bodyDiv w:val="1"/>
      <w:marLeft w:val="0"/>
      <w:marRight w:val="0"/>
      <w:marTop w:val="0"/>
      <w:marBottom w:val="0"/>
      <w:divBdr>
        <w:top w:val="none" w:sz="0" w:space="0" w:color="auto"/>
        <w:left w:val="none" w:sz="0" w:space="0" w:color="auto"/>
        <w:bottom w:val="none" w:sz="0" w:space="0" w:color="auto"/>
        <w:right w:val="none" w:sz="0" w:space="0" w:color="auto"/>
      </w:divBdr>
    </w:div>
    <w:div w:id="1352802643">
      <w:bodyDiv w:val="1"/>
      <w:marLeft w:val="0"/>
      <w:marRight w:val="0"/>
      <w:marTop w:val="0"/>
      <w:marBottom w:val="0"/>
      <w:divBdr>
        <w:top w:val="none" w:sz="0" w:space="0" w:color="auto"/>
        <w:left w:val="none" w:sz="0" w:space="0" w:color="auto"/>
        <w:bottom w:val="none" w:sz="0" w:space="0" w:color="auto"/>
        <w:right w:val="none" w:sz="0" w:space="0" w:color="auto"/>
      </w:divBdr>
    </w:div>
    <w:div w:id="1355880207">
      <w:bodyDiv w:val="1"/>
      <w:marLeft w:val="0"/>
      <w:marRight w:val="0"/>
      <w:marTop w:val="0"/>
      <w:marBottom w:val="0"/>
      <w:divBdr>
        <w:top w:val="none" w:sz="0" w:space="0" w:color="auto"/>
        <w:left w:val="none" w:sz="0" w:space="0" w:color="auto"/>
        <w:bottom w:val="none" w:sz="0" w:space="0" w:color="auto"/>
        <w:right w:val="none" w:sz="0" w:space="0" w:color="auto"/>
      </w:divBdr>
    </w:div>
    <w:div w:id="1355963385">
      <w:bodyDiv w:val="1"/>
      <w:marLeft w:val="0"/>
      <w:marRight w:val="0"/>
      <w:marTop w:val="0"/>
      <w:marBottom w:val="0"/>
      <w:divBdr>
        <w:top w:val="none" w:sz="0" w:space="0" w:color="auto"/>
        <w:left w:val="none" w:sz="0" w:space="0" w:color="auto"/>
        <w:bottom w:val="none" w:sz="0" w:space="0" w:color="auto"/>
        <w:right w:val="none" w:sz="0" w:space="0" w:color="auto"/>
      </w:divBdr>
    </w:div>
    <w:div w:id="1360354312">
      <w:bodyDiv w:val="1"/>
      <w:marLeft w:val="0"/>
      <w:marRight w:val="0"/>
      <w:marTop w:val="0"/>
      <w:marBottom w:val="0"/>
      <w:divBdr>
        <w:top w:val="none" w:sz="0" w:space="0" w:color="auto"/>
        <w:left w:val="none" w:sz="0" w:space="0" w:color="auto"/>
        <w:bottom w:val="none" w:sz="0" w:space="0" w:color="auto"/>
        <w:right w:val="none" w:sz="0" w:space="0" w:color="auto"/>
      </w:divBdr>
    </w:div>
    <w:div w:id="1360425877">
      <w:bodyDiv w:val="1"/>
      <w:marLeft w:val="0"/>
      <w:marRight w:val="0"/>
      <w:marTop w:val="0"/>
      <w:marBottom w:val="0"/>
      <w:divBdr>
        <w:top w:val="none" w:sz="0" w:space="0" w:color="auto"/>
        <w:left w:val="none" w:sz="0" w:space="0" w:color="auto"/>
        <w:bottom w:val="none" w:sz="0" w:space="0" w:color="auto"/>
        <w:right w:val="none" w:sz="0" w:space="0" w:color="auto"/>
      </w:divBdr>
    </w:div>
    <w:div w:id="1370882455">
      <w:bodyDiv w:val="1"/>
      <w:marLeft w:val="0"/>
      <w:marRight w:val="0"/>
      <w:marTop w:val="0"/>
      <w:marBottom w:val="0"/>
      <w:divBdr>
        <w:top w:val="none" w:sz="0" w:space="0" w:color="auto"/>
        <w:left w:val="none" w:sz="0" w:space="0" w:color="auto"/>
        <w:bottom w:val="none" w:sz="0" w:space="0" w:color="auto"/>
        <w:right w:val="none" w:sz="0" w:space="0" w:color="auto"/>
      </w:divBdr>
    </w:div>
    <w:div w:id="1373918335">
      <w:bodyDiv w:val="1"/>
      <w:marLeft w:val="0"/>
      <w:marRight w:val="0"/>
      <w:marTop w:val="0"/>
      <w:marBottom w:val="0"/>
      <w:divBdr>
        <w:top w:val="none" w:sz="0" w:space="0" w:color="auto"/>
        <w:left w:val="none" w:sz="0" w:space="0" w:color="auto"/>
        <w:bottom w:val="none" w:sz="0" w:space="0" w:color="auto"/>
        <w:right w:val="none" w:sz="0" w:space="0" w:color="auto"/>
      </w:divBdr>
    </w:div>
    <w:div w:id="1375884736">
      <w:bodyDiv w:val="1"/>
      <w:marLeft w:val="0"/>
      <w:marRight w:val="0"/>
      <w:marTop w:val="0"/>
      <w:marBottom w:val="0"/>
      <w:divBdr>
        <w:top w:val="none" w:sz="0" w:space="0" w:color="auto"/>
        <w:left w:val="none" w:sz="0" w:space="0" w:color="auto"/>
        <w:bottom w:val="none" w:sz="0" w:space="0" w:color="auto"/>
        <w:right w:val="none" w:sz="0" w:space="0" w:color="auto"/>
      </w:divBdr>
    </w:div>
    <w:div w:id="1378551236">
      <w:bodyDiv w:val="1"/>
      <w:marLeft w:val="0"/>
      <w:marRight w:val="0"/>
      <w:marTop w:val="0"/>
      <w:marBottom w:val="0"/>
      <w:divBdr>
        <w:top w:val="none" w:sz="0" w:space="0" w:color="auto"/>
        <w:left w:val="none" w:sz="0" w:space="0" w:color="auto"/>
        <w:bottom w:val="none" w:sz="0" w:space="0" w:color="auto"/>
        <w:right w:val="none" w:sz="0" w:space="0" w:color="auto"/>
      </w:divBdr>
    </w:div>
    <w:div w:id="1380279188">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401832901">
      <w:bodyDiv w:val="1"/>
      <w:marLeft w:val="0"/>
      <w:marRight w:val="0"/>
      <w:marTop w:val="0"/>
      <w:marBottom w:val="0"/>
      <w:divBdr>
        <w:top w:val="none" w:sz="0" w:space="0" w:color="auto"/>
        <w:left w:val="none" w:sz="0" w:space="0" w:color="auto"/>
        <w:bottom w:val="none" w:sz="0" w:space="0" w:color="auto"/>
        <w:right w:val="none" w:sz="0" w:space="0" w:color="auto"/>
      </w:divBdr>
    </w:div>
    <w:div w:id="1402943882">
      <w:bodyDiv w:val="1"/>
      <w:marLeft w:val="0"/>
      <w:marRight w:val="0"/>
      <w:marTop w:val="0"/>
      <w:marBottom w:val="0"/>
      <w:divBdr>
        <w:top w:val="none" w:sz="0" w:space="0" w:color="auto"/>
        <w:left w:val="none" w:sz="0" w:space="0" w:color="auto"/>
        <w:bottom w:val="none" w:sz="0" w:space="0" w:color="auto"/>
        <w:right w:val="none" w:sz="0" w:space="0" w:color="auto"/>
      </w:divBdr>
    </w:div>
    <w:div w:id="1409768132">
      <w:bodyDiv w:val="1"/>
      <w:marLeft w:val="0"/>
      <w:marRight w:val="0"/>
      <w:marTop w:val="0"/>
      <w:marBottom w:val="0"/>
      <w:divBdr>
        <w:top w:val="none" w:sz="0" w:space="0" w:color="auto"/>
        <w:left w:val="none" w:sz="0" w:space="0" w:color="auto"/>
        <w:bottom w:val="none" w:sz="0" w:space="0" w:color="auto"/>
        <w:right w:val="none" w:sz="0" w:space="0" w:color="auto"/>
      </w:divBdr>
    </w:div>
    <w:div w:id="1411002195">
      <w:bodyDiv w:val="1"/>
      <w:marLeft w:val="0"/>
      <w:marRight w:val="0"/>
      <w:marTop w:val="0"/>
      <w:marBottom w:val="0"/>
      <w:divBdr>
        <w:top w:val="none" w:sz="0" w:space="0" w:color="auto"/>
        <w:left w:val="none" w:sz="0" w:space="0" w:color="auto"/>
        <w:bottom w:val="none" w:sz="0" w:space="0" w:color="auto"/>
        <w:right w:val="none" w:sz="0" w:space="0" w:color="auto"/>
      </w:divBdr>
    </w:div>
    <w:div w:id="1414158901">
      <w:bodyDiv w:val="1"/>
      <w:marLeft w:val="0"/>
      <w:marRight w:val="0"/>
      <w:marTop w:val="0"/>
      <w:marBottom w:val="0"/>
      <w:divBdr>
        <w:top w:val="none" w:sz="0" w:space="0" w:color="auto"/>
        <w:left w:val="none" w:sz="0" w:space="0" w:color="auto"/>
        <w:bottom w:val="none" w:sz="0" w:space="0" w:color="auto"/>
        <w:right w:val="none" w:sz="0" w:space="0" w:color="auto"/>
      </w:divBdr>
    </w:div>
    <w:div w:id="1414164255">
      <w:bodyDiv w:val="1"/>
      <w:marLeft w:val="0"/>
      <w:marRight w:val="0"/>
      <w:marTop w:val="0"/>
      <w:marBottom w:val="0"/>
      <w:divBdr>
        <w:top w:val="none" w:sz="0" w:space="0" w:color="auto"/>
        <w:left w:val="none" w:sz="0" w:space="0" w:color="auto"/>
        <w:bottom w:val="none" w:sz="0" w:space="0" w:color="auto"/>
        <w:right w:val="none" w:sz="0" w:space="0" w:color="auto"/>
      </w:divBdr>
    </w:div>
    <w:div w:id="1417484780">
      <w:bodyDiv w:val="1"/>
      <w:marLeft w:val="0"/>
      <w:marRight w:val="0"/>
      <w:marTop w:val="0"/>
      <w:marBottom w:val="0"/>
      <w:divBdr>
        <w:top w:val="none" w:sz="0" w:space="0" w:color="auto"/>
        <w:left w:val="none" w:sz="0" w:space="0" w:color="auto"/>
        <w:bottom w:val="none" w:sz="0" w:space="0" w:color="auto"/>
        <w:right w:val="none" w:sz="0" w:space="0" w:color="auto"/>
      </w:divBdr>
    </w:div>
    <w:div w:id="1425801236">
      <w:bodyDiv w:val="1"/>
      <w:marLeft w:val="0"/>
      <w:marRight w:val="0"/>
      <w:marTop w:val="0"/>
      <w:marBottom w:val="0"/>
      <w:divBdr>
        <w:top w:val="none" w:sz="0" w:space="0" w:color="auto"/>
        <w:left w:val="none" w:sz="0" w:space="0" w:color="auto"/>
        <w:bottom w:val="none" w:sz="0" w:space="0" w:color="auto"/>
        <w:right w:val="none" w:sz="0" w:space="0" w:color="auto"/>
      </w:divBdr>
    </w:div>
    <w:div w:id="1431119905">
      <w:bodyDiv w:val="1"/>
      <w:marLeft w:val="0"/>
      <w:marRight w:val="0"/>
      <w:marTop w:val="0"/>
      <w:marBottom w:val="0"/>
      <w:divBdr>
        <w:top w:val="none" w:sz="0" w:space="0" w:color="auto"/>
        <w:left w:val="none" w:sz="0" w:space="0" w:color="auto"/>
        <w:bottom w:val="none" w:sz="0" w:space="0" w:color="auto"/>
        <w:right w:val="none" w:sz="0" w:space="0" w:color="auto"/>
      </w:divBdr>
    </w:div>
    <w:div w:id="1431700156">
      <w:bodyDiv w:val="1"/>
      <w:marLeft w:val="0"/>
      <w:marRight w:val="0"/>
      <w:marTop w:val="0"/>
      <w:marBottom w:val="0"/>
      <w:divBdr>
        <w:top w:val="none" w:sz="0" w:space="0" w:color="auto"/>
        <w:left w:val="none" w:sz="0" w:space="0" w:color="auto"/>
        <w:bottom w:val="none" w:sz="0" w:space="0" w:color="auto"/>
        <w:right w:val="none" w:sz="0" w:space="0" w:color="auto"/>
      </w:divBdr>
    </w:div>
    <w:div w:id="1434592932">
      <w:bodyDiv w:val="1"/>
      <w:marLeft w:val="0"/>
      <w:marRight w:val="0"/>
      <w:marTop w:val="0"/>
      <w:marBottom w:val="0"/>
      <w:divBdr>
        <w:top w:val="none" w:sz="0" w:space="0" w:color="auto"/>
        <w:left w:val="none" w:sz="0" w:space="0" w:color="auto"/>
        <w:bottom w:val="none" w:sz="0" w:space="0" w:color="auto"/>
        <w:right w:val="none" w:sz="0" w:space="0" w:color="auto"/>
      </w:divBdr>
    </w:div>
    <w:div w:id="1434743668">
      <w:bodyDiv w:val="1"/>
      <w:marLeft w:val="0"/>
      <w:marRight w:val="0"/>
      <w:marTop w:val="0"/>
      <w:marBottom w:val="0"/>
      <w:divBdr>
        <w:top w:val="none" w:sz="0" w:space="0" w:color="auto"/>
        <w:left w:val="none" w:sz="0" w:space="0" w:color="auto"/>
        <w:bottom w:val="none" w:sz="0" w:space="0" w:color="auto"/>
        <w:right w:val="none" w:sz="0" w:space="0" w:color="auto"/>
      </w:divBdr>
    </w:div>
    <w:div w:id="1435511453">
      <w:bodyDiv w:val="1"/>
      <w:marLeft w:val="0"/>
      <w:marRight w:val="0"/>
      <w:marTop w:val="0"/>
      <w:marBottom w:val="0"/>
      <w:divBdr>
        <w:top w:val="none" w:sz="0" w:space="0" w:color="auto"/>
        <w:left w:val="none" w:sz="0" w:space="0" w:color="auto"/>
        <w:bottom w:val="none" w:sz="0" w:space="0" w:color="auto"/>
        <w:right w:val="none" w:sz="0" w:space="0" w:color="auto"/>
      </w:divBdr>
    </w:div>
    <w:div w:id="1437599161">
      <w:bodyDiv w:val="1"/>
      <w:marLeft w:val="0"/>
      <w:marRight w:val="0"/>
      <w:marTop w:val="0"/>
      <w:marBottom w:val="0"/>
      <w:divBdr>
        <w:top w:val="none" w:sz="0" w:space="0" w:color="auto"/>
        <w:left w:val="none" w:sz="0" w:space="0" w:color="auto"/>
        <w:bottom w:val="none" w:sz="0" w:space="0" w:color="auto"/>
        <w:right w:val="none" w:sz="0" w:space="0" w:color="auto"/>
      </w:divBdr>
    </w:div>
    <w:div w:id="1451120716">
      <w:bodyDiv w:val="1"/>
      <w:marLeft w:val="0"/>
      <w:marRight w:val="0"/>
      <w:marTop w:val="0"/>
      <w:marBottom w:val="0"/>
      <w:divBdr>
        <w:top w:val="none" w:sz="0" w:space="0" w:color="auto"/>
        <w:left w:val="none" w:sz="0" w:space="0" w:color="auto"/>
        <w:bottom w:val="none" w:sz="0" w:space="0" w:color="auto"/>
        <w:right w:val="none" w:sz="0" w:space="0" w:color="auto"/>
      </w:divBdr>
    </w:div>
    <w:div w:id="1456800212">
      <w:bodyDiv w:val="1"/>
      <w:marLeft w:val="0"/>
      <w:marRight w:val="0"/>
      <w:marTop w:val="0"/>
      <w:marBottom w:val="0"/>
      <w:divBdr>
        <w:top w:val="none" w:sz="0" w:space="0" w:color="auto"/>
        <w:left w:val="none" w:sz="0" w:space="0" w:color="auto"/>
        <w:bottom w:val="none" w:sz="0" w:space="0" w:color="auto"/>
        <w:right w:val="none" w:sz="0" w:space="0" w:color="auto"/>
      </w:divBdr>
    </w:div>
    <w:div w:id="1474564925">
      <w:bodyDiv w:val="1"/>
      <w:marLeft w:val="0"/>
      <w:marRight w:val="0"/>
      <w:marTop w:val="0"/>
      <w:marBottom w:val="0"/>
      <w:divBdr>
        <w:top w:val="none" w:sz="0" w:space="0" w:color="auto"/>
        <w:left w:val="none" w:sz="0" w:space="0" w:color="auto"/>
        <w:bottom w:val="none" w:sz="0" w:space="0" w:color="auto"/>
        <w:right w:val="none" w:sz="0" w:space="0" w:color="auto"/>
      </w:divBdr>
    </w:div>
    <w:div w:id="1485050603">
      <w:bodyDiv w:val="1"/>
      <w:marLeft w:val="0"/>
      <w:marRight w:val="0"/>
      <w:marTop w:val="0"/>
      <w:marBottom w:val="0"/>
      <w:divBdr>
        <w:top w:val="none" w:sz="0" w:space="0" w:color="auto"/>
        <w:left w:val="none" w:sz="0" w:space="0" w:color="auto"/>
        <w:bottom w:val="none" w:sz="0" w:space="0" w:color="auto"/>
        <w:right w:val="none" w:sz="0" w:space="0" w:color="auto"/>
      </w:divBdr>
    </w:div>
    <w:div w:id="1490245430">
      <w:bodyDiv w:val="1"/>
      <w:marLeft w:val="0"/>
      <w:marRight w:val="0"/>
      <w:marTop w:val="0"/>
      <w:marBottom w:val="0"/>
      <w:divBdr>
        <w:top w:val="none" w:sz="0" w:space="0" w:color="auto"/>
        <w:left w:val="none" w:sz="0" w:space="0" w:color="auto"/>
        <w:bottom w:val="none" w:sz="0" w:space="0" w:color="auto"/>
        <w:right w:val="none" w:sz="0" w:space="0" w:color="auto"/>
      </w:divBdr>
    </w:div>
    <w:div w:id="1492255259">
      <w:bodyDiv w:val="1"/>
      <w:marLeft w:val="0"/>
      <w:marRight w:val="0"/>
      <w:marTop w:val="0"/>
      <w:marBottom w:val="0"/>
      <w:divBdr>
        <w:top w:val="none" w:sz="0" w:space="0" w:color="auto"/>
        <w:left w:val="none" w:sz="0" w:space="0" w:color="auto"/>
        <w:bottom w:val="none" w:sz="0" w:space="0" w:color="auto"/>
        <w:right w:val="none" w:sz="0" w:space="0" w:color="auto"/>
      </w:divBdr>
    </w:div>
    <w:div w:id="1499492187">
      <w:bodyDiv w:val="1"/>
      <w:marLeft w:val="0"/>
      <w:marRight w:val="0"/>
      <w:marTop w:val="0"/>
      <w:marBottom w:val="0"/>
      <w:divBdr>
        <w:top w:val="none" w:sz="0" w:space="0" w:color="auto"/>
        <w:left w:val="none" w:sz="0" w:space="0" w:color="auto"/>
        <w:bottom w:val="none" w:sz="0" w:space="0" w:color="auto"/>
        <w:right w:val="none" w:sz="0" w:space="0" w:color="auto"/>
      </w:divBdr>
    </w:div>
    <w:div w:id="1505363570">
      <w:bodyDiv w:val="1"/>
      <w:marLeft w:val="0"/>
      <w:marRight w:val="0"/>
      <w:marTop w:val="0"/>
      <w:marBottom w:val="0"/>
      <w:divBdr>
        <w:top w:val="none" w:sz="0" w:space="0" w:color="auto"/>
        <w:left w:val="none" w:sz="0" w:space="0" w:color="auto"/>
        <w:bottom w:val="none" w:sz="0" w:space="0" w:color="auto"/>
        <w:right w:val="none" w:sz="0" w:space="0" w:color="auto"/>
      </w:divBdr>
    </w:div>
    <w:div w:id="1510103017">
      <w:bodyDiv w:val="1"/>
      <w:marLeft w:val="0"/>
      <w:marRight w:val="0"/>
      <w:marTop w:val="0"/>
      <w:marBottom w:val="0"/>
      <w:divBdr>
        <w:top w:val="none" w:sz="0" w:space="0" w:color="auto"/>
        <w:left w:val="none" w:sz="0" w:space="0" w:color="auto"/>
        <w:bottom w:val="none" w:sz="0" w:space="0" w:color="auto"/>
        <w:right w:val="none" w:sz="0" w:space="0" w:color="auto"/>
      </w:divBdr>
    </w:div>
    <w:div w:id="1512140797">
      <w:bodyDiv w:val="1"/>
      <w:marLeft w:val="0"/>
      <w:marRight w:val="0"/>
      <w:marTop w:val="0"/>
      <w:marBottom w:val="0"/>
      <w:divBdr>
        <w:top w:val="none" w:sz="0" w:space="0" w:color="auto"/>
        <w:left w:val="none" w:sz="0" w:space="0" w:color="auto"/>
        <w:bottom w:val="none" w:sz="0" w:space="0" w:color="auto"/>
        <w:right w:val="none" w:sz="0" w:space="0" w:color="auto"/>
      </w:divBdr>
    </w:div>
    <w:div w:id="1518234610">
      <w:bodyDiv w:val="1"/>
      <w:marLeft w:val="0"/>
      <w:marRight w:val="0"/>
      <w:marTop w:val="0"/>
      <w:marBottom w:val="0"/>
      <w:divBdr>
        <w:top w:val="none" w:sz="0" w:space="0" w:color="auto"/>
        <w:left w:val="none" w:sz="0" w:space="0" w:color="auto"/>
        <w:bottom w:val="none" w:sz="0" w:space="0" w:color="auto"/>
        <w:right w:val="none" w:sz="0" w:space="0" w:color="auto"/>
      </w:divBdr>
    </w:div>
    <w:div w:id="1519080608">
      <w:bodyDiv w:val="1"/>
      <w:marLeft w:val="0"/>
      <w:marRight w:val="0"/>
      <w:marTop w:val="0"/>
      <w:marBottom w:val="0"/>
      <w:divBdr>
        <w:top w:val="none" w:sz="0" w:space="0" w:color="auto"/>
        <w:left w:val="none" w:sz="0" w:space="0" w:color="auto"/>
        <w:bottom w:val="none" w:sz="0" w:space="0" w:color="auto"/>
        <w:right w:val="none" w:sz="0" w:space="0" w:color="auto"/>
      </w:divBdr>
    </w:div>
    <w:div w:id="1530147634">
      <w:bodyDiv w:val="1"/>
      <w:marLeft w:val="0"/>
      <w:marRight w:val="0"/>
      <w:marTop w:val="0"/>
      <w:marBottom w:val="0"/>
      <w:divBdr>
        <w:top w:val="none" w:sz="0" w:space="0" w:color="auto"/>
        <w:left w:val="none" w:sz="0" w:space="0" w:color="auto"/>
        <w:bottom w:val="none" w:sz="0" w:space="0" w:color="auto"/>
        <w:right w:val="none" w:sz="0" w:space="0" w:color="auto"/>
      </w:divBdr>
    </w:div>
    <w:div w:id="1532649885">
      <w:bodyDiv w:val="1"/>
      <w:marLeft w:val="0"/>
      <w:marRight w:val="0"/>
      <w:marTop w:val="0"/>
      <w:marBottom w:val="0"/>
      <w:divBdr>
        <w:top w:val="none" w:sz="0" w:space="0" w:color="auto"/>
        <w:left w:val="none" w:sz="0" w:space="0" w:color="auto"/>
        <w:bottom w:val="none" w:sz="0" w:space="0" w:color="auto"/>
        <w:right w:val="none" w:sz="0" w:space="0" w:color="auto"/>
      </w:divBdr>
    </w:div>
    <w:div w:id="1533611422">
      <w:bodyDiv w:val="1"/>
      <w:marLeft w:val="0"/>
      <w:marRight w:val="0"/>
      <w:marTop w:val="0"/>
      <w:marBottom w:val="0"/>
      <w:divBdr>
        <w:top w:val="none" w:sz="0" w:space="0" w:color="auto"/>
        <w:left w:val="none" w:sz="0" w:space="0" w:color="auto"/>
        <w:bottom w:val="none" w:sz="0" w:space="0" w:color="auto"/>
        <w:right w:val="none" w:sz="0" w:space="0" w:color="auto"/>
      </w:divBdr>
    </w:div>
    <w:div w:id="1542093090">
      <w:bodyDiv w:val="1"/>
      <w:marLeft w:val="0"/>
      <w:marRight w:val="0"/>
      <w:marTop w:val="0"/>
      <w:marBottom w:val="0"/>
      <w:divBdr>
        <w:top w:val="none" w:sz="0" w:space="0" w:color="auto"/>
        <w:left w:val="none" w:sz="0" w:space="0" w:color="auto"/>
        <w:bottom w:val="none" w:sz="0" w:space="0" w:color="auto"/>
        <w:right w:val="none" w:sz="0" w:space="0" w:color="auto"/>
      </w:divBdr>
    </w:div>
    <w:div w:id="1542743179">
      <w:bodyDiv w:val="1"/>
      <w:marLeft w:val="0"/>
      <w:marRight w:val="0"/>
      <w:marTop w:val="0"/>
      <w:marBottom w:val="0"/>
      <w:divBdr>
        <w:top w:val="none" w:sz="0" w:space="0" w:color="auto"/>
        <w:left w:val="none" w:sz="0" w:space="0" w:color="auto"/>
        <w:bottom w:val="none" w:sz="0" w:space="0" w:color="auto"/>
        <w:right w:val="none" w:sz="0" w:space="0" w:color="auto"/>
      </w:divBdr>
    </w:div>
    <w:div w:id="1543057352">
      <w:bodyDiv w:val="1"/>
      <w:marLeft w:val="0"/>
      <w:marRight w:val="0"/>
      <w:marTop w:val="0"/>
      <w:marBottom w:val="0"/>
      <w:divBdr>
        <w:top w:val="none" w:sz="0" w:space="0" w:color="auto"/>
        <w:left w:val="none" w:sz="0" w:space="0" w:color="auto"/>
        <w:bottom w:val="none" w:sz="0" w:space="0" w:color="auto"/>
        <w:right w:val="none" w:sz="0" w:space="0" w:color="auto"/>
      </w:divBdr>
    </w:div>
    <w:div w:id="1548570439">
      <w:bodyDiv w:val="1"/>
      <w:marLeft w:val="0"/>
      <w:marRight w:val="0"/>
      <w:marTop w:val="0"/>
      <w:marBottom w:val="0"/>
      <w:divBdr>
        <w:top w:val="none" w:sz="0" w:space="0" w:color="auto"/>
        <w:left w:val="none" w:sz="0" w:space="0" w:color="auto"/>
        <w:bottom w:val="none" w:sz="0" w:space="0" w:color="auto"/>
        <w:right w:val="none" w:sz="0" w:space="0" w:color="auto"/>
      </w:divBdr>
    </w:div>
    <w:div w:id="1552229298">
      <w:bodyDiv w:val="1"/>
      <w:marLeft w:val="0"/>
      <w:marRight w:val="0"/>
      <w:marTop w:val="0"/>
      <w:marBottom w:val="0"/>
      <w:divBdr>
        <w:top w:val="none" w:sz="0" w:space="0" w:color="auto"/>
        <w:left w:val="none" w:sz="0" w:space="0" w:color="auto"/>
        <w:bottom w:val="none" w:sz="0" w:space="0" w:color="auto"/>
        <w:right w:val="none" w:sz="0" w:space="0" w:color="auto"/>
      </w:divBdr>
    </w:div>
    <w:div w:id="1559432984">
      <w:bodyDiv w:val="1"/>
      <w:marLeft w:val="0"/>
      <w:marRight w:val="0"/>
      <w:marTop w:val="0"/>
      <w:marBottom w:val="0"/>
      <w:divBdr>
        <w:top w:val="none" w:sz="0" w:space="0" w:color="auto"/>
        <w:left w:val="none" w:sz="0" w:space="0" w:color="auto"/>
        <w:bottom w:val="none" w:sz="0" w:space="0" w:color="auto"/>
        <w:right w:val="none" w:sz="0" w:space="0" w:color="auto"/>
      </w:divBdr>
    </w:div>
    <w:div w:id="1562868414">
      <w:bodyDiv w:val="1"/>
      <w:marLeft w:val="0"/>
      <w:marRight w:val="0"/>
      <w:marTop w:val="0"/>
      <w:marBottom w:val="0"/>
      <w:divBdr>
        <w:top w:val="none" w:sz="0" w:space="0" w:color="auto"/>
        <w:left w:val="none" w:sz="0" w:space="0" w:color="auto"/>
        <w:bottom w:val="none" w:sz="0" w:space="0" w:color="auto"/>
        <w:right w:val="none" w:sz="0" w:space="0" w:color="auto"/>
      </w:divBdr>
    </w:div>
    <w:div w:id="1564943513">
      <w:bodyDiv w:val="1"/>
      <w:marLeft w:val="0"/>
      <w:marRight w:val="0"/>
      <w:marTop w:val="0"/>
      <w:marBottom w:val="0"/>
      <w:divBdr>
        <w:top w:val="none" w:sz="0" w:space="0" w:color="auto"/>
        <w:left w:val="none" w:sz="0" w:space="0" w:color="auto"/>
        <w:bottom w:val="none" w:sz="0" w:space="0" w:color="auto"/>
        <w:right w:val="none" w:sz="0" w:space="0" w:color="auto"/>
      </w:divBdr>
    </w:div>
    <w:div w:id="1580552442">
      <w:bodyDiv w:val="1"/>
      <w:marLeft w:val="0"/>
      <w:marRight w:val="0"/>
      <w:marTop w:val="0"/>
      <w:marBottom w:val="0"/>
      <w:divBdr>
        <w:top w:val="none" w:sz="0" w:space="0" w:color="auto"/>
        <w:left w:val="none" w:sz="0" w:space="0" w:color="auto"/>
        <w:bottom w:val="none" w:sz="0" w:space="0" w:color="auto"/>
        <w:right w:val="none" w:sz="0" w:space="0" w:color="auto"/>
      </w:divBdr>
    </w:div>
    <w:div w:id="1595941607">
      <w:bodyDiv w:val="1"/>
      <w:marLeft w:val="0"/>
      <w:marRight w:val="0"/>
      <w:marTop w:val="0"/>
      <w:marBottom w:val="0"/>
      <w:divBdr>
        <w:top w:val="none" w:sz="0" w:space="0" w:color="auto"/>
        <w:left w:val="none" w:sz="0" w:space="0" w:color="auto"/>
        <w:bottom w:val="none" w:sz="0" w:space="0" w:color="auto"/>
        <w:right w:val="none" w:sz="0" w:space="0" w:color="auto"/>
      </w:divBdr>
    </w:div>
    <w:div w:id="1603954724">
      <w:bodyDiv w:val="1"/>
      <w:marLeft w:val="0"/>
      <w:marRight w:val="0"/>
      <w:marTop w:val="0"/>
      <w:marBottom w:val="0"/>
      <w:divBdr>
        <w:top w:val="none" w:sz="0" w:space="0" w:color="auto"/>
        <w:left w:val="none" w:sz="0" w:space="0" w:color="auto"/>
        <w:bottom w:val="none" w:sz="0" w:space="0" w:color="auto"/>
        <w:right w:val="none" w:sz="0" w:space="0" w:color="auto"/>
      </w:divBdr>
    </w:div>
    <w:div w:id="1605335161">
      <w:bodyDiv w:val="1"/>
      <w:marLeft w:val="0"/>
      <w:marRight w:val="0"/>
      <w:marTop w:val="0"/>
      <w:marBottom w:val="0"/>
      <w:divBdr>
        <w:top w:val="none" w:sz="0" w:space="0" w:color="auto"/>
        <w:left w:val="none" w:sz="0" w:space="0" w:color="auto"/>
        <w:bottom w:val="none" w:sz="0" w:space="0" w:color="auto"/>
        <w:right w:val="none" w:sz="0" w:space="0" w:color="auto"/>
      </w:divBdr>
    </w:div>
    <w:div w:id="1622951339">
      <w:bodyDiv w:val="1"/>
      <w:marLeft w:val="0"/>
      <w:marRight w:val="0"/>
      <w:marTop w:val="0"/>
      <w:marBottom w:val="0"/>
      <w:divBdr>
        <w:top w:val="none" w:sz="0" w:space="0" w:color="auto"/>
        <w:left w:val="none" w:sz="0" w:space="0" w:color="auto"/>
        <w:bottom w:val="none" w:sz="0" w:space="0" w:color="auto"/>
        <w:right w:val="none" w:sz="0" w:space="0" w:color="auto"/>
      </w:divBdr>
    </w:div>
    <w:div w:id="1631012884">
      <w:bodyDiv w:val="1"/>
      <w:marLeft w:val="0"/>
      <w:marRight w:val="0"/>
      <w:marTop w:val="0"/>
      <w:marBottom w:val="0"/>
      <w:divBdr>
        <w:top w:val="none" w:sz="0" w:space="0" w:color="auto"/>
        <w:left w:val="none" w:sz="0" w:space="0" w:color="auto"/>
        <w:bottom w:val="none" w:sz="0" w:space="0" w:color="auto"/>
        <w:right w:val="none" w:sz="0" w:space="0" w:color="auto"/>
      </w:divBdr>
    </w:div>
    <w:div w:id="1632444177">
      <w:bodyDiv w:val="1"/>
      <w:marLeft w:val="0"/>
      <w:marRight w:val="0"/>
      <w:marTop w:val="0"/>
      <w:marBottom w:val="0"/>
      <w:divBdr>
        <w:top w:val="none" w:sz="0" w:space="0" w:color="auto"/>
        <w:left w:val="none" w:sz="0" w:space="0" w:color="auto"/>
        <w:bottom w:val="none" w:sz="0" w:space="0" w:color="auto"/>
        <w:right w:val="none" w:sz="0" w:space="0" w:color="auto"/>
      </w:divBdr>
    </w:div>
    <w:div w:id="1635330083">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6006235">
      <w:bodyDiv w:val="1"/>
      <w:marLeft w:val="0"/>
      <w:marRight w:val="0"/>
      <w:marTop w:val="0"/>
      <w:marBottom w:val="0"/>
      <w:divBdr>
        <w:top w:val="none" w:sz="0" w:space="0" w:color="auto"/>
        <w:left w:val="none" w:sz="0" w:space="0" w:color="auto"/>
        <w:bottom w:val="none" w:sz="0" w:space="0" w:color="auto"/>
        <w:right w:val="none" w:sz="0" w:space="0" w:color="auto"/>
      </w:divBdr>
    </w:div>
    <w:div w:id="1648822267">
      <w:bodyDiv w:val="1"/>
      <w:marLeft w:val="0"/>
      <w:marRight w:val="0"/>
      <w:marTop w:val="0"/>
      <w:marBottom w:val="0"/>
      <w:divBdr>
        <w:top w:val="none" w:sz="0" w:space="0" w:color="auto"/>
        <w:left w:val="none" w:sz="0" w:space="0" w:color="auto"/>
        <w:bottom w:val="none" w:sz="0" w:space="0" w:color="auto"/>
        <w:right w:val="none" w:sz="0" w:space="0" w:color="auto"/>
      </w:divBdr>
    </w:div>
    <w:div w:id="1649434640">
      <w:bodyDiv w:val="1"/>
      <w:marLeft w:val="0"/>
      <w:marRight w:val="0"/>
      <w:marTop w:val="0"/>
      <w:marBottom w:val="0"/>
      <w:divBdr>
        <w:top w:val="none" w:sz="0" w:space="0" w:color="auto"/>
        <w:left w:val="none" w:sz="0" w:space="0" w:color="auto"/>
        <w:bottom w:val="none" w:sz="0" w:space="0" w:color="auto"/>
        <w:right w:val="none" w:sz="0" w:space="0" w:color="auto"/>
      </w:divBdr>
      <w:divsChild>
        <w:div w:id="83839167">
          <w:marLeft w:val="0"/>
          <w:marRight w:val="0"/>
          <w:marTop w:val="0"/>
          <w:marBottom w:val="0"/>
          <w:divBdr>
            <w:top w:val="none" w:sz="0" w:space="0" w:color="auto"/>
            <w:left w:val="none" w:sz="0" w:space="0" w:color="auto"/>
            <w:bottom w:val="none" w:sz="0" w:space="0" w:color="auto"/>
            <w:right w:val="none" w:sz="0" w:space="0" w:color="auto"/>
          </w:divBdr>
        </w:div>
        <w:div w:id="321080701">
          <w:marLeft w:val="0"/>
          <w:marRight w:val="0"/>
          <w:marTop w:val="0"/>
          <w:marBottom w:val="0"/>
          <w:divBdr>
            <w:top w:val="none" w:sz="0" w:space="0" w:color="auto"/>
            <w:left w:val="none" w:sz="0" w:space="0" w:color="auto"/>
            <w:bottom w:val="none" w:sz="0" w:space="0" w:color="auto"/>
            <w:right w:val="none" w:sz="0" w:space="0" w:color="auto"/>
          </w:divBdr>
        </w:div>
        <w:div w:id="1800567020">
          <w:marLeft w:val="0"/>
          <w:marRight w:val="0"/>
          <w:marTop w:val="0"/>
          <w:marBottom w:val="0"/>
          <w:divBdr>
            <w:top w:val="none" w:sz="0" w:space="0" w:color="auto"/>
            <w:left w:val="none" w:sz="0" w:space="0" w:color="auto"/>
            <w:bottom w:val="none" w:sz="0" w:space="0" w:color="auto"/>
            <w:right w:val="none" w:sz="0" w:space="0" w:color="auto"/>
          </w:divBdr>
        </w:div>
      </w:divsChild>
    </w:div>
    <w:div w:id="1652252672">
      <w:bodyDiv w:val="1"/>
      <w:marLeft w:val="0"/>
      <w:marRight w:val="0"/>
      <w:marTop w:val="0"/>
      <w:marBottom w:val="0"/>
      <w:divBdr>
        <w:top w:val="none" w:sz="0" w:space="0" w:color="auto"/>
        <w:left w:val="none" w:sz="0" w:space="0" w:color="auto"/>
        <w:bottom w:val="none" w:sz="0" w:space="0" w:color="auto"/>
        <w:right w:val="none" w:sz="0" w:space="0" w:color="auto"/>
      </w:divBdr>
    </w:div>
    <w:div w:id="1652903380">
      <w:bodyDiv w:val="1"/>
      <w:marLeft w:val="0"/>
      <w:marRight w:val="0"/>
      <w:marTop w:val="0"/>
      <w:marBottom w:val="0"/>
      <w:divBdr>
        <w:top w:val="none" w:sz="0" w:space="0" w:color="auto"/>
        <w:left w:val="none" w:sz="0" w:space="0" w:color="auto"/>
        <w:bottom w:val="none" w:sz="0" w:space="0" w:color="auto"/>
        <w:right w:val="none" w:sz="0" w:space="0" w:color="auto"/>
      </w:divBdr>
    </w:div>
    <w:div w:id="1665159581">
      <w:bodyDiv w:val="1"/>
      <w:marLeft w:val="0"/>
      <w:marRight w:val="0"/>
      <w:marTop w:val="0"/>
      <w:marBottom w:val="0"/>
      <w:divBdr>
        <w:top w:val="none" w:sz="0" w:space="0" w:color="auto"/>
        <w:left w:val="none" w:sz="0" w:space="0" w:color="auto"/>
        <w:bottom w:val="none" w:sz="0" w:space="0" w:color="auto"/>
        <w:right w:val="none" w:sz="0" w:space="0" w:color="auto"/>
      </w:divBdr>
    </w:div>
    <w:div w:id="1669946098">
      <w:bodyDiv w:val="1"/>
      <w:marLeft w:val="0"/>
      <w:marRight w:val="0"/>
      <w:marTop w:val="0"/>
      <w:marBottom w:val="0"/>
      <w:divBdr>
        <w:top w:val="none" w:sz="0" w:space="0" w:color="auto"/>
        <w:left w:val="none" w:sz="0" w:space="0" w:color="auto"/>
        <w:bottom w:val="none" w:sz="0" w:space="0" w:color="auto"/>
        <w:right w:val="none" w:sz="0" w:space="0" w:color="auto"/>
      </w:divBdr>
    </w:div>
    <w:div w:id="1674066734">
      <w:bodyDiv w:val="1"/>
      <w:marLeft w:val="0"/>
      <w:marRight w:val="0"/>
      <w:marTop w:val="0"/>
      <w:marBottom w:val="0"/>
      <w:divBdr>
        <w:top w:val="none" w:sz="0" w:space="0" w:color="auto"/>
        <w:left w:val="none" w:sz="0" w:space="0" w:color="auto"/>
        <w:bottom w:val="none" w:sz="0" w:space="0" w:color="auto"/>
        <w:right w:val="none" w:sz="0" w:space="0" w:color="auto"/>
      </w:divBdr>
    </w:div>
    <w:div w:id="1680959153">
      <w:bodyDiv w:val="1"/>
      <w:marLeft w:val="0"/>
      <w:marRight w:val="0"/>
      <w:marTop w:val="0"/>
      <w:marBottom w:val="0"/>
      <w:divBdr>
        <w:top w:val="none" w:sz="0" w:space="0" w:color="auto"/>
        <w:left w:val="none" w:sz="0" w:space="0" w:color="auto"/>
        <w:bottom w:val="none" w:sz="0" w:space="0" w:color="auto"/>
        <w:right w:val="none" w:sz="0" w:space="0" w:color="auto"/>
      </w:divBdr>
    </w:div>
    <w:div w:id="1683312820">
      <w:bodyDiv w:val="1"/>
      <w:marLeft w:val="0"/>
      <w:marRight w:val="0"/>
      <w:marTop w:val="0"/>
      <w:marBottom w:val="0"/>
      <w:divBdr>
        <w:top w:val="none" w:sz="0" w:space="0" w:color="auto"/>
        <w:left w:val="none" w:sz="0" w:space="0" w:color="auto"/>
        <w:bottom w:val="none" w:sz="0" w:space="0" w:color="auto"/>
        <w:right w:val="none" w:sz="0" w:space="0" w:color="auto"/>
      </w:divBdr>
    </w:div>
    <w:div w:id="1689792659">
      <w:bodyDiv w:val="1"/>
      <w:marLeft w:val="0"/>
      <w:marRight w:val="0"/>
      <w:marTop w:val="0"/>
      <w:marBottom w:val="0"/>
      <w:divBdr>
        <w:top w:val="none" w:sz="0" w:space="0" w:color="auto"/>
        <w:left w:val="none" w:sz="0" w:space="0" w:color="auto"/>
        <w:bottom w:val="none" w:sz="0" w:space="0" w:color="auto"/>
        <w:right w:val="none" w:sz="0" w:space="0" w:color="auto"/>
      </w:divBdr>
    </w:div>
    <w:div w:id="1695039486">
      <w:bodyDiv w:val="1"/>
      <w:marLeft w:val="0"/>
      <w:marRight w:val="0"/>
      <w:marTop w:val="0"/>
      <w:marBottom w:val="0"/>
      <w:divBdr>
        <w:top w:val="none" w:sz="0" w:space="0" w:color="auto"/>
        <w:left w:val="none" w:sz="0" w:space="0" w:color="auto"/>
        <w:bottom w:val="none" w:sz="0" w:space="0" w:color="auto"/>
        <w:right w:val="none" w:sz="0" w:space="0" w:color="auto"/>
      </w:divBdr>
    </w:div>
    <w:div w:id="1703363925">
      <w:bodyDiv w:val="1"/>
      <w:marLeft w:val="0"/>
      <w:marRight w:val="0"/>
      <w:marTop w:val="0"/>
      <w:marBottom w:val="0"/>
      <w:divBdr>
        <w:top w:val="none" w:sz="0" w:space="0" w:color="auto"/>
        <w:left w:val="none" w:sz="0" w:space="0" w:color="auto"/>
        <w:bottom w:val="none" w:sz="0" w:space="0" w:color="auto"/>
        <w:right w:val="none" w:sz="0" w:space="0" w:color="auto"/>
      </w:divBdr>
    </w:div>
    <w:div w:id="1703628176">
      <w:bodyDiv w:val="1"/>
      <w:marLeft w:val="0"/>
      <w:marRight w:val="0"/>
      <w:marTop w:val="0"/>
      <w:marBottom w:val="0"/>
      <w:divBdr>
        <w:top w:val="none" w:sz="0" w:space="0" w:color="auto"/>
        <w:left w:val="none" w:sz="0" w:space="0" w:color="auto"/>
        <w:bottom w:val="none" w:sz="0" w:space="0" w:color="auto"/>
        <w:right w:val="none" w:sz="0" w:space="0" w:color="auto"/>
      </w:divBdr>
    </w:div>
    <w:div w:id="1705523362">
      <w:bodyDiv w:val="1"/>
      <w:marLeft w:val="0"/>
      <w:marRight w:val="0"/>
      <w:marTop w:val="0"/>
      <w:marBottom w:val="0"/>
      <w:divBdr>
        <w:top w:val="none" w:sz="0" w:space="0" w:color="auto"/>
        <w:left w:val="none" w:sz="0" w:space="0" w:color="auto"/>
        <w:bottom w:val="none" w:sz="0" w:space="0" w:color="auto"/>
        <w:right w:val="none" w:sz="0" w:space="0" w:color="auto"/>
      </w:divBdr>
    </w:div>
    <w:div w:id="1712680615">
      <w:bodyDiv w:val="1"/>
      <w:marLeft w:val="0"/>
      <w:marRight w:val="0"/>
      <w:marTop w:val="0"/>
      <w:marBottom w:val="0"/>
      <w:divBdr>
        <w:top w:val="none" w:sz="0" w:space="0" w:color="auto"/>
        <w:left w:val="none" w:sz="0" w:space="0" w:color="auto"/>
        <w:bottom w:val="none" w:sz="0" w:space="0" w:color="auto"/>
        <w:right w:val="none" w:sz="0" w:space="0" w:color="auto"/>
      </w:divBdr>
    </w:div>
    <w:div w:id="1714578494">
      <w:bodyDiv w:val="1"/>
      <w:marLeft w:val="0"/>
      <w:marRight w:val="0"/>
      <w:marTop w:val="0"/>
      <w:marBottom w:val="0"/>
      <w:divBdr>
        <w:top w:val="none" w:sz="0" w:space="0" w:color="auto"/>
        <w:left w:val="none" w:sz="0" w:space="0" w:color="auto"/>
        <w:bottom w:val="none" w:sz="0" w:space="0" w:color="auto"/>
        <w:right w:val="none" w:sz="0" w:space="0" w:color="auto"/>
      </w:divBdr>
    </w:div>
    <w:div w:id="1719669433">
      <w:bodyDiv w:val="1"/>
      <w:marLeft w:val="0"/>
      <w:marRight w:val="0"/>
      <w:marTop w:val="0"/>
      <w:marBottom w:val="0"/>
      <w:divBdr>
        <w:top w:val="none" w:sz="0" w:space="0" w:color="auto"/>
        <w:left w:val="none" w:sz="0" w:space="0" w:color="auto"/>
        <w:bottom w:val="none" w:sz="0" w:space="0" w:color="auto"/>
        <w:right w:val="none" w:sz="0" w:space="0" w:color="auto"/>
      </w:divBdr>
    </w:div>
    <w:div w:id="1734353742">
      <w:bodyDiv w:val="1"/>
      <w:marLeft w:val="0"/>
      <w:marRight w:val="0"/>
      <w:marTop w:val="0"/>
      <w:marBottom w:val="0"/>
      <w:divBdr>
        <w:top w:val="none" w:sz="0" w:space="0" w:color="auto"/>
        <w:left w:val="none" w:sz="0" w:space="0" w:color="auto"/>
        <w:bottom w:val="none" w:sz="0" w:space="0" w:color="auto"/>
        <w:right w:val="none" w:sz="0" w:space="0" w:color="auto"/>
      </w:divBdr>
    </w:div>
    <w:div w:id="1738744930">
      <w:bodyDiv w:val="1"/>
      <w:marLeft w:val="0"/>
      <w:marRight w:val="0"/>
      <w:marTop w:val="0"/>
      <w:marBottom w:val="0"/>
      <w:divBdr>
        <w:top w:val="none" w:sz="0" w:space="0" w:color="auto"/>
        <w:left w:val="none" w:sz="0" w:space="0" w:color="auto"/>
        <w:bottom w:val="none" w:sz="0" w:space="0" w:color="auto"/>
        <w:right w:val="none" w:sz="0" w:space="0" w:color="auto"/>
      </w:divBdr>
    </w:div>
    <w:div w:id="1750228335">
      <w:bodyDiv w:val="1"/>
      <w:marLeft w:val="0"/>
      <w:marRight w:val="0"/>
      <w:marTop w:val="0"/>
      <w:marBottom w:val="0"/>
      <w:divBdr>
        <w:top w:val="none" w:sz="0" w:space="0" w:color="auto"/>
        <w:left w:val="none" w:sz="0" w:space="0" w:color="auto"/>
        <w:bottom w:val="none" w:sz="0" w:space="0" w:color="auto"/>
        <w:right w:val="none" w:sz="0" w:space="0" w:color="auto"/>
      </w:divBdr>
    </w:div>
    <w:div w:id="1750734848">
      <w:bodyDiv w:val="1"/>
      <w:marLeft w:val="0"/>
      <w:marRight w:val="0"/>
      <w:marTop w:val="0"/>
      <w:marBottom w:val="0"/>
      <w:divBdr>
        <w:top w:val="none" w:sz="0" w:space="0" w:color="auto"/>
        <w:left w:val="none" w:sz="0" w:space="0" w:color="auto"/>
        <w:bottom w:val="none" w:sz="0" w:space="0" w:color="auto"/>
        <w:right w:val="none" w:sz="0" w:space="0" w:color="auto"/>
      </w:divBdr>
    </w:div>
    <w:div w:id="1751846386">
      <w:bodyDiv w:val="1"/>
      <w:marLeft w:val="0"/>
      <w:marRight w:val="0"/>
      <w:marTop w:val="0"/>
      <w:marBottom w:val="0"/>
      <w:divBdr>
        <w:top w:val="none" w:sz="0" w:space="0" w:color="auto"/>
        <w:left w:val="none" w:sz="0" w:space="0" w:color="auto"/>
        <w:bottom w:val="none" w:sz="0" w:space="0" w:color="auto"/>
        <w:right w:val="none" w:sz="0" w:space="0" w:color="auto"/>
      </w:divBdr>
    </w:div>
    <w:div w:id="1752502832">
      <w:bodyDiv w:val="1"/>
      <w:marLeft w:val="0"/>
      <w:marRight w:val="0"/>
      <w:marTop w:val="0"/>
      <w:marBottom w:val="0"/>
      <w:divBdr>
        <w:top w:val="none" w:sz="0" w:space="0" w:color="auto"/>
        <w:left w:val="none" w:sz="0" w:space="0" w:color="auto"/>
        <w:bottom w:val="none" w:sz="0" w:space="0" w:color="auto"/>
        <w:right w:val="none" w:sz="0" w:space="0" w:color="auto"/>
      </w:divBdr>
    </w:div>
    <w:div w:id="1758359423">
      <w:bodyDiv w:val="1"/>
      <w:marLeft w:val="0"/>
      <w:marRight w:val="0"/>
      <w:marTop w:val="0"/>
      <w:marBottom w:val="0"/>
      <w:divBdr>
        <w:top w:val="none" w:sz="0" w:space="0" w:color="auto"/>
        <w:left w:val="none" w:sz="0" w:space="0" w:color="auto"/>
        <w:bottom w:val="none" w:sz="0" w:space="0" w:color="auto"/>
        <w:right w:val="none" w:sz="0" w:space="0" w:color="auto"/>
      </w:divBdr>
    </w:div>
    <w:div w:id="1759055304">
      <w:bodyDiv w:val="1"/>
      <w:marLeft w:val="0"/>
      <w:marRight w:val="0"/>
      <w:marTop w:val="0"/>
      <w:marBottom w:val="0"/>
      <w:divBdr>
        <w:top w:val="none" w:sz="0" w:space="0" w:color="auto"/>
        <w:left w:val="none" w:sz="0" w:space="0" w:color="auto"/>
        <w:bottom w:val="none" w:sz="0" w:space="0" w:color="auto"/>
        <w:right w:val="none" w:sz="0" w:space="0" w:color="auto"/>
      </w:divBdr>
    </w:div>
    <w:div w:id="1769037244">
      <w:bodyDiv w:val="1"/>
      <w:marLeft w:val="0"/>
      <w:marRight w:val="0"/>
      <w:marTop w:val="0"/>
      <w:marBottom w:val="0"/>
      <w:divBdr>
        <w:top w:val="none" w:sz="0" w:space="0" w:color="auto"/>
        <w:left w:val="none" w:sz="0" w:space="0" w:color="auto"/>
        <w:bottom w:val="none" w:sz="0" w:space="0" w:color="auto"/>
        <w:right w:val="none" w:sz="0" w:space="0" w:color="auto"/>
      </w:divBdr>
    </w:div>
    <w:div w:id="1771272635">
      <w:bodyDiv w:val="1"/>
      <w:marLeft w:val="0"/>
      <w:marRight w:val="0"/>
      <w:marTop w:val="0"/>
      <w:marBottom w:val="0"/>
      <w:divBdr>
        <w:top w:val="none" w:sz="0" w:space="0" w:color="auto"/>
        <w:left w:val="none" w:sz="0" w:space="0" w:color="auto"/>
        <w:bottom w:val="none" w:sz="0" w:space="0" w:color="auto"/>
        <w:right w:val="none" w:sz="0" w:space="0" w:color="auto"/>
      </w:divBdr>
    </w:div>
    <w:div w:id="1772777652">
      <w:bodyDiv w:val="1"/>
      <w:marLeft w:val="0"/>
      <w:marRight w:val="0"/>
      <w:marTop w:val="0"/>
      <w:marBottom w:val="0"/>
      <w:divBdr>
        <w:top w:val="none" w:sz="0" w:space="0" w:color="auto"/>
        <w:left w:val="none" w:sz="0" w:space="0" w:color="auto"/>
        <w:bottom w:val="none" w:sz="0" w:space="0" w:color="auto"/>
        <w:right w:val="none" w:sz="0" w:space="0" w:color="auto"/>
      </w:divBdr>
    </w:div>
    <w:div w:id="1774008781">
      <w:bodyDiv w:val="1"/>
      <w:marLeft w:val="0"/>
      <w:marRight w:val="0"/>
      <w:marTop w:val="0"/>
      <w:marBottom w:val="0"/>
      <w:divBdr>
        <w:top w:val="none" w:sz="0" w:space="0" w:color="auto"/>
        <w:left w:val="none" w:sz="0" w:space="0" w:color="auto"/>
        <w:bottom w:val="none" w:sz="0" w:space="0" w:color="auto"/>
        <w:right w:val="none" w:sz="0" w:space="0" w:color="auto"/>
      </w:divBdr>
    </w:div>
    <w:div w:id="1775248427">
      <w:bodyDiv w:val="1"/>
      <w:marLeft w:val="0"/>
      <w:marRight w:val="0"/>
      <w:marTop w:val="0"/>
      <w:marBottom w:val="0"/>
      <w:divBdr>
        <w:top w:val="none" w:sz="0" w:space="0" w:color="auto"/>
        <w:left w:val="none" w:sz="0" w:space="0" w:color="auto"/>
        <w:bottom w:val="none" w:sz="0" w:space="0" w:color="auto"/>
        <w:right w:val="none" w:sz="0" w:space="0" w:color="auto"/>
      </w:divBdr>
    </w:div>
    <w:div w:id="1788305431">
      <w:bodyDiv w:val="1"/>
      <w:marLeft w:val="0"/>
      <w:marRight w:val="0"/>
      <w:marTop w:val="0"/>
      <w:marBottom w:val="0"/>
      <w:divBdr>
        <w:top w:val="none" w:sz="0" w:space="0" w:color="auto"/>
        <w:left w:val="none" w:sz="0" w:space="0" w:color="auto"/>
        <w:bottom w:val="none" w:sz="0" w:space="0" w:color="auto"/>
        <w:right w:val="none" w:sz="0" w:space="0" w:color="auto"/>
      </w:divBdr>
    </w:div>
    <w:div w:id="1789466806">
      <w:bodyDiv w:val="1"/>
      <w:marLeft w:val="0"/>
      <w:marRight w:val="0"/>
      <w:marTop w:val="0"/>
      <w:marBottom w:val="0"/>
      <w:divBdr>
        <w:top w:val="none" w:sz="0" w:space="0" w:color="auto"/>
        <w:left w:val="none" w:sz="0" w:space="0" w:color="auto"/>
        <w:bottom w:val="none" w:sz="0" w:space="0" w:color="auto"/>
        <w:right w:val="none" w:sz="0" w:space="0" w:color="auto"/>
      </w:divBdr>
    </w:div>
    <w:div w:id="1792017777">
      <w:bodyDiv w:val="1"/>
      <w:marLeft w:val="0"/>
      <w:marRight w:val="0"/>
      <w:marTop w:val="0"/>
      <w:marBottom w:val="0"/>
      <w:divBdr>
        <w:top w:val="none" w:sz="0" w:space="0" w:color="auto"/>
        <w:left w:val="none" w:sz="0" w:space="0" w:color="auto"/>
        <w:bottom w:val="none" w:sz="0" w:space="0" w:color="auto"/>
        <w:right w:val="none" w:sz="0" w:space="0" w:color="auto"/>
      </w:divBdr>
    </w:div>
    <w:div w:id="1803041418">
      <w:bodyDiv w:val="1"/>
      <w:marLeft w:val="0"/>
      <w:marRight w:val="0"/>
      <w:marTop w:val="0"/>
      <w:marBottom w:val="0"/>
      <w:divBdr>
        <w:top w:val="none" w:sz="0" w:space="0" w:color="auto"/>
        <w:left w:val="none" w:sz="0" w:space="0" w:color="auto"/>
        <w:bottom w:val="none" w:sz="0" w:space="0" w:color="auto"/>
        <w:right w:val="none" w:sz="0" w:space="0" w:color="auto"/>
      </w:divBdr>
    </w:div>
    <w:div w:id="1805080988">
      <w:bodyDiv w:val="1"/>
      <w:marLeft w:val="0"/>
      <w:marRight w:val="0"/>
      <w:marTop w:val="0"/>
      <w:marBottom w:val="0"/>
      <w:divBdr>
        <w:top w:val="none" w:sz="0" w:space="0" w:color="auto"/>
        <w:left w:val="none" w:sz="0" w:space="0" w:color="auto"/>
        <w:bottom w:val="none" w:sz="0" w:space="0" w:color="auto"/>
        <w:right w:val="none" w:sz="0" w:space="0" w:color="auto"/>
      </w:divBdr>
    </w:div>
    <w:div w:id="1824467867">
      <w:bodyDiv w:val="1"/>
      <w:marLeft w:val="0"/>
      <w:marRight w:val="0"/>
      <w:marTop w:val="0"/>
      <w:marBottom w:val="0"/>
      <w:divBdr>
        <w:top w:val="none" w:sz="0" w:space="0" w:color="auto"/>
        <w:left w:val="none" w:sz="0" w:space="0" w:color="auto"/>
        <w:bottom w:val="none" w:sz="0" w:space="0" w:color="auto"/>
        <w:right w:val="none" w:sz="0" w:space="0" w:color="auto"/>
      </w:divBdr>
    </w:div>
    <w:div w:id="1825855802">
      <w:bodyDiv w:val="1"/>
      <w:marLeft w:val="0"/>
      <w:marRight w:val="0"/>
      <w:marTop w:val="0"/>
      <w:marBottom w:val="0"/>
      <w:divBdr>
        <w:top w:val="none" w:sz="0" w:space="0" w:color="auto"/>
        <w:left w:val="none" w:sz="0" w:space="0" w:color="auto"/>
        <w:bottom w:val="none" w:sz="0" w:space="0" w:color="auto"/>
        <w:right w:val="none" w:sz="0" w:space="0" w:color="auto"/>
      </w:divBdr>
    </w:div>
    <w:div w:id="1827475409">
      <w:bodyDiv w:val="1"/>
      <w:marLeft w:val="0"/>
      <w:marRight w:val="0"/>
      <w:marTop w:val="0"/>
      <w:marBottom w:val="0"/>
      <w:divBdr>
        <w:top w:val="none" w:sz="0" w:space="0" w:color="auto"/>
        <w:left w:val="none" w:sz="0" w:space="0" w:color="auto"/>
        <w:bottom w:val="none" w:sz="0" w:space="0" w:color="auto"/>
        <w:right w:val="none" w:sz="0" w:space="0" w:color="auto"/>
      </w:divBdr>
    </w:div>
    <w:div w:id="1834560426">
      <w:bodyDiv w:val="1"/>
      <w:marLeft w:val="0"/>
      <w:marRight w:val="0"/>
      <w:marTop w:val="0"/>
      <w:marBottom w:val="0"/>
      <w:divBdr>
        <w:top w:val="none" w:sz="0" w:space="0" w:color="auto"/>
        <w:left w:val="none" w:sz="0" w:space="0" w:color="auto"/>
        <w:bottom w:val="none" w:sz="0" w:space="0" w:color="auto"/>
        <w:right w:val="none" w:sz="0" w:space="0" w:color="auto"/>
      </w:divBdr>
    </w:div>
    <w:div w:id="1841000562">
      <w:bodyDiv w:val="1"/>
      <w:marLeft w:val="0"/>
      <w:marRight w:val="0"/>
      <w:marTop w:val="0"/>
      <w:marBottom w:val="0"/>
      <w:divBdr>
        <w:top w:val="none" w:sz="0" w:space="0" w:color="auto"/>
        <w:left w:val="none" w:sz="0" w:space="0" w:color="auto"/>
        <w:bottom w:val="none" w:sz="0" w:space="0" w:color="auto"/>
        <w:right w:val="none" w:sz="0" w:space="0" w:color="auto"/>
      </w:divBdr>
    </w:div>
    <w:div w:id="1842161087">
      <w:bodyDiv w:val="1"/>
      <w:marLeft w:val="0"/>
      <w:marRight w:val="0"/>
      <w:marTop w:val="0"/>
      <w:marBottom w:val="0"/>
      <w:divBdr>
        <w:top w:val="none" w:sz="0" w:space="0" w:color="auto"/>
        <w:left w:val="none" w:sz="0" w:space="0" w:color="auto"/>
        <w:bottom w:val="none" w:sz="0" w:space="0" w:color="auto"/>
        <w:right w:val="none" w:sz="0" w:space="0" w:color="auto"/>
      </w:divBdr>
    </w:div>
    <w:div w:id="1847281841">
      <w:bodyDiv w:val="1"/>
      <w:marLeft w:val="0"/>
      <w:marRight w:val="0"/>
      <w:marTop w:val="0"/>
      <w:marBottom w:val="0"/>
      <w:divBdr>
        <w:top w:val="none" w:sz="0" w:space="0" w:color="auto"/>
        <w:left w:val="none" w:sz="0" w:space="0" w:color="auto"/>
        <w:bottom w:val="none" w:sz="0" w:space="0" w:color="auto"/>
        <w:right w:val="none" w:sz="0" w:space="0" w:color="auto"/>
      </w:divBdr>
    </w:div>
    <w:div w:id="1851406953">
      <w:bodyDiv w:val="1"/>
      <w:marLeft w:val="0"/>
      <w:marRight w:val="0"/>
      <w:marTop w:val="0"/>
      <w:marBottom w:val="0"/>
      <w:divBdr>
        <w:top w:val="none" w:sz="0" w:space="0" w:color="auto"/>
        <w:left w:val="none" w:sz="0" w:space="0" w:color="auto"/>
        <w:bottom w:val="none" w:sz="0" w:space="0" w:color="auto"/>
        <w:right w:val="none" w:sz="0" w:space="0" w:color="auto"/>
      </w:divBdr>
    </w:div>
    <w:div w:id="1852911982">
      <w:bodyDiv w:val="1"/>
      <w:marLeft w:val="0"/>
      <w:marRight w:val="0"/>
      <w:marTop w:val="0"/>
      <w:marBottom w:val="0"/>
      <w:divBdr>
        <w:top w:val="none" w:sz="0" w:space="0" w:color="auto"/>
        <w:left w:val="none" w:sz="0" w:space="0" w:color="auto"/>
        <w:bottom w:val="none" w:sz="0" w:space="0" w:color="auto"/>
        <w:right w:val="none" w:sz="0" w:space="0" w:color="auto"/>
      </w:divBdr>
    </w:div>
    <w:div w:id="1862863126">
      <w:bodyDiv w:val="1"/>
      <w:marLeft w:val="0"/>
      <w:marRight w:val="0"/>
      <w:marTop w:val="0"/>
      <w:marBottom w:val="0"/>
      <w:divBdr>
        <w:top w:val="none" w:sz="0" w:space="0" w:color="auto"/>
        <w:left w:val="none" w:sz="0" w:space="0" w:color="auto"/>
        <w:bottom w:val="none" w:sz="0" w:space="0" w:color="auto"/>
        <w:right w:val="none" w:sz="0" w:space="0" w:color="auto"/>
      </w:divBdr>
    </w:div>
    <w:div w:id="1874994865">
      <w:bodyDiv w:val="1"/>
      <w:marLeft w:val="0"/>
      <w:marRight w:val="0"/>
      <w:marTop w:val="0"/>
      <w:marBottom w:val="0"/>
      <w:divBdr>
        <w:top w:val="none" w:sz="0" w:space="0" w:color="auto"/>
        <w:left w:val="none" w:sz="0" w:space="0" w:color="auto"/>
        <w:bottom w:val="none" w:sz="0" w:space="0" w:color="auto"/>
        <w:right w:val="none" w:sz="0" w:space="0" w:color="auto"/>
      </w:divBdr>
    </w:div>
    <w:div w:id="1879731609">
      <w:bodyDiv w:val="1"/>
      <w:marLeft w:val="0"/>
      <w:marRight w:val="0"/>
      <w:marTop w:val="0"/>
      <w:marBottom w:val="0"/>
      <w:divBdr>
        <w:top w:val="none" w:sz="0" w:space="0" w:color="auto"/>
        <w:left w:val="none" w:sz="0" w:space="0" w:color="auto"/>
        <w:bottom w:val="none" w:sz="0" w:space="0" w:color="auto"/>
        <w:right w:val="none" w:sz="0" w:space="0" w:color="auto"/>
      </w:divBdr>
    </w:div>
    <w:div w:id="1888181981">
      <w:bodyDiv w:val="1"/>
      <w:marLeft w:val="0"/>
      <w:marRight w:val="0"/>
      <w:marTop w:val="0"/>
      <w:marBottom w:val="0"/>
      <w:divBdr>
        <w:top w:val="none" w:sz="0" w:space="0" w:color="auto"/>
        <w:left w:val="none" w:sz="0" w:space="0" w:color="auto"/>
        <w:bottom w:val="none" w:sz="0" w:space="0" w:color="auto"/>
        <w:right w:val="none" w:sz="0" w:space="0" w:color="auto"/>
      </w:divBdr>
    </w:div>
    <w:div w:id="1889219273">
      <w:bodyDiv w:val="1"/>
      <w:marLeft w:val="0"/>
      <w:marRight w:val="0"/>
      <w:marTop w:val="0"/>
      <w:marBottom w:val="0"/>
      <w:divBdr>
        <w:top w:val="none" w:sz="0" w:space="0" w:color="auto"/>
        <w:left w:val="none" w:sz="0" w:space="0" w:color="auto"/>
        <w:bottom w:val="none" w:sz="0" w:space="0" w:color="auto"/>
        <w:right w:val="none" w:sz="0" w:space="0" w:color="auto"/>
      </w:divBdr>
    </w:div>
    <w:div w:id="1891963427">
      <w:bodyDiv w:val="1"/>
      <w:marLeft w:val="0"/>
      <w:marRight w:val="0"/>
      <w:marTop w:val="0"/>
      <w:marBottom w:val="0"/>
      <w:divBdr>
        <w:top w:val="none" w:sz="0" w:space="0" w:color="auto"/>
        <w:left w:val="none" w:sz="0" w:space="0" w:color="auto"/>
        <w:bottom w:val="none" w:sz="0" w:space="0" w:color="auto"/>
        <w:right w:val="none" w:sz="0" w:space="0" w:color="auto"/>
      </w:divBdr>
    </w:div>
    <w:div w:id="1897662028">
      <w:bodyDiv w:val="1"/>
      <w:marLeft w:val="0"/>
      <w:marRight w:val="0"/>
      <w:marTop w:val="0"/>
      <w:marBottom w:val="0"/>
      <w:divBdr>
        <w:top w:val="none" w:sz="0" w:space="0" w:color="auto"/>
        <w:left w:val="none" w:sz="0" w:space="0" w:color="auto"/>
        <w:bottom w:val="none" w:sz="0" w:space="0" w:color="auto"/>
        <w:right w:val="none" w:sz="0" w:space="0" w:color="auto"/>
      </w:divBdr>
    </w:div>
    <w:div w:id="1898513005">
      <w:bodyDiv w:val="1"/>
      <w:marLeft w:val="0"/>
      <w:marRight w:val="0"/>
      <w:marTop w:val="0"/>
      <w:marBottom w:val="0"/>
      <w:divBdr>
        <w:top w:val="none" w:sz="0" w:space="0" w:color="auto"/>
        <w:left w:val="none" w:sz="0" w:space="0" w:color="auto"/>
        <w:bottom w:val="none" w:sz="0" w:space="0" w:color="auto"/>
        <w:right w:val="none" w:sz="0" w:space="0" w:color="auto"/>
      </w:divBdr>
    </w:div>
    <w:div w:id="1903981067">
      <w:bodyDiv w:val="1"/>
      <w:marLeft w:val="0"/>
      <w:marRight w:val="0"/>
      <w:marTop w:val="0"/>
      <w:marBottom w:val="0"/>
      <w:divBdr>
        <w:top w:val="none" w:sz="0" w:space="0" w:color="auto"/>
        <w:left w:val="none" w:sz="0" w:space="0" w:color="auto"/>
        <w:bottom w:val="none" w:sz="0" w:space="0" w:color="auto"/>
        <w:right w:val="none" w:sz="0" w:space="0" w:color="auto"/>
      </w:divBdr>
    </w:div>
    <w:div w:id="1904214292">
      <w:bodyDiv w:val="1"/>
      <w:marLeft w:val="0"/>
      <w:marRight w:val="0"/>
      <w:marTop w:val="0"/>
      <w:marBottom w:val="0"/>
      <w:divBdr>
        <w:top w:val="none" w:sz="0" w:space="0" w:color="auto"/>
        <w:left w:val="none" w:sz="0" w:space="0" w:color="auto"/>
        <w:bottom w:val="none" w:sz="0" w:space="0" w:color="auto"/>
        <w:right w:val="none" w:sz="0" w:space="0" w:color="auto"/>
      </w:divBdr>
    </w:div>
    <w:div w:id="1908570839">
      <w:bodyDiv w:val="1"/>
      <w:marLeft w:val="0"/>
      <w:marRight w:val="0"/>
      <w:marTop w:val="0"/>
      <w:marBottom w:val="0"/>
      <w:divBdr>
        <w:top w:val="none" w:sz="0" w:space="0" w:color="auto"/>
        <w:left w:val="none" w:sz="0" w:space="0" w:color="auto"/>
        <w:bottom w:val="none" w:sz="0" w:space="0" w:color="auto"/>
        <w:right w:val="none" w:sz="0" w:space="0" w:color="auto"/>
      </w:divBdr>
    </w:div>
    <w:div w:id="1909413555">
      <w:bodyDiv w:val="1"/>
      <w:marLeft w:val="0"/>
      <w:marRight w:val="0"/>
      <w:marTop w:val="0"/>
      <w:marBottom w:val="0"/>
      <w:divBdr>
        <w:top w:val="none" w:sz="0" w:space="0" w:color="auto"/>
        <w:left w:val="none" w:sz="0" w:space="0" w:color="auto"/>
        <w:bottom w:val="none" w:sz="0" w:space="0" w:color="auto"/>
        <w:right w:val="none" w:sz="0" w:space="0" w:color="auto"/>
      </w:divBdr>
    </w:div>
    <w:div w:id="1911577615">
      <w:bodyDiv w:val="1"/>
      <w:marLeft w:val="0"/>
      <w:marRight w:val="0"/>
      <w:marTop w:val="0"/>
      <w:marBottom w:val="0"/>
      <w:divBdr>
        <w:top w:val="none" w:sz="0" w:space="0" w:color="auto"/>
        <w:left w:val="none" w:sz="0" w:space="0" w:color="auto"/>
        <w:bottom w:val="none" w:sz="0" w:space="0" w:color="auto"/>
        <w:right w:val="none" w:sz="0" w:space="0" w:color="auto"/>
      </w:divBdr>
    </w:div>
    <w:div w:id="1928346722">
      <w:bodyDiv w:val="1"/>
      <w:marLeft w:val="0"/>
      <w:marRight w:val="0"/>
      <w:marTop w:val="0"/>
      <w:marBottom w:val="0"/>
      <w:divBdr>
        <w:top w:val="none" w:sz="0" w:space="0" w:color="auto"/>
        <w:left w:val="none" w:sz="0" w:space="0" w:color="auto"/>
        <w:bottom w:val="none" w:sz="0" w:space="0" w:color="auto"/>
        <w:right w:val="none" w:sz="0" w:space="0" w:color="auto"/>
      </w:divBdr>
    </w:div>
    <w:div w:id="1937900140">
      <w:bodyDiv w:val="1"/>
      <w:marLeft w:val="0"/>
      <w:marRight w:val="0"/>
      <w:marTop w:val="0"/>
      <w:marBottom w:val="0"/>
      <w:divBdr>
        <w:top w:val="none" w:sz="0" w:space="0" w:color="auto"/>
        <w:left w:val="none" w:sz="0" w:space="0" w:color="auto"/>
        <w:bottom w:val="none" w:sz="0" w:space="0" w:color="auto"/>
        <w:right w:val="none" w:sz="0" w:space="0" w:color="auto"/>
      </w:divBdr>
    </w:div>
    <w:div w:id="1942755561">
      <w:bodyDiv w:val="1"/>
      <w:marLeft w:val="0"/>
      <w:marRight w:val="0"/>
      <w:marTop w:val="0"/>
      <w:marBottom w:val="0"/>
      <w:divBdr>
        <w:top w:val="none" w:sz="0" w:space="0" w:color="auto"/>
        <w:left w:val="none" w:sz="0" w:space="0" w:color="auto"/>
        <w:bottom w:val="none" w:sz="0" w:space="0" w:color="auto"/>
        <w:right w:val="none" w:sz="0" w:space="0" w:color="auto"/>
      </w:divBdr>
    </w:div>
    <w:div w:id="1946451327">
      <w:bodyDiv w:val="1"/>
      <w:marLeft w:val="0"/>
      <w:marRight w:val="0"/>
      <w:marTop w:val="0"/>
      <w:marBottom w:val="0"/>
      <w:divBdr>
        <w:top w:val="none" w:sz="0" w:space="0" w:color="auto"/>
        <w:left w:val="none" w:sz="0" w:space="0" w:color="auto"/>
        <w:bottom w:val="none" w:sz="0" w:space="0" w:color="auto"/>
        <w:right w:val="none" w:sz="0" w:space="0" w:color="auto"/>
      </w:divBdr>
    </w:div>
    <w:div w:id="1950315920">
      <w:bodyDiv w:val="1"/>
      <w:marLeft w:val="0"/>
      <w:marRight w:val="0"/>
      <w:marTop w:val="0"/>
      <w:marBottom w:val="0"/>
      <w:divBdr>
        <w:top w:val="none" w:sz="0" w:space="0" w:color="auto"/>
        <w:left w:val="none" w:sz="0" w:space="0" w:color="auto"/>
        <w:bottom w:val="none" w:sz="0" w:space="0" w:color="auto"/>
        <w:right w:val="none" w:sz="0" w:space="0" w:color="auto"/>
      </w:divBdr>
    </w:div>
    <w:div w:id="1961450854">
      <w:bodyDiv w:val="1"/>
      <w:marLeft w:val="0"/>
      <w:marRight w:val="0"/>
      <w:marTop w:val="0"/>
      <w:marBottom w:val="0"/>
      <w:divBdr>
        <w:top w:val="none" w:sz="0" w:space="0" w:color="auto"/>
        <w:left w:val="none" w:sz="0" w:space="0" w:color="auto"/>
        <w:bottom w:val="none" w:sz="0" w:space="0" w:color="auto"/>
        <w:right w:val="none" w:sz="0" w:space="0" w:color="auto"/>
      </w:divBdr>
    </w:div>
    <w:div w:id="1979525718">
      <w:bodyDiv w:val="1"/>
      <w:marLeft w:val="0"/>
      <w:marRight w:val="0"/>
      <w:marTop w:val="0"/>
      <w:marBottom w:val="0"/>
      <w:divBdr>
        <w:top w:val="none" w:sz="0" w:space="0" w:color="auto"/>
        <w:left w:val="none" w:sz="0" w:space="0" w:color="auto"/>
        <w:bottom w:val="none" w:sz="0" w:space="0" w:color="auto"/>
        <w:right w:val="none" w:sz="0" w:space="0" w:color="auto"/>
      </w:divBdr>
    </w:div>
    <w:div w:id="1982996978">
      <w:bodyDiv w:val="1"/>
      <w:marLeft w:val="0"/>
      <w:marRight w:val="0"/>
      <w:marTop w:val="0"/>
      <w:marBottom w:val="0"/>
      <w:divBdr>
        <w:top w:val="none" w:sz="0" w:space="0" w:color="auto"/>
        <w:left w:val="none" w:sz="0" w:space="0" w:color="auto"/>
        <w:bottom w:val="none" w:sz="0" w:space="0" w:color="auto"/>
        <w:right w:val="none" w:sz="0" w:space="0" w:color="auto"/>
      </w:divBdr>
    </w:div>
    <w:div w:id="1988699890">
      <w:bodyDiv w:val="1"/>
      <w:marLeft w:val="0"/>
      <w:marRight w:val="0"/>
      <w:marTop w:val="0"/>
      <w:marBottom w:val="0"/>
      <w:divBdr>
        <w:top w:val="none" w:sz="0" w:space="0" w:color="auto"/>
        <w:left w:val="none" w:sz="0" w:space="0" w:color="auto"/>
        <w:bottom w:val="none" w:sz="0" w:space="0" w:color="auto"/>
        <w:right w:val="none" w:sz="0" w:space="0" w:color="auto"/>
      </w:divBdr>
    </w:div>
    <w:div w:id="1989631607">
      <w:bodyDiv w:val="1"/>
      <w:marLeft w:val="0"/>
      <w:marRight w:val="0"/>
      <w:marTop w:val="0"/>
      <w:marBottom w:val="0"/>
      <w:divBdr>
        <w:top w:val="none" w:sz="0" w:space="0" w:color="auto"/>
        <w:left w:val="none" w:sz="0" w:space="0" w:color="auto"/>
        <w:bottom w:val="none" w:sz="0" w:space="0" w:color="auto"/>
        <w:right w:val="none" w:sz="0" w:space="0" w:color="auto"/>
      </w:divBdr>
    </w:div>
    <w:div w:id="1990162816">
      <w:bodyDiv w:val="1"/>
      <w:marLeft w:val="0"/>
      <w:marRight w:val="0"/>
      <w:marTop w:val="0"/>
      <w:marBottom w:val="0"/>
      <w:divBdr>
        <w:top w:val="none" w:sz="0" w:space="0" w:color="auto"/>
        <w:left w:val="none" w:sz="0" w:space="0" w:color="auto"/>
        <w:bottom w:val="none" w:sz="0" w:space="0" w:color="auto"/>
        <w:right w:val="none" w:sz="0" w:space="0" w:color="auto"/>
      </w:divBdr>
    </w:div>
    <w:div w:id="2002273796">
      <w:bodyDiv w:val="1"/>
      <w:marLeft w:val="0"/>
      <w:marRight w:val="0"/>
      <w:marTop w:val="0"/>
      <w:marBottom w:val="0"/>
      <w:divBdr>
        <w:top w:val="none" w:sz="0" w:space="0" w:color="auto"/>
        <w:left w:val="none" w:sz="0" w:space="0" w:color="auto"/>
        <w:bottom w:val="none" w:sz="0" w:space="0" w:color="auto"/>
        <w:right w:val="none" w:sz="0" w:space="0" w:color="auto"/>
      </w:divBdr>
    </w:div>
    <w:div w:id="2024431341">
      <w:bodyDiv w:val="1"/>
      <w:marLeft w:val="0"/>
      <w:marRight w:val="0"/>
      <w:marTop w:val="0"/>
      <w:marBottom w:val="0"/>
      <w:divBdr>
        <w:top w:val="none" w:sz="0" w:space="0" w:color="auto"/>
        <w:left w:val="none" w:sz="0" w:space="0" w:color="auto"/>
        <w:bottom w:val="none" w:sz="0" w:space="0" w:color="auto"/>
        <w:right w:val="none" w:sz="0" w:space="0" w:color="auto"/>
      </w:divBdr>
    </w:div>
    <w:div w:id="2030332223">
      <w:bodyDiv w:val="1"/>
      <w:marLeft w:val="0"/>
      <w:marRight w:val="0"/>
      <w:marTop w:val="0"/>
      <w:marBottom w:val="0"/>
      <w:divBdr>
        <w:top w:val="none" w:sz="0" w:space="0" w:color="auto"/>
        <w:left w:val="none" w:sz="0" w:space="0" w:color="auto"/>
        <w:bottom w:val="none" w:sz="0" w:space="0" w:color="auto"/>
        <w:right w:val="none" w:sz="0" w:space="0" w:color="auto"/>
      </w:divBdr>
    </w:div>
    <w:div w:id="2031295221">
      <w:bodyDiv w:val="1"/>
      <w:marLeft w:val="0"/>
      <w:marRight w:val="0"/>
      <w:marTop w:val="0"/>
      <w:marBottom w:val="0"/>
      <w:divBdr>
        <w:top w:val="none" w:sz="0" w:space="0" w:color="auto"/>
        <w:left w:val="none" w:sz="0" w:space="0" w:color="auto"/>
        <w:bottom w:val="none" w:sz="0" w:space="0" w:color="auto"/>
        <w:right w:val="none" w:sz="0" w:space="0" w:color="auto"/>
      </w:divBdr>
    </w:div>
    <w:div w:id="2034459833">
      <w:bodyDiv w:val="1"/>
      <w:marLeft w:val="0"/>
      <w:marRight w:val="0"/>
      <w:marTop w:val="0"/>
      <w:marBottom w:val="0"/>
      <w:divBdr>
        <w:top w:val="none" w:sz="0" w:space="0" w:color="auto"/>
        <w:left w:val="none" w:sz="0" w:space="0" w:color="auto"/>
        <w:bottom w:val="none" w:sz="0" w:space="0" w:color="auto"/>
        <w:right w:val="none" w:sz="0" w:space="0" w:color="auto"/>
      </w:divBdr>
    </w:div>
    <w:div w:id="2035497809">
      <w:bodyDiv w:val="1"/>
      <w:marLeft w:val="0"/>
      <w:marRight w:val="0"/>
      <w:marTop w:val="0"/>
      <w:marBottom w:val="0"/>
      <w:divBdr>
        <w:top w:val="none" w:sz="0" w:space="0" w:color="auto"/>
        <w:left w:val="none" w:sz="0" w:space="0" w:color="auto"/>
        <w:bottom w:val="none" w:sz="0" w:space="0" w:color="auto"/>
        <w:right w:val="none" w:sz="0" w:space="0" w:color="auto"/>
      </w:divBdr>
    </w:div>
    <w:div w:id="2042658432">
      <w:bodyDiv w:val="1"/>
      <w:marLeft w:val="0"/>
      <w:marRight w:val="0"/>
      <w:marTop w:val="0"/>
      <w:marBottom w:val="0"/>
      <w:divBdr>
        <w:top w:val="none" w:sz="0" w:space="0" w:color="auto"/>
        <w:left w:val="none" w:sz="0" w:space="0" w:color="auto"/>
        <w:bottom w:val="none" w:sz="0" w:space="0" w:color="auto"/>
        <w:right w:val="none" w:sz="0" w:space="0" w:color="auto"/>
      </w:divBdr>
    </w:div>
    <w:div w:id="2054692642">
      <w:bodyDiv w:val="1"/>
      <w:marLeft w:val="0"/>
      <w:marRight w:val="0"/>
      <w:marTop w:val="0"/>
      <w:marBottom w:val="0"/>
      <w:divBdr>
        <w:top w:val="none" w:sz="0" w:space="0" w:color="auto"/>
        <w:left w:val="none" w:sz="0" w:space="0" w:color="auto"/>
        <w:bottom w:val="none" w:sz="0" w:space="0" w:color="auto"/>
        <w:right w:val="none" w:sz="0" w:space="0" w:color="auto"/>
      </w:divBdr>
    </w:div>
    <w:div w:id="2059276244">
      <w:bodyDiv w:val="1"/>
      <w:marLeft w:val="0"/>
      <w:marRight w:val="0"/>
      <w:marTop w:val="0"/>
      <w:marBottom w:val="0"/>
      <w:divBdr>
        <w:top w:val="none" w:sz="0" w:space="0" w:color="auto"/>
        <w:left w:val="none" w:sz="0" w:space="0" w:color="auto"/>
        <w:bottom w:val="none" w:sz="0" w:space="0" w:color="auto"/>
        <w:right w:val="none" w:sz="0" w:space="0" w:color="auto"/>
      </w:divBdr>
    </w:div>
    <w:div w:id="2064210185">
      <w:bodyDiv w:val="1"/>
      <w:marLeft w:val="0"/>
      <w:marRight w:val="0"/>
      <w:marTop w:val="0"/>
      <w:marBottom w:val="0"/>
      <w:divBdr>
        <w:top w:val="none" w:sz="0" w:space="0" w:color="auto"/>
        <w:left w:val="none" w:sz="0" w:space="0" w:color="auto"/>
        <w:bottom w:val="none" w:sz="0" w:space="0" w:color="auto"/>
        <w:right w:val="none" w:sz="0" w:space="0" w:color="auto"/>
      </w:divBdr>
    </w:div>
    <w:div w:id="2064523944">
      <w:bodyDiv w:val="1"/>
      <w:marLeft w:val="0"/>
      <w:marRight w:val="0"/>
      <w:marTop w:val="0"/>
      <w:marBottom w:val="0"/>
      <w:divBdr>
        <w:top w:val="none" w:sz="0" w:space="0" w:color="auto"/>
        <w:left w:val="none" w:sz="0" w:space="0" w:color="auto"/>
        <w:bottom w:val="none" w:sz="0" w:space="0" w:color="auto"/>
        <w:right w:val="none" w:sz="0" w:space="0" w:color="auto"/>
      </w:divBdr>
    </w:div>
    <w:div w:id="2069106189">
      <w:bodyDiv w:val="1"/>
      <w:marLeft w:val="0"/>
      <w:marRight w:val="0"/>
      <w:marTop w:val="0"/>
      <w:marBottom w:val="0"/>
      <w:divBdr>
        <w:top w:val="none" w:sz="0" w:space="0" w:color="auto"/>
        <w:left w:val="none" w:sz="0" w:space="0" w:color="auto"/>
        <w:bottom w:val="none" w:sz="0" w:space="0" w:color="auto"/>
        <w:right w:val="none" w:sz="0" w:space="0" w:color="auto"/>
      </w:divBdr>
    </w:div>
    <w:div w:id="2077164623">
      <w:bodyDiv w:val="1"/>
      <w:marLeft w:val="0"/>
      <w:marRight w:val="0"/>
      <w:marTop w:val="0"/>
      <w:marBottom w:val="0"/>
      <w:divBdr>
        <w:top w:val="none" w:sz="0" w:space="0" w:color="auto"/>
        <w:left w:val="none" w:sz="0" w:space="0" w:color="auto"/>
        <w:bottom w:val="none" w:sz="0" w:space="0" w:color="auto"/>
        <w:right w:val="none" w:sz="0" w:space="0" w:color="auto"/>
      </w:divBdr>
    </w:div>
    <w:div w:id="2080321660">
      <w:bodyDiv w:val="1"/>
      <w:marLeft w:val="0"/>
      <w:marRight w:val="0"/>
      <w:marTop w:val="0"/>
      <w:marBottom w:val="0"/>
      <w:divBdr>
        <w:top w:val="none" w:sz="0" w:space="0" w:color="auto"/>
        <w:left w:val="none" w:sz="0" w:space="0" w:color="auto"/>
        <w:bottom w:val="none" w:sz="0" w:space="0" w:color="auto"/>
        <w:right w:val="none" w:sz="0" w:space="0" w:color="auto"/>
      </w:divBdr>
    </w:div>
    <w:div w:id="2082634863">
      <w:bodyDiv w:val="1"/>
      <w:marLeft w:val="0"/>
      <w:marRight w:val="0"/>
      <w:marTop w:val="0"/>
      <w:marBottom w:val="0"/>
      <w:divBdr>
        <w:top w:val="none" w:sz="0" w:space="0" w:color="auto"/>
        <w:left w:val="none" w:sz="0" w:space="0" w:color="auto"/>
        <w:bottom w:val="none" w:sz="0" w:space="0" w:color="auto"/>
        <w:right w:val="none" w:sz="0" w:space="0" w:color="auto"/>
      </w:divBdr>
    </w:div>
    <w:div w:id="2082868665">
      <w:bodyDiv w:val="1"/>
      <w:marLeft w:val="0"/>
      <w:marRight w:val="0"/>
      <w:marTop w:val="0"/>
      <w:marBottom w:val="0"/>
      <w:divBdr>
        <w:top w:val="none" w:sz="0" w:space="0" w:color="auto"/>
        <w:left w:val="none" w:sz="0" w:space="0" w:color="auto"/>
        <w:bottom w:val="none" w:sz="0" w:space="0" w:color="auto"/>
        <w:right w:val="none" w:sz="0" w:space="0" w:color="auto"/>
      </w:divBdr>
    </w:div>
    <w:div w:id="2085763755">
      <w:bodyDiv w:val="1"/>
      <w:marLeft w:val="0"/>
      <w:marRight w:val="0"/>
      <w:marTop w:val="0"/>
      <w:marBottom w:val="0"/>
      <w:divBdr>
        <w:top w:val="none" w:sz="0" w:space="0" w:color="auto"/>
        <w:left w:val="none" w:sz="0" w:space="0" w:color="auto"/>
        <w:bottom w:val="none" w:sz="0" w:space="0" w:color="auto"/>
        <w:right w:val="none" w:sz="0" w:space="0" w:color="auto"/>
      </w:divBdr>
    </w:div>
    <w:div w:id="2086144902">
      <w:bodyDiv w:val="1"/>
      <w:marLeft w:val="0"/>
      <w:marRight w:val="0"/>
      <w:marTop w:val="0"/>
      <w:marBottom w:val="0"/>
      <w:divBdr>
        <w:top w:val="none" w:sz="0" w:space="0" w:color="auto"/>
        <w:left w:val="none" w:sz="0" w:space="0" w:color="auto"/>
        <w:bottom w:val="none" w:sz="0" w:space="0" w:color="auto"/>
        <w:right w:val="none" w:sz="0" w:space="0" w:color="auto"/>
      </w:divBdr>
    </w:div>
    <w:div w:id="2092653234">
      <w:bodyDiv w:val="1"/>
      <w:marLeft w:val="0"/>
      <w:marRight w:val="0"/>
      <w:marTop w:val="0"/>
      <w:marBottom w:val="0"/>
      <w:divBdr>
        <w:top w:val="none" w:sz="0" w:space="0" w:color="auto"/>
        <w:left w:val="none" w:sz="0" w:space="0" w:color="auto"/>
        <w:bottom w:val="none" w:sz="0" w:space="0" w:color="auto"/>
        <w:right w:val="none" w:sz="0" w:space="0" w:color="auto"/>
      </w:divBdr>
    </w:div>
    <w:div w:id="2093314827">
      <w:bodyDiv w:val="1"/>
      <w:marLeft w:val="0"/>
      <w:marRight w:val="0"/>
      <w:marTop w:val="0"/>
      <w:marBottom w:val="0"/>
      <w:divBdr>
        <w:top w:val="none" w:sz="0" w:space="0" w:color="auto"/>
        <w:left w:val="none" w:sz="0" w:space="0" w:color="auto"/>
        <w:bottom w:val="none" w:sz="0" w:space="0" w:color="auto"/>
        <w:right w:val="none" w:sz="0" w:space="0" w:color="auto"/>
      </w:divBdr>
    </w:div>
    <w:div w:id="2096777097">
      <w:bodyDiv w:val="1"/>
      <w:marLeft w:val="0"/>
      <w:marRight w:val="0"/>
      <w:marTop w:val="0"/>
      <w:marBottom w:val="0"/>
      <w:divBdr>
        <w:top w:val="none" w:sz="0" w:space="0" w:color="auto"/>
        <w:left w:val="none" w:sz="0" w:space="0" w:color="auto"/>
        <w:bottom w:val="none" w:sz="0" w:space="0" w:color="auto"/>
        <w:right w:val="none" w:sz="0" w:space="0" w:color="auto"/>
      </w:divBdr>
    </w:div>
    <w:div w:id="2097045132">
      <w:bodyDiv w:val="1"/>
      <w:marLeft w:val="0"/>
      <w:marRight w:val="0"/>
      <w:marTop w:val="0"/>
      <w:marBottom w:val="0"/>
      <w:divBdr>
        <w:top w:val="none" w:sz="0" w:space="0" w:color="auto"/>
        <w:left w:val="none" w:sz="0" w:space="0" w:color="auto"/>
        <w:bottom w:val="none" w:sz="0" w:space="0" w:color="auto"/>
        <w:right w:val="none" w:sz="0" w:space="0" w:color="auto"/>
      </w:divBdr>
    </w:div>
    <w:div w:id="2101365062">
      <w:bodyDiv w:val="1"/>
      <w:marLeft w:val="0"/>
      <w:marRight w:val="0"/>
      <w:marTop w:val="0"/>
      <w:marBottom w:val="0"/>
      <w:divBdr>
        <w:top w:val="none" w:sz="0" w:space="0" w:color="auto"/>
        <w:left w:val="none" w:sz="0" w:space="0" w:color="auto"/>
        <w:bottom w:val="none" w:sz="0" w:space="0" w:color="auto"/>
        <w:right w:val="none" w:sz="0" w:space="0" w:color="auto"/>
      </w:divBdr>
    </w:div>
    <w:div w:id="2113697220">
      <w:bodyDiv w:val="1"/>
      <w:marLeft w:val="0"/>
      <w:marRight w:val="0"/>
      <w:marTop w:val="0"/>
      <w:marBottom w:val="0"/>
      <w:divBdr>
        <w:top w:val="none" w:sz="0" w:space="0" w:color="auto"/>
        <w:left w:val="none" w:sz="0" w:space="0" w:color="auto"/>
        <w:bottom w:val="none" w:sz="0" w:space="0" w:color="auto"/>
        <w:right w:val="none" w:sz="0" w:space="0" w:color="auto"/>
      </w:divBdr>
    </w:div>
    <w:div w:id="2114350627">
      <w:bodyDiv w:val="1"/>
      <w:marLeft w:val="0"/>
      <w:marRight w:val="0"/>
      <w:marTop w:val="0"/>
      <w:marBottom w:val="0"/>
      <w:divBdr>
        <w:top w:val="none" w:sz="0" w:space="0" w:color="auto"/>
        <w:left w:val="none" w:sz="0" w:space="0" w:color="auto"/>
        <w:bottom w:val="none" w:sz="0" w:space="0" w:color="auto"/>
        <w:right w:val="none" w:sz="0" w:space="0" w:color="auto"/>
      </w:divBdr>
    </w:div>
    <w:div w:id="2117435257">
      <w:bodyDiv w:val="1"/>
      <w:marLeft w:val="0"/>
      <w:marRight w:val="0"/>
      <w:marTop w:val="0"/>
      <w:marBottom w:val="0"/>
      <w:divBdr>
        <w:top w:val="none" w:sz="0" w:space="0" w:color="auto"/>
        <w:left w:val="none" w:sz="0" w:space="0" w:color="auto"/>
        <w:bottom w:val="none" w:sz="0" w:space="0" w:color="auto"/>
        <w:right w:val="none" w:sz="0" w:space="0" w:color="auto"/>
      </w:divBdr>
    </w:div>
    <w:div w:id="2129664555">
      <w:bodyDiv w:val="1"/>
      <w:marLeft w:val="0"/>
      <w:marRight w:val="0"/>
      <w:marTop w:val="0"/>
      <w:marBottom w:val="0"/>
      <w:divBdr>
        <w:top w:val="none" w:sz="0" w:space="0" w:color="auto"/>
        <w:left w:val="none" w:sz="0" w:space="0" w:color="auto"/>
        <w:bottom w:val="none" w:sz="0" w:space="0" w:color="auto"/>
        <w:right w:val="none" w:sz="0" w:space="0" w:color="auto"/>
      </w:divBdr>
    </w:div>
    <w:div w:id="2130542376">
      <w:bodyDiv w:val="1"/>
      <w:marLeft w:val="0"/>
      <w:marRight w:val="0"/>
      <w:marTop w:val="0"/>
      <w:marBottom w:val="0"/>
      <w:divBdr>
        <w:top w:val="none" w:sz="0" w:space="0" w:color="auto"/>
        <w:left w:val="none" w:sz="0" w:space="0" w:color="auto"/>
        <w:bottom w:val="none" w:sz="0" w:space="0" w:color="auto"/>
        <w:right w:val="none" w:sz="0" w:space="0" w:color="auto"/>
      </w:divBdr>
    </w:div>
    <w:div w:id="2131507448">
      <w:bodyDiv w:val="1"/>
      <w:marLeft w:val="0"/>
      <w:marRight w:val="0"/>
      <w:marTop w:val="0"/>
      <w:marBottom w:val="0"/>
      <w:divBdr>
        <w:top w:val="none" w:sz="0" w:space="0" w:color="auto"/>
        <w:left w:val="none" w:sz="0" w:space="0" w:color="auto"/>
        <w:bottom w:val="none" w:sz="0" w:space="0" w:color="auto"/>
        <w:right w:val="none" w:sz="0" w:space="0" w:color="auto"/>
      </w:divBdr>
    </w:div>
    <w:div w:id="2136173885">
      <w:bodyDiv w:val="1"/>
      <w:marLeft w:val="0"/>
      <w:marRight w:val="0"/>
      <w:marTop w:val="0"/>
      <w:marBottom w:val="0"/>
      <w:divBdr>
        <w:top w:val="none" w:sz="0" w:space="0" w:color="auto"/>
        <w:left w:val="none" w:sz="0" w:space="0" w:color="auto"/>
        <w:bottom w:val="none" w:sz="0" w:space="0" w:color="auto"/>
        <w:right w:val="none" w:sz="0" w:space="0" w:color="auto"/>
      </w:divBdr>
    </w:div>
    <w:div w:id="2137407974">
      <w:bodyDiv w:val="1"/>
      <w:marLeft w:val="0"/>
      <w:marRight w:val="0"/>
      <w:marTop w:val="0"/>
      <w:marBottom w:val="0"/>
      <w:divBdr>
        <w:top w:val="none" w:sz="0" w:space="0" w:color="auto"/>
        <w:left w:val="none" w:sz="0" w:space="0" w:color="auto"/>
        <w:bottom w:val="none" w:sz="0" w:space="0" w:color="auto"/>
        <w:right w:val="none" w:sz="0" w:space="0" w:color="auto"/>
      </w:divBdr>
    </w:div>
    <w:div w:id="2141458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AngelaPatel\AppData\Local\Microsoft\Windows\INetCache\Documents\:b:\r\sites\US-TrustedAISolutions\Shared%20Documents\General\5.%20External%20Sources\Standards%20and%20White%20Papers\OWASP\LLM_AI_Security_and_Governance_Checklist.pdf?csf=1&amp;web=1&amp;e=h6ndME" TargetMode="External"/><Relationship Id="rId21" Type="http://schemas.openxmlformats.org/officeDocument/2006/relationships/hyperlink" Target="https://www.federalreserve.gov/supervisionreg/srletters/sr1107.pdf" TargetMode="External"/><Relationship Id="rId42" Type="http://schemas.openxmlformats.org/officeDocument/2006/relationships/hyperlink" Target="https://cdn-dynmedia-1.microsoft.com/is/content/microsoftcorp/microsoft/final/en-us/microsoft-brand/documents/Taxonomy-of-Failure-Mode-in-Agentic-AI-Systems-Whitepaper.pdf" TargetMode="External"/><Relationship Id="rId47" Type="http://schemas.openxmlformats.org/officeDocument/2006/relationships/hyperlink" Target="https://www.cftc.gov/media/10626/TAC_AIReport050224/download" TargetMode="External"/><Relationship Id="rId63" Type="http://schemas.openxmlformats.org/officeDocument/2006/relationships/hyperlink" Target="https://www.iso.org/standard/81230.html" TargetMode="External"/><Relationship Id="rId68" Type="http://schemas.openxmlformats.org/officeDocument/2006/relationships/hyperlink" Target="https://msblogs.thesourcemediaassets.com/sites/5/2022/06/Microsoft-RAI-Impact-Assessment-Guide.pdf" TargetMode="External"/><Relationship Id="rId84" Type="http://schemas.openxmlformats.org/officeDocument/2006/relationships/footer" Target="footer1.xml"/><Relationship Id="rId16" Type="http://schemas.openxmlformats.org/officeDocument/2006/relationships/image" Target="media/image3.png"/><Relationship Id="rId11" Type="http://schemas.openxmlformats.org/officeDocument/2006/relationships/image" Target="media/image1.jpeg"/><Relationship Id="rId32" Type="http://schemas.openxmlformats.org/officeDocument/2006/relationships/hyperlink" Target="https://www.ki-strategie-deutschland.de/files/downloads/Fortschreibung_KI-Strategie_engl.pdf" TargetMode="External"/><Relationship Id="rId37" Type="http://schemas.openxmlformats.org/officeDocument/2006/relationships/hyperlink" Target="https://oecd.ai/en/dashboards/policy-initiatives/http:%2F%2Faipo.oecd.org%2F2021-data-policyInitiatives-24840" TargetMode="External"/><Relationship Id="rId53" Type="http://schemas.openxmlformats.org/officeDocument/2006/relationships/hyperlink" Target="https://www.finra.org/sites/default/files/2020-06/ai-report-061020.pdf" TargetMode="External"/><Relationship Id="rId58" Type="http://schemas.openxmlformats.org/officeDocument/2006/relationships/hyperlink" Target="https://arxiv.org/pdf/1805.03677" TargetMode="External"/><Relationship Id="rId74" Type="http://schemas.openxmlformats.org/officeDocument/2006/relationships/hyperlink" Target="https://nvlpubs.nist.gov/nistpubs/ai/NIST.AI.600-1.pdf" TargetMode="External"/><Relationship Id="rId79" Type="http://schemas.openxmlformats.org/officeDocument/2006/relationships/hyperlink" Target="https://www.nist.gov/%20system/files/documents/2021/10/04/aiareport2018.pdf" TargetMode="External"/><Relationship Id="rId5" Type="http://schemas.openxmlformats.org/officeDocument/2006/relationships/numbering" Target="numbering.xml"/><Relationship Id="rId19" Type="http://schemas.openxmlformats.org/officeDocument/2006/relationships/hyperlink" Target="https://nvlpubs.nist.gov/nistpubs/ai/NIST.AI.600-1.pdf" TargetMode="External"/><Relationship Id="rId14" Type="http://schemas.openxmlformats.org/officeDocument/2006/relationships/hyperlink" Target="http://www.cyberriskinstitute.org/" TargetMode="External"/><Relationship Id="rId22" Type="http://schemas.openxmlformats.org/officeDocument/2006/relationships/hyperlink" Target="https://www.oecd.org/en/topics/sub-issues/ai-principles.html" TargetMode="External"/><Relationship Id="rId27" Type="http://schemas.openxmlformats.org/officeDocument/2006/relationships/hyperlink" Target="https://www.ffiec.gov/guidance/Authentication-and-Access-to-Financial-Institution-Services-and-Systems.pdf" TargetMode="External"/><Relationship Id="rId30" Type="http://schemas.openxmlformats.org/officeDocument/2006/relationships/hyperlink" Target="https://www.mas.gov.sg/-/media/mas-media-library/publications/monographs-or-information-paper/imd/2024/information-paper-on-ai-risk-management-final.pdf" TargetMode="External"/><Relationship Id="rId35" Type="http://schemas.openxmlformats.org/officeDocument/2006/relationships/hyperlink" Target="https://www.cas.go.jp/jp/seisaku/jinkouchinou/pdf/humancentricai.pdf" TargetMode="External"/><Relationship Id="rId43" Type="http://schemas.openxmlformats.org/officeDocument/2006/relationships/hyperlink" Target="https://www.consumerfinance.gov/compliance/circul%20ars/circular-2022-03-%20adverse-%20action-%20notification-%20requirements-%20in-%20connection-%20with-%20credit-decisions-based-on-complex-algorithms/" TargetMode="External"/><Relationship Id="rId48" Type="http://schemas.openxmlformats.org/officeDocument/2006/relationships/hyperlink" Target="https://www.bankingsupervision.europa.eu/ecb/pub/pdf/ssm.supervisory%20guide202507.en.%20pdf" TargetMode="External"/><Relationship Id="rId56" Type="http://schemas.openxmlformats.org/officeDocument/2006/relationships/hyperlink" Target="https://dl.acm.org/doi/10.1145/3458723" TargetMode="External"/><Relationship Id="rId64" Type="http://schemas.openxmlformats.org/officeDocument/2006/relationships/hyperlink" Target="https://www.iso.org/%20standard/42005" TargetMode="External"/><Relationship Id="rId69" Type="http://schemas.openxmlformats.org/officeDocument/2006/relationships/hyperlink" Target="https://msblogs.thesourcemediaassets.com/sites/5/2022/06/Microsoft-RAI-Impact-Assessment-Template.pdf" TargetMode="External"/><Relationship Id="rId77" Type="http://schemas.openxmlformats.org/officeDocument/2006/relationships/hyperlink" Target="https://www.occ.gov/publications-and-resources/publications/comptrollers-handbo%20ok/files/fair-lending/index-fair-lending.html" TargetMode="External"/><Relationship Id="rId8" Type="http://schemas.openxmlformats.org/officeDocument/2006/relationships/webSettings" Target="webSettings.xml"/><Relationship Id="rId51" Type="http://schemas.openxmlformats.org/officeDocument/2006/relationships/hyperlink" Target="https://www.fhfa.gov/%20advisory-bulletin/AB-2022-03" TargetMode="External"/><Relationship Id="rId72" Type="http://schemas.openxmlformats.org/officeDocument/2006/relationships/hyperlink" Target="https://dl.acm.org/doi/pdf/10.1145/3287560.3287596" TargetMode="External"/><Relationship Id="rId80" Type="http://schemas.openxmlformats.org/officeDocument/2006/relationships/hyperlink" Target="https://tsapps.nist.gov/publication/get_pdf.cfm?pub_id=934464" TargetMode="External"/><Relationship Id="rId85"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hyperlink" Target="https://nvlpubs.nist.gov/nistpubs/ai/nist.ai.100-1.pdf" TargetMode="External"/><Relationship Id="rId25" Type="http://schemas.openxmlformats.org/officeDocument/2006/relationships/hyperlink" Target="file:///C:\Users\AngelaPatel\AppData\Local\Microsoft\Windows\INetCache\Documents\:b:\r\sites\US-TrustedAISolutions\Shared%20Documents\General\5.%20External%20Sources\Standards%20and%20White%20Papers\ISO%20-%20Do%20not%20copy\ISO_IEC_42001_2023(en).pdf?csf=1&amp;web=1&amp;e=Xb3yKE" TargetMode="External"/><Relationship Id="rId33" Type="http://schemas.openxmlformats.org/officeDocument/2006/relationships/hyperlink" Target="https://www.sbfi.admin.ch/dam/sbfi/en/dokumente/2021/05/leitlinien-ki.pdf.download.pdf/leitlinien-ki_e.pdf" TargetMode="External"/><Relationship Id="rId38" Type="http://schemas.openxmlformats.org/officeDocument/2006/relationships/hyperlink" Target="https://ai.meta.com/research/publications/system-level-transparency-of-machine-learning/" TargetMode="External"/><Relationship Id="rId46" Type="http://schemas.openxmlformats.org/officeDocument/2006/relationships/hyperlink" Target="https://www.cftc.gov/media/10626/TAC%20AIReport050224/download" TargetMode="External"/><Relationship Id="rId59" Type="http://schemas.openxmlformats.org/officeDocument/2006/relationships/hyperlink" Target="https://s-rsa.com/index.php/agi/article/view/13657" TargetMode="External"/><Relationship Id="rId67" Type="http://schemas.openxmlformats.org/officeDocument/2006/relationships/hyperlink" Target="https://msblogs.thesourcemediaassets.com/sites/5/2022/06/Microsoft-RAI-Impact-Assessment-Guide.pdf" TargetMode="External"/><Relationship Id="rId20" Type="http://schemas.openxmlformats.org/officeDocument/2006/relationships/hyperlink" Target="https://nvlpubs.nist.gov/nistpubs/ai/NIST.AI.600-1.pdf" TargetMode="External"/><Relationship Id="rId41" Type="http://schemas.openxmlformats.org/officeDocument/2006/relationships/hyperlink" Target="https://cdn-dynmedia-1.microsoft.com/is/content/microsoftcorp/microsoft/final/en-us/microsoft-brand/documents/%20Taxonomy-of-Failure-Mode-in-Agentic-AI-Systems-Whitepaper.pdf." TargetMode="External"/><Relationship Id="rId54" Type="http://schemas.openxmlformats.org/officeDocument/2006/relationships/hyperlink" Target="https://www.federalreserve.gov/supervisionreg/stress-tests-capital-planning.htm" TargetMode="External"/><Relationship Id="rId62" Type="http://schemas.openxmlformats.org/officeDocument/2006/relationships/hyperlink" Target="https://www.iso.org/standard/81608.html" TargetMode="External"/><Relationship Id="rId70" Type="http://schemas.openxmlformats.org/officeDocument/2006/relationships/hyperlink" Target="https://msblogs.thesourcemediaassets.com/sites/5/2022/06/Microsoft-RAI-Impact-Assessment-Template.pdf" TargetMode="External"/><Relationship Id="rId75" Type="http://schemas.openxmlformats.org/officeDocument/2006/relationships/hyperlink" Target="https://nvlpubs.nist.gov/nistpubs/ai/%20NIST.AI.600-1.pdf" TargetMode="External"/><Relationship Id="rId83" Type="http://schemas.openxmlformats.org/officeDocument/2006/relationships/header" Target="header1.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Secretariat@cyberriskinstitute.org" TargetMode="External"/><Relationship Id="rId23" Type="http://schemas.openxmlformats.org/officeDocument/2006/relationships/hyperlink" Target="https://eur-lex.europa.eu/legal-content/EN/TXT/PDF/?uri=OJ:L_202401689" TargetMode="External"/><Relationship Id="rId28" Type="http://schemas.openxmlformats.org/officeDocument/2006/relationships/hyperlink" Target="https://www.oecd.org/content/dam/oecd/en/publications/reports/2024/10/g7-toolkit-for-artificial-intelligence-in-the-public-sector_f93fb9fb/421c1244-en.pdf" TargetMode="External"/><Relationship Id="rId36" Type="http://schemas.openxmlformats.org/officeDocument/2006/relationships/hyperlink" Target="https://www.tbs-sct.canada.ca/pol/doc-eng.aspx?id=32592" TargetMode="External"/><Relationship Id="rId49" Type="http://schemas.openxmlformats.org/officeDocument/2006/relationships/hyperlink" Target="https://eur-lex.europa.eu/legal-content/EN/TXT/?uri=CELEX:32024R1689." TargetMode="External"/><Relationship Id="rId57" Type="http://schemas.openxmlformats.org/officeDocument/2006/relationships/hyperlink" Target="https://www.oreilly.com/library/view/machine-learning-for/9781098102425/" TargetMode="External"/><Relationship Id="rId10" Type="http://schemas.openxmlformats.org/officeDocument/2006/relationships/endnotes" Target="endnotes.xml"/><Relationship Id="rId31" Type="http://schemas.openxmlformats.org/officeDocument/2006/relationships/hyperlink" Target="https://www.aisi.gov.uk/" TargetMode="External"/><Relationship Id="rId44" Type="http://schemas.openxmlformats.org/officeDocument/2006/relationships/hyperlink" Target="https://www.consumerfinance.gov/data-research/research-reports/chatbots-in-consumer-finance/chatbots-in-consumer-finance/" TargetMode="External"/><Relationship Id="rId52" Type="http://schemas.openxmlformats.org/officeDocument/2006/relationships/hyperlink" Target="https://www.consumerfinance.gov/about-us/blog/innovation-spotlight-providing-adverse-action-notices-when-using-ai-ml-models/" TargetMode="External"/><Relationship Id="rId60" Type="http://schemas.openxmlformats.org/officeDocument/2006/relationships/hyperlink" Target="https://www.iso.org/%20standard/45481.html" TargetMode="External"/><Relationship Id="rId65" Type="http://schemas.openxmlformats.org/officeDocument/2006/relationships/hyperlink" Target="https://arxiv.org/pdf/2505.21808" TargetMode="External"/><Relationship Id="rId73" Type="http://schemas.openxmlformats.org/officeDocument/2006/relationships/hyperlink" Target="https://arxiv.org/abs/2410.02828" TargetMode="External"/><Relationship Id="rId78" Type="http://schemas.openxmlformats.org/officeDocument/2006/relationships/hyperlink" Target="https://www.oecd.org/content/dam/oecd/en/publications/reports/2025/02/towards-a-common-reporting-framework-for-ai-incidents_8c488fdb/f326d4ac-en.pdf" TargetMode="External"/><Relationship Id="rId81" Type="http://schemas.openxmlformats.org/officeDocument/2006/relationships/hyperlink" Target="https://www.oecd.org/content/dam/oecd/en/publications/reports/2025/02/towards-a-common-reporting-framework-for-ai-incidents_8c488fdb/f326d4ac-en.pdf" TargetMode="External"/><Relationship Id="rId86"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cyberriskinstitute.org/" TargetMode="External"/><Relationship Id="rId18" Type="http://schemas.openxmlformats.org/officeDocument/2006/relationships/hyperlink" Target="https://www.nist.gov/itl/ai-risk-management-framework/nist-ai-rmf-playbook" TargetMode="External"/><Relationship Id="rId39" Type="http://schemas.openxmlformats.org/officeDocument/2006/relationships/hyperlink" Target="https://arxiv.org/pdf/2504.16743" TargetMode="External"/><Relationship Id="rId34" Type="http://schemas.openxmlformats.org/officeDocument/2006/relationships/hyperlink" Target="https://www.industry.gov.au/publications/australias-artificial-intelligence-ethics-framework" TargetMode="External"/><Relationship Id="rId50" Type="http://schemas.openxmlformats.org/officeDocument/2006/relationships/hyperlink" Target="https://www.fhfa.gov/advisory-bulletin/ab-2013-07" TargetMode="External"/><Relationship Id="rId55" Type="http://schemas.openxmlformats.org/officeDocument/2006/relationships/hyperlink" Target="https://www.federalreserve.gov/supervisionreg/srletters/sr1107a1.pdf" TargetMode="External"/><Relationship Id="rId76" Type="http://schemas.openxmlformats.org/officeDocument/2006/relationships/hyperlink" Target="https://www.occ.gov/publications-and-resources/publications/comptrollers-handbook/files/model-risk-management/index-model-risk-management.html" TargetMode="External"/><Relationship Id="rId7" Type="http://schemas.openxmlformats.org/officeDocument/2006/relationships/settings" Target="settings.xml"/><Relationship Id="rId71" Type="http://schemas.openxmlformats.org/officeDocument/2006/relationships/hyperlink" Target="https://msblogs.thesourcemediaassets.com/sites/5/2022/06/Microsoft-RAI-Impact-Assessment-Template.pdf" TargetMode="External"/><Relationship Id="rId2" Type="http://schemas.openxmlformats.org/officeDocument/2006/relationships/customXml" Target="../customXml/item2.xml"/><Relationship Id="rId29" Type="http://schemas.openxmlformats.org/officeDocument/2006/relationships/hyperlink" Target="https://www.argentina.gob.ar/noticias/programa-de-transparencia-y-proteccion-de-datos-personales-en-el-uso-de-la-inteligencia" TargetMode="External"/><Relationship Id="rId24" Type="http://schemas.openxmlformats.org/officeDocument/2006/relationships/hyperlink" Target="https://cyberriskinstitute.org/the-profile/" TargetMode="External"/><Relationship Id="rId40" Type="http://schemas.openxmlformats.org/officeDocument/2006/relationships/hyperlink" Target="https://arxiv.org/pdf/2504.16743" TargetMode="External"/><Relationship Id="rId45" Type="http://schemas.openxmlformats.org/officeDocument/2006/relationships/hyperlink" Target="https://www.consumerfinance.gov/rules-policy/regulations/1002/interp-0/" TargetMode="External"/><Relationship Id="rId66" Type="http://schemas.openxmlformats.org/officeDocument/2006/relationships/hyperlink" Target="https://arxiv.org/pdf/2011.08512" TargetMode="External"/><Relationship Id="rId87" Type="http://schemas.openxmlformats.org/officeDocument/2006/relationships/fontTable" Target="fontTable.xml"/><Relationship Id="rId61" Type="http://schemas.openxmlformats.org/officeDocument/2006/relationships/hyperlink" Target="https://www.iso.org/standard/45481.html" TargetMode="External"/><Relationship Id="rId82" Type="http://schemas.openxmlformats.org/officeDocument/2006/relationships/hyperlink" Target="https://arxiv.org/pdf/2411.16391"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footnotes.xml.rels><?xml version="1.0" encoding="UTF-8" standalone="yes"?>
<Relationships xmlns="http://schemas.openxmlformats.org/package/2006/relationships"><Relationship Id="rId13" Type="http://schemas.openxmlformats.org/officeDocument/2006/relationships/hyperlink" Target="https://www.industry.gov.au/publications/voluntary-ai-safety-standard/terms-and-definitions" TargetMode="External"/><Relationship Id="rId18" Type="http://schemas.openxmlformats.org/officeDocument/2006/relationships/hyperlink" Target="https://www.iso.org/standard/71952.html" TargetMode="External"/><Relationship Id="rId26" Type="http://schemas.openxmlformats.org/officeDocument/2006/relationships/hyperlink" Target="https://www.bis.org/fsi/publ/insights63.pdf" TargetMode="External"/><Relationship Id="rId39" Type="http://schemas.openxmlformats.org/officeDocument/2006/relationships/hyperlink" Target="https://home.treasury.gov/system/files/261/FSOC2023AnnualReport.pdf" TargetMode="External"/><Relationship Id="rId21" Type="http://schemas.openxmlformats.org/officeDocument/2006/relationships/hyperlink" Target="https://cloud.google.com/discover/what-is-artificial-general-intelligence" TargetMode="External"/><Relationship Id="rId34" Type="http://schemas.openxmlformats.org/officeDocument/2006/relationships/hyperlink" Target="https://home.treasury.gov/system/files/261/FSOC2024AnnualReport.pdf" TargetMode="External"/><Relationship Id="rId42" Type="http://schemas.openxmlformats.org/officeDocument/2006/relationships/hyperlink" Target="https://www.ibm.com/think/topics/model-governance" TargetMode="External"/><Relationship Id="rId47" Type="http://schemas.openxmlformats.org/officeDocument/2006/relationships/hyperlink" Target="https://www.occ.treas.gov/publications-and-resources/publications/comptrollers-handbook/files/model-risk-management/pub-ch-model-risk.pdf" TargetMode="External"/><Relationship Id="rId50" Type="http://schemas.openxmlformats.org/officeDocument/2006/relationships/hyperlink" Target="https://www.occ.treas.gov/publications-and-resources/publications/comptrollers-handbook/files/model-risk-management/pub-ch-model-risk.pdf" TargetMode="External"/><Relationship Id="rId55" Type="http://schemas.openxmlformats.org/officeDocument/2006/relationships/hyperlink" Target="https://www.cnss.gov/CNSS/openDoc.cfm?a=ZzQpuWVxCe9cbduemCczmQ%3D%3D&amp;b=182777ABC0ECF2B8C958324742AB098B04DD76BC73C110B953C7497B6724E9FAE561754EF8C1E26BF2F46CF099C94507" TargetMode="External"/><Relationship Id="rId7" Type="http://schemas.openxmlformats.org/officeDocument/2006/relationships/hyperlink" Target="https://www.ibm.com/think/topics/ai-agents" TargetMode="External"/><Relationship Id="rId2" Type="http://schemas.openxmlformats.org/officeDocument/2006/relationships/hyperlink" Target="http://www.cyberriskinstitute.org" TargetMode="External"/><Relationship Id="rId16" Type="http://schemas.openxmlformats.org/officeDocument/2006/relationships/hyperlink" Target="https://nvlpubs.nist.gov/nistpubs/SpecialPublications/NIST.SP.1270.pdf" TargetMode="External"/><Relationship Id="rId29" Type="http://schemas.openxmlformats.org/officeDocument/2006/relationships/hyperlink" Target="https://www.occ.treas.gov/publications-and-resources/publications/comptrollers-handbook/files/model-risk-management/pub-ch-model-risk.pdf" TargetMode="External"/><Relationship Id="rId11" Type="http://schemas.openxmlformats.org/officeDocument/2006/relationships/hyperlink" Target="http://www.ibm.com/think/topics/model-drift" TargetMode="External"/><Relationship Id="rId24" Type="http://schemas.openxmlformats.org/officeDocument/2006/relationships/hyperlink" Target="https://www.ibm.com/think/topics/black-box-ai" TargetMode="External"/><Relationship Id="rId32" Type="http://schemas.openxmlformats.org/officeDocument/2006/relationships/hyperlink" Target="https://mindgard.ai/blog/what-are-ai-guardrails" TargetMode="External"/><Relationship Id="rId37" Type="http://schemas.openxmlformats.org/officeDocument/2006/relationships/hyperlink" Target="https://home.treasury.gov/system/files/261/FSOC2024AnnualReport.pdf" TargetMode="External"/><Relationship Id="rId40" Type="http://schemas.openxmlformats.org/officeDocument/2006/relationships/hyperlink" Target="https://www.occ.treas.gov/publications-and-resources/publications/comptrollers-handbook/files/model-risk-management/pub-ch-model-risk.pdf" TargetMode="External"/><Relationship Id="rId45" Type="http://schemas.openxmlformats.org/officeDocument/2006/relationships/hyperlink" Target="https://www.occ.treas.gov/publications-and-resources/publications/comptrollers-handbook/files/model-risk-management/pub-ch-model-risk.pdf" TargetMode="External"/><Relationship Id="rId53" Type="http://schemas.openxmlformats.org/officeDocument/2006/relationships/hyperlink" Target="https://nvlpubs.nist.gov/nistpubs/ai/NIST.AI.100-1.pdf" TargetMode="External"/><Relationship Id="rId58" Type="http://schemas.openxmlformats.org/officeDocument/2006/relationships/hyperlink" Target="https://www.iso.org/obp/ui/" TargetMode="External"/><Relationship Id="rId5" Type="http://schemas.openxmlformats.org/officeDocument/2006/relationships/hyperlink" Target="https://www.nccoe.nist.gov/ai/adversarial-machine-learning" TargetMode="External"/><Relationship Id="rId61" Type="http://schemas.openxmlformats.org/officeDocument/2006/relationships/hyperlink" Target="https://nvlpubs.nist.gov/nistpubs/ai/NIST.AI.100-1.pdf" TargetMode="External"/><Relationship Id="rId19" Type="http://schemas.openxmlformats.org/officeDocument/2006/relationships/hyperlink" Target="https://doi.org/10.6028/NIST.SP.800-37r2" TargetMode="External"/><Relationship Id="rId14" Type="http://schemas.openxmlformats.org/officeDocument/2006/relationships/hyperlink" Target="https://airc.nist.gov/glossary/" TargetMode="External"/><Relationship Id="rId22" Type="http://schemas.openxmlformats.org/officeDocument/2006/relationships/hyperlink" Target="https://uscode.house.gov/view.xhtml?req=(title:15%20section:9401%20edition:prelim)" TargetMode="External"/><Relationship Id="rId27" Type="http://schemas.openxmlformats.org/officeDocument/2006/relationships/hyperlink" Target="https://nvlpubs.nist.gov/nistpubs/SpecialPublications/NIST.SP.1500-4r2.pdf" TargetMode="External"/><Relationship Id="rId30" Type="http://schemas.openxmlformats.org/officeDocument/2006/relationships/hyperlink" Target="https://www.bis.org/fsi/publ/insights63.pdf" TargetMode="External"/><Relationship Id="rId35" Type="http://schemas.openxmlformats.org/officeDocument/2006/relationships/hyperlink" Target="https://nvlpubs.nist.gov/nistpubs/ai/NIST.AI.100-1.pdf" TargetMode="External"/><Relationship Id="rId43" Type="http://schemas.openxmlformats.org/officeDocument/2006/relationships/hyperlink" Target="https://www.nccoe.nist.gov/publication/1800-25/VolA/index.html" TargetMode="External"/><Relationship Id="rId48" Type="http://schemas.openxmlformats.org/officeDocument/2006/relationships/hyperlink" Target="https://www.nist.gov/ai-test-evaluation-validation-and-verification-tevv" TargetMode="External"/><Relationship Id="rId56" Type="http://schemas.openxmlformats.org/officeDocument/2006/relationships/hyperlink" Target="https://thepaymentsassociation.org/wp-content/uploads/2024/06/6250_PA_Glossary_AI_Terms_V5-FINAL.pdf" TargetMode="External"/><Relationship Id="rId8" Type="http://schemas.openxmlformats.org/officeDocument/2006/relationships/hyperlink" Target="https://www.iso.org/obp/ui/" TargetMode="External"/><Relationship Id="rId51" Type="http://schemas.openxmlformats.org/officeDocument/2006/relationships/hyperlink" Target="https://home.treasury.gov/system/files/136/Managing-Artificial-Intelligence-Specific-Cybersecurity-Risks-In-The-Financial-Services-Sector.pdf" TargetMode="External"/><Relationship Id="rId3" Type="http://schemas.openxmlformats.org/officeDocument/2006/relationships/hyperlink" Target="https://home.treasury.gov/news/press-releases/jy2760" TargetMode="External"/><Relationship Id="rId12" Type="http://schemas.openxmlformats.org/officeDocument/2006/relationships/hyperlink" Target="https://www.belfercenter.org/publication/AttackingAI" TargetMode="External"/><Relationship Id="rId17" Type="http://schemas.openxmlformats.org/officeDocument/2006/relationships/hyperlink" Target="https://doi.org/10.6028/NIST.SP.800-160v1r1" TargetMode="External"/><Relationship Id="rId25" Type="http://schemas.openxmlformats.org/officeDocument/2006/relationships/hyperlink" Target="https://www.industry.gov.au/publications/voluntary-ai-safety-standard/terms-and-definitions" TargetMode="External"/><Relationship Id="rId33" Type="http://schemas.openxmlformats.org/officeDocument/2006/relationships/hyperlink" Target="https://home.treasury.gov/system/files/261/FSOC2023AnnualReport.pdf" TargetMode="External"/><Relationship Id="rId38" Type="http://schemas.openxmlformats.org/officeDocument/2006/relationships/hyperlink" Target="https://www.fsb.org/uploads/P011117.pdf" TargetMode="External"/><Relationship Id="rId46" Type="http://schemas.openxmlformats.org/officeDocument/2006/relationships/hyperlink" Target="https://nvlpubs.nist.gov/nistpubs/ams/NIST.AMS.100-30.pdf" TargetMode="External"/><Relationship Id="rId59" Type="http://schemas.openxmlformats.org/officeDocument/2006/relationships/hyperlink" Target="https://resources.data.gov/glossary/unstructured-data/" TargetMode="External"/><Relationship Id="rId20" Type="http://schemas.openxmlformats.org/officeDocument/2006/relationships/hyperlink" Target="https://doi.org/10.6028/NIST.CSWP.04162018" TargetMode="External"/><Relationship Id="rId41" Type="http://schemas.openxmlformats.org/officeDocument/2006/relationships/hyperlink" Target="https://www.openriskmanual.org/wiki/Model_Documentation" TargetMode="External"/><Relationship Id="rId54" Type="http://schemas.openxmlformats.org/officeDocument/2006/relationships/hyperlink" Target="https://aws.amazon.com/what-is/retrieval-augmented-generation/" TargetMode="External"/><Relationship Id="rId1" Type="http://schemas.openxmlformats.org/officeDocument/2006/relationships/hyperlink" Target="https://cyberriskinstitute.org/the-profile/" TargetMode="External"/><Relationship Id="rId6" Type="http://schemas.openxmlformats.org/officeDocument/2006/relationships/hyperlink" Target="https://doi.org/10.1016/j.array.2025.100399" TargetMode="External"/><Relationship Id="rId15" Type="http://schemas.openxmlformats.org/officeDocument/2006/relationships/hyperlink" Target="https://nvlpubs.nist.gov/nistpubs/Legacy/SP/nistspecialpublication800-107r1.pdf" TargetMode="External"/><Relationship Id="rId23" Type="http://schemas.openxmlformats.org/officeDocument/2006/relationships/hyperlink" Target="https://www.occ.treas.gov/publications-and-resources/publications/comptrollers-handbook/files/model-risk-management/pub-ch-model-risk.pdf" TargetMode="External"/><Relationship Id="rId28" Type="http://schemas.openxmlformats.org/officeDocument/2006/relationships/hyperlink" Target="https://airc.nist.gov/glossary/" TargetMode="External"/><Relationship Id="rId36" Type="http://schemas.openxmlformats.org/officeDocument/2006/relationships/hyperlink" Target="https://nvlpubs.nist.gov/nistpubs/ai/NIST.AI.100-1.pdf" TargetMode="External"/><Relationship Id="rId49" Type="http://schemas.openxmlformats.org/officeDocument/2006/relationships/hyperlink" Target="https://nvlpubs.nist.gov/nistpubs/ai/NIST.AI.100-1.pdf" TargetMode="External"/><Relationship Id="rId57" Type="http://schemas.openxmlformats.org/officeDocument/2006/relationships/hyperlink" Target="https://www.uschamber.com/co/run/technology/traditional-ai-vs-generative-ai" TargetMode="External"/><Relationship Id="rId10" Type="http://schemas.openxmlformats.org/officeDocument/2006/relationships/hyperlink" Target="https://www.ibm.com/think/topics/model-drift" TargetMode="External"/><Relationship Id="rId31" Type="http://schemas.openxmlformats.org/officeDocument/2006/relationships/hyperlink" Target="https://www.govinfo.gov/content/pkg/USCODE-2023-title15/pdf/USCODE-2023-title15-chap119-sec9401.pdf" TargetMode="External"/><Relationship Id="rId44" Type="http://schemas.openxmlformats.org/officeDocument/2006/relationships/hyperlink" Target="https://nvlpubs.nist.gov/nistpubs/ir/2016/NIST.IR.7621r1.pdf" TargetMode="External"/><Relationship Id="rId52" Type="http://schemas.openxmlformats.org/officeDocument/2006/relationships/hyperlink" Target="https://csrc.nist.gov/glossary/term/direct_prompting_attack" TargetMode="External"/><Relationship Id="rId60" Type="http://schemas.openxmlformats.org/officeDocument/2006/relationships/hyperlink" Target="https://www.iso.org/standard/45481.html" TargetMode="External"/><Relationship Id="rId4" Type="http://schemas.openxmlformats.org/officeDocument/2006/relationships/hyperlink" Target="https://nvlpubs.nist.gov/nistpubs/ai/NIST.AI.100-2e2025.pdf" TargetMode="External"/><Relationship Id="rId9" Type="http://schemas.openxmlformats.org/officeDocument/2006/relationships/hyperlink" Target="https://csrc.nist.gov/glossary/term/artificial_intelligence_mode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Wake\Downloads\CRI_Report_Template.dotx" TargetMode="External"/></Relationships>
</file>

<file path=word/theme/theme1.xml><?xml version="1.0" encoding="utf-8"?>
<a:theme xmlns:a="http://schemas.openxmlformats.org/drawingml/2006/main" name="DL">
  <a:themeElements>
    <a:clrScheme name="CRI Brand Colors">
      <a:dk1>
        <a:srgbClr val="000000"/>
      </a:dk1>
      <a:lt1>
        <a:srgbClr val="FFFFFF"/>
      </a:lt1>
      <a:dk2>
        <a:srgbClr val="53585F"/>
      </a:dk2>
      <a:lt2>
        <a:srgbClr val="CDDCDC"/>
      </a:lt2>
      <a:accent1>
        <a:srgbClr val="B31E3E"/>
      </a:accent1>
      <a:accent2>
        <a:srgbClr val="34246B"/>
      </a:accent2>
      <a:accent3>
        <a:srgbClr val="51459C"/>
      </a:accent3>
      <a:accent4>
        <a:srgbClr val="EFA320"/>
      </a:accent4>
      <a:accent5>
        <a:srgbClr val="2474A5"/>
      </a:accent5>
      <a:accent6>
        <a:srgbClr val="0A3B58"/>
      </a:accent6>
      <a:hlink>
        <a:srgbClr val="0000FF"/>
      </a:hlink>
      <a:folHlink>
        <a:srgbClr val="FF00F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DL" id="{CE9DA1A2-2ED7-9349-8718-1AD691C689EB}" vid="{BDDE4F98-DFB1-C643-A761-35620FCCE22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c0d78b65-1a28-4d20-8f44-f09db0c6af3c">
      <UserInfo>
        <DisplayName>Kelly C Volz</DisplayName>
        <AccountId>14</AccountId>
        <AccountType/>
      </UserInfo>
      <UserInfo>
        <DisplayName>Joseph M Crouse</DisplayName>
        <AccountId>10</AccountId>
        <AccountType/>
      </UserInfo>
      <UserInfo>
        <DisplayName>Bhavya Bhandari</DisplayName>
        <AccountId>9</AccountId>
        <AccountType/>
      </UserInfo>
      <UserInfo>
        <DisplayName>Kassidy Warren</DisplayName>
        <AccountId>6</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4424BE0E4E44F41B35D25EFD6504971" ma:contentTypeVersion="6" ma:contentTypeDescription="Create a new document." ma:contentTypeScope="" ma:versionID="01e44dea340bbc778165ddd5a9902996">
  <xsd:schema xmlns:xsd="http://www.w3.org/2001/XMLSchema" xmlns:xs="http://www.w3.org/2001/XMLSchema" xmlns:p="http://schemas.microsoft.com/office/2006/metadata/properties" xmlns:ns2="7f2ec64e-9ab2-4d79-b3b7-fef0135904f9" xmlns:ns3="c0d78b65-1a28-4d20-8f44-f09db0c6af3c" targetNamespace="http://schemas.microsoft.com/office/2006/metadata/properties" ma:root="true" ma:fieldsID="c3b8daedc0a29188f0f5622f4a2d3321" ns2:_="" ns3:_="">
    <xsd:import namespace="7f2ec64e-9ab2-4d79-b3b7-fef0135904f9"/>
    <xsd:import namespace="c0d78b65-1a28-4d20-8f44-f09db0c6af3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2ec64e-9ab2-4d79-b3b7-fef0135904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d78b65-1a28-4d20-8f44-f09db0c6af3c"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117D559-0EFD-40C7-B475-888E4EF852CF}">
  <ds:schemaRefs>
    <ds:schemaRef ds:uri="http://schemas.microsoft.com/sharepoint/v3/contenttype/forms"/>
  </ds:schemaRefs>
</ds:datastoreItem>
</file>

<file path=customXml/itemProps2.xml><?xml version="1.0" encoding="utf-8"?>
<ds:datastoreItem xmlns:ds="http://schemas.openxmlformats.org/officeDocument/2006/customXml" ds:itemID="{978E1553-8618-4580-89E9-BD7A494F9F7B}">
  <ds:schemaRefs>
    <ds:schemaRef ds:uri="http://schemas.microsoft.com/office/2006/metadata/properties"/>
    <ds:schemaRef ds:uri="http://schemas.microsoft.com/office/infopath/2007/PartnerControls"/>
    <ds:schemaRef ds:uri="c0d78b65-1a28-4d20-8f44-f09db0c6af3c"/>
  </ds:schemaRefs>
</ds:datastoreItem>
</file>

<file path=customXml/itemProps3.xml><?xml version="1.0" encoding="utf-8"?>
<ds:datastoreItem xmlns:ds="http://schemas.openxmlformats.org/officeDocument/2006/customXml" ds:itemID="{BD659B99-4ED3-4F0B-8A19-10967C097271}">
  <ds:schemaRefs>
    <ds:schemaRef ds:uri="http://schemas.openxmlformats.org/officeDocument/2006/bibliography"/>
  </ds:schemaRefs>
</ds:datastoreItem>
</file>

<file path=customXml/itemProps4.xml><?xml version="1.0" encoding="utf-8"?>
<ds:datastoreItem xmlns:ds="http://schemas.openxmlformats.org/officeDocument/2006/customXml" ds:itemID="{C5CA0CE4-9EB7-4271-AC6C-6286964356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2ec64e-9ab2-4d79-b3b7-fef0135904f9"/>
    <ds:schemaRef ds:uri="c0d78b65-1a28-4d20-8f44-f09db0c6af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CRI_Report_Template</Template>
  <TotalTime>5</TotalTime>
  <Pages>65</Pages>
  <Words>25303</Words>
  <Characters>163715</Characters>
  <Application>Microsoft Office Word</Application>
  <DocSecurity>0</DocSecurity>
  <Lines>3720</Lines>
  <Paragraphs>1734</Paragraphs>
  <ScaleCrop>false</ScaleCrop>
  <HeadingPairs>
    <vt:vector size="2" baseType="variant">
      <vt:variant>
        <vt:lpstr>Title</vt:lpstr>
      </vt:variant>
      <vt:variant>
        <vt:i4>1</vt:i4>
      </vt:variant>
    </vt:vector>
  </HeadingPairs>
  <TitlesOfParts>
    <vt:vector size="1" baseType="lpstr">
      <vt:lpstr>Supply Chain - Mike T.</vt:lpstr>
    </vt:vector>
  </TitlesOfParts>
  <Company/>
  <LinksUpToDate>false</LinksUpToDate>
  <CharactersWithSpaces>187284</CharactersWithSpaces>
  <SharedDoc>false</SharedDoc>
  <HLinks>
    <vt:vector size="1548" baseType="variant">
      <vt:variant>
        <vt:i4>655377</vt:i4>
      </vt:variant>
      <vt:variant>
        <vt:i4>1263</vt:i4>
      </vt:variant>
      <vt:variant>
        <vt:i4>0</vt:i4>
      </vt:variant>
      <vt:variant>
        <vt:i4>5</vt:i4>
      </vt:variant>
      <vt:variant>
        <vt:lpwstr/>
      </vt:variant>
      <vt:variant>
        <vt:lpwstr>EXTR0101</vt:lpwstr>
      </vt:variant>
      <vt:variant>
        <vt:i4>3276828</vt:i4>
      </vt:variant>
      <vt:variant>
        <vt:i4>1260</vt:i4>
      </vt:variant>
      <vt:variant>
        <vt:i4>0</vt:i4>
      </vt:variant>
      <vt:variant>
        <vt:i4>5</vt:i4>
      </vt:variant>
      <vt:variant>
        <vt:lpwstr/>
      </vt:variant>
      <vt:variant>
        <vt:lpwstr>Third_party_service_provider</vt:lpwstr>
      </vt:variant>
      <vt:variant>
        <vt:i4>6488151</vt:i4>
      </vt:variant>
      <vt:variant>
        <vt:i4>1209</vt:i4>
      </vt:variant>
      <vt:variant>
        <vt:i4>0</vt:i4>
      </vt:variant>
      <vt:variant>
        <vt:i4>5</vt:i4>
      </vt:variant>
      <vt:variant>
        <vt:lpwstr/>
      </vt:variant>
      <vt:variant>
        <vt:lpwstr>External_dependency</vt:lpwstr>
      </vt:variant>
      <vt:variant>
        <vt:i4>3276828</vt:i4>
      </vt:variant>
      <vt:variant>
        <vt:i4>1206</vt:i4>
      </vt:variant>
      <vt:variant>
        <vt:i4>0</vt:i4>
      </vt:variant>
      <vt:variant>
        <vt:i4>5</vt:i4>
      </vt:variant>
      <vt:variant>
        <vt:lpwstr/>
      </vt:variant>
      <vt:variant>
        <vt:lpwstr>Third_party_service_provider</vt:lpwstr>
      </vt:variant>
      <vt:variant>
        <vt:i4>3276828</vt:i4>
      </vt:variant>
      <vt:variant>
        <vt:i4>1203</vt:i4>
      </vt:variant>
      <vt:variant>
        <vt:i4>0</vt:i4>
      </vt:variant>
      <vt:variant>
        <vt:i4>5</vt:i4>
      </vt:variant>
      <vt:variant>
        <vt:lpwstr/>
      </vt:variant>
      <vt:variant>
        <vt:lpwstr>Third_party_service_provider</vt:lpwstr>
      </vt:variant>
      <vt:variant>
        <vt:i4>7733336</vt:i4>
      </vt:variant>
      <vt:variant>
        <vt:i4>1200</vt:i4>
      </vt:variant>
      <vt:variant>
        <vt:i4>0</vt:i4>
      </vt:variant>
      <vt:variant>
        <vt:i4>5</vt:i4>
      </vt:variant>
      <vt:variant>
        <vt:lpwstr/>
      </vt:variant>
      <vt:variant>
        <vt:lpwstr>_EX.CN-02.02:_Minimum_cybersecurity</vt:lpwstr>
      </vt:variant>
      <vt:variant>
        <vt:i4>3276828</vt:i4>
      </vt:variant>
      <vt:variant>
        <vt:i4>1197</vt:i4>
      </vt:variant>
      <vt:variant>
        <vt:i4>0</vt:i4>
      </vt:variant>
      <vt:variant>
        <vt:i4>5</vt:i4>
      </vt:variant>
      <vt:variant>
        <vt:lpwstr/>
      </vt:variant>
      <vt:variant>
        <vt:lpwstr>Third_party_service_provider</vt:lpwstr>
      </vt:variant>
      <vt:variant>
        <vt:i4>3276828</vt:i4>
      </vt:variant>
      <vt:variant>
        <vt:i4>1194</vt:i4>
      </vt:variant>
      <vt:variant>
        <vt:i4>0</vt:i4>
      </vt:variant>
      <vt:variant>
        <vt:i4>5</vt:i4>
      </vt:variant>
      <vt:variant>
        <vt:lpwstr/>
      </vt:variant>
      <vt:variant>
        <vt:lpwstr>Third_party_service_provider</vt:lpwstr>
      </vt:variant>
      <vt:variant>
        <vt:i4>2162701</vt:i4>
      </vt:variant>
      <vt:variant>
        <vt:i4>1185</vt:i4>
      </vt:variant>
      <vt:variant>
        <vt:i4>0</vt:i4>
      </vt:variant>
      <vt:variant>
        <vt:i4>5</vt:i4>
      </vt:variant>
      <vt:variant>
        <vt:lpwstr/>
      </vt:variant>
      <vt:variant>
        <vt:lpwstr>Situational_awareness</vt:lpwstr>
      </vt:variant>
      <vt:variant>
        <vt:i4>6750294</vt:i4>
      </vt:variant>
      <vt:variant>
        <vt:i4>1182</vt:i4>
      </vt:variant>
      <vt:variant>
        <vt:i4>0</vt:i4>
      </vt:variant>
      <vt:variant>
        <vt:i4>5</vt:i4>
      </vt:variant>
      <vt:variant>
        <vt:lpwstr/>
      </vt:variant>
      <vt:variant>
        <vt:lpwstr>Threat_intelligence</vt:lpwstr>
      </vt:variant>
      <vt:variant>
        <vt:i4>2162701</vt:i4>
      </vt:variant>
      <vt:variant>
        <vt:i4>1179</vt:i4>
      </vt:variant>
      <vt:variant>
        <vt:i4>0</vt:i4>
      </vt:variant>
      <vt:variant>
        <vt:i4>5</vt:i4>
      </vt:variant>
      <vt:variant>
        <vt:lpwstr/>
      </vt:variant>
      <vt:variant>
        <vt:lpwstr>Situational_awareness</vt:lpwstr>
      </vt:variant>
      <vt:variant>
        <vt:i4>6750294</vt:i4>
      </vt:variant>
      <vt:variant>
        <vt:i4>1176</vt:i4>
      </vt:variant>
      <vt:variant>
        <vt:i4>0</vt:i4>
      </vt:variant>
      <vt:variant>
        <vt:i4>5</vt:i4>
      </vt:variant>
      <vt:variant>
        <vt:lpwstr/>
      </vt:variant>
      <vt:variant>
        <vt:lpwstr>Threat_intelligence</vt:lpwstr>
      </vt:variant>
      <vt:variant>
        <vt:i4>3276841</vt:i4>
      </vt:variant>
      <vt:variant>
        <vt:i4>1173</vt:i4>
      </vt:variant>
      <vt:variant>
        <vt:i4>0</vt:i4>
      </vt:variant>
      <vt:variant>
        <vt:i4>5</vt:i4>
      </vt:variant>
      <vt:variant>
        <vt:lpwstr/>
      </vt:variant>
      <vt:variant>
        <vt:lpwstr>Recovery_time_obj</vt:lpwstr>
      </vt:variant>
      <vt:variant>
        <vt:i4>6291542</vt:i4>
      </vt:variant>
      <vt:variant>
        <vt:i4>1158</vt:i4>
      </vt:variant>
      <vt:variant>
        <vt:i4>0</vt:i4>
      </vt:variant>
      <vt:variant>
        <vt:i4>5</vt:i4>
      </vt:variant>
      <vt:variant>
        <vt:lpwstr/>
      </vt:variant>
      <vt:variant>
        <vt:lpwstr>Critical_infrastructure</vt:lpwstr>
      </vt:variant>
      <vt:variant>
        <vt:i4>6750294</vt:i4>
      </vt:variant>
      <vt:variant>
        <vt:i4>1128</vt:i4>
      </vt:variant>
      <vt:variant>
        <vt:i4>0</vt:i4>
      </vt:variant>
      <vt:variant>
        <vt:i4>5</vt:i4>
      </vt:variant>
      <vt:variant>
        <vt:lpwstr/>
      </vt:variant>
      <vt:variant>
        <vt:lpwstr>Threat_intelligence</vt:lpwstr>
      </vt:variant>
      <vt:variant>
        <vt:i4>6750294</vt:i4>
      </vt:variant>
      <vt:variant>
        <vt:i4>1125</vt:i4>
      </vt:variant>
      <vt:variant>
        <vt:i4>0</vt:i4>
      </vt:variant>
      <vt:variant>
        <vt:i4>5</vt:i4>
      </vt:variant>
      <vt:variant>
        <vt:lpwstr/>
      </vt:variant>
      <vt:variant>
        <vt:lpwstr>Threat_intelligence</vt:lpwstr>
      </vt:variant>
      <vt:variant>
        <vt:i4>7602270</vt:i4>
      </vt:variant>
      <vt:variant>
        <vt:i4>1122</vt:i4>
      </vt:variant>
      <vt:variant>
        <vt:i4>0</vt:i4>
      </vt:variant>
      <vt:variant>
        <vt:i4>5</vt:i4>
      </vt:variant>
      <vt:variant>
        <vt:lpwstr/>
      </vt:variant>
      <vt:variant>
        <vt:lpwstr>_DE.AE-04.01:_The_organization</vt:lpwstr>
      </vt:variant>
      <vt:variant>
        <vt:i4>6881359</vt:i4>
      </vt:variant>
      <vt:variant>
        <vt:i4>1119</vt:i4>
      </vt:variant>
      <vt:variant>
        <vt:i4>0</vt:i4>
      </vt:variant>
      <vt:variant>
        <vt:i4>5</vt:i4>
      </vt:variant>
      <vt:variant>
        <vt:lpwstr/>
      </vt:variant>
      <vt:variant>
        <vt:lpwstr>_RS.AN-03.01:_The_organization</vt:lpwstr>
      </vt:variant>
      <vt:variant>
        <vt:i4>6750294</vt:i4>
      </vt:variant>
      <vt:variant>
        <vt:i4>1116</vt:i4>
      </vt:variant>
      <vt:variant>
        <vt:i4>0</vt:i4>
      </vt:variant>
      <vt:variant>
        <vt:i4>5</vt:i4>
      </vt:variant>
      <vt:variant>
        <vt:lpwstr/>
      </vt:variant>
      <vt:variant>
        <vt:lpwstr>Threat_intelligence</vt:lpwstr>
      </vt:variant>
      <vt:variant>
        <vt:i4>7864407</vt:i4>
      </vt:variant>
      <vt:variant>
        <vt:i4>1113</vt:i4>
      </vt:variant>
      <vt:variant>
        <vt:i4>0</vt:i4>
      </vt:variant>
      <vt:variant>
        <vt:i4>5</vt:i4>
      </vt:variant>
      <vt:variant>
        <vt:lpwstr/>
      </vt:variant>
      <vt:variant>
        <vt:lpwstr>_ID.IM-04.08:_The_organization</vt:lpwstr>
      </vt:variant>
      <vt:variant>
        <vt:i4>6750294</vt:i4>
      </vt:variant>
      <vt:variant>
        <vt:i4>1095</vt:i4>
      </vt:variant>
      <vt:variant>
        <vt:i4>0</vt:i4>
      </vt:variant>
      <vt:variant>
        <vt:i4>5</vt:i4>
      </vt:variant>
      <vt:variant>
        <vt:lpwstr/>
      </vt:variant>
      <vt:variant>
        <vt:lpwstr>Threat_intelligence</vt:lpwstr>
      </vt:variant>
      <vt:variant>
        <vt:i4>6750294</vt:i4>
      </vt:variant>
      <vt:variant>
        <vt:i4>1092</vt:i4>
      </vt:variant>
      <vt:variant>
        <vt:i4>0</vt:i4>
      </vt:variant>
      <vt:variant>
        <vt:i4>5</vt:i4>
      </vt:variant>
      <vt:variant>
        <vt:lpwstr/>
      </vt:variant>
      <vt:variant>
        <vt:lpwstr>Threat_intelligence</vt:lpwstr>
      </vt:variant>
      <vt:variant>
        <vt:i4>6750294</vt:i4>
      </vt:variant>
      <vt:variant>
        <vt:i4>1089</vt:i4>
      </vt:variant>
      <vt:variant>
        <vt:i4>0</vt:i4>
      </vt:variant>
      <vt:variant>
        <vt:i4>5</vt:i4>
      </vt:variant>
      <vt:variant>
        <vt:lpwstr/>
      </vt:variant>
      <vt:variant>
        <vt:lpwstr>Threat_intelligence</vt:lpwstr>
      </vt:variant>
      <vt:variant>
        <vt:i4>6160486</vt:i4>
      </vt:variant>
      <vt:variant>
        <vt:i4>1086</vt:i4>
      </vt:variant>
      <vt:variant>
        <vt:i4>0</vt:i4>
      </vt:variant>
      <vt:variant>
        <vt:i4>5</vt:i4>
      </vt:variant>
      <vt:variant>
        <vt:lpwstr/>
      </vt:variant>
      <vt:variant>
        <vt:lpwstr>_PR.DS-6.1:_The_organization</vt:lpwstr>
      </vt:variant>
      <vt:variant>
        <vt:i4>458783</vt:i4>
      </vt:variant>
      <vt:variant>
        <vt:i4>1083</vt:i4>
      </vt:variant>
      <vt:variant>
        <vt:i4>0</vt:i4>
      </vt:variant>
      <vt:variant>
        <vt:i4>5</vt:i4>
      </vt:variant>
      <vt:variant>
        <vt:lpwstr/>
      </vt:variant>
      <vt:variant>
        <vt:lpwstr>SDLC</vt:lpwstr>
      </vt:variant>
      <vt:variant>
        <vt:i4>3276828</vt:i4>
      </vt:variant>
      <vt:variant>
        <vt:i4>1080</vt:i4>
      </vt:variant>
      <vt:variant>
        <vt:i4>0</vt:i4>
      </vt:variant>
      <vt:variant>
        <vt:i4>5</vt:i4>
      </vt:variant>
      <vt:variant>
        <vt:lpwstr/>
      </vt:variant>
      <vt:variant>
        <vt:lpwstr>Third_party_service_provider</vt:lpwstr>
      </vt:variant>
      <vt:variant>
        <vt:i4>6291550</vt:i4>
      </vt:variant>
      <vt:variant>
        <vt:i4>1005</vt:i4>
      </vt:variant>
      <vt:variant>
        <vt:i4>0</vt:i4>
      </vt:variant>
      <vt:variant>
        <vt:i4>5</vt:i4>
      </vt:variant>
      <vt:variant>
        <vt:lpwstr/>
      </vt:variant>
      <vt:variant>
        <vt:lpwstr>Risk_assessment</vt:lpwstr>
      </vt:variant>
      <vt:variant>
        <vt:i4>6291542</vt:i4>
      </vt:variant>
      <vt:variant>
        <vt:i4>996</vt:i4>
      </vt:variant>
      <vt:variant>
        <vt:i4>0</vt:i4>
      </vt:variant>
      <vt:variant>
        <vt:i4>5</vt:i4>
      </vt:variant>
      <vt:variant>
        <vt:lpwstr/>
      </vt:variant>
      <vt:variant>
        <vt:lpwstr>Critical_infrastructure</vt:lpwstr>
      </vt:variant>
      <vt:variant>
        <vt:i4>7340139</vt:i4>
      </vt:variant>
      <vt:variant>
        <vt:i4>993</vt:i4>
      </vt:variant>
      <vt:variant>
        <vt:i4>0</vt:i4>
      </vt:variant>
      <vt:variant>
        <vt:i4>5</vt:i4>
      </vt:variant>
      <vt:variant>
        <vt:lpwstr/>
      </vt:variant>
      <vt:variant>
        <vt:lpwstr>KPI</vt:lpwstr>
      </vt:variant>
      <vt:variant>
        <vt:i4>7340139</vt:i4>
      </vt:variant>
      <vt:variant>
        <vt:i4>990</vt:i4>
      </vt:variant>
      <vt:variant>
        <vt:i4>0</vt:i4>
      </vt:variant>
      <vt:variant>
        <vt:i4>5</vt:i4>
      </vt:variant>
      <vt:variant>
        <vt:lpwstr/>
      </vt:variant>
      <vt:variant>
        <vt:lpwstr>KPI</vt:lpwstr>
      </vt:variant>
      <vt:variant>
        <vt:i4>7340139</vt:i4>
      </vt:variant>
      <vt:variant>
        <vt:i4>987</vt:i4>
      </vt:variant>
      <vt:variant>
        <vt:i4>0</vt:i4>
      </vt:variant>
      <vt:variant>
        <vt:i4>5</vt:i4>
      </vt:variant>
      <vt:variant>
        <vt:lpwstr/>
      </vt:variant>
      <vt:variant>
        <vt:lpwstr>KPI</vt:lpwstr>
      </vt:variant>
      <vt:variant>
        <vt:i4>7340139</vt:i4>
      </vt:variant>
      <vt:variant>
        <vt:i4>984</vt:i4>
      </vt:variant>
      <vt:variant>
        <vt:i4>0</vt:i4>
      </vt:variant>
      <vt:variant>
        <vt:i4>5</vt:i4>
      </vt:variant>
      <vt:variant>
        <vt:lpwstr/>
      </vt:variant>
      <vt:variant>
        <vt:lpwstr>KPI</vt:lpwstr>
      </vt:variant>
      <vt:variant>
        <vt:i4>393217</vt:i4>
      </vt:variant>
      <vt:variant>
        <vt:i4>981</vt:i4>
      </vt:variant>
      <vt:variant>
        <vt:i4>0</vt:i4>
      </vt:variant>
      <vt:variant>
        <vt:i4>5</vt:i4>
      </vt:variant>
      <vt:variant>
        <vt:lpwstr/>
      </vt:variant>
      <vt:variant>
        <vt:lpwstr>COBIT</vt:lpwstr>
      </vt:variant>
      <vt:variant>
        <vt:i4>1572864</vt:i4>
      </vt:variant>
      <vt:variant>
        <vt:i4>978</vt:i4>
      </vt:variant>
      <vt:variant>
        <vt:i4>0</vt:i4>
      </vt:variant>
      <vt:variant>
        <vt:i4>5</vt:i4>
      </vt:variant>
      <vt:variant>
        <vt:lpwstr/>
      </vt:variant>
      <vt:variant>
        <vt:lpwstr>ITIL</vt:lpwstr>
      </vt:variant>
      <vt:variant>
        <vt:i4>458783</vt:i4>
      </vt:variant>
      <vt:variant>
        <vt:i4>975</vt:i4>
      </vt:variant>
      <vt:variant>
        <vt:i4>0</vt:i4>
      </vt:variant>
      <vt:variant>
        <vt:i4>5</vt:i4>
      </vt:variant>
      <vt:variant>
        <vt:lpwstr/>
      </vt:variant>
      <vt:variant>
        <vt:lpwstr>SDLC</vt:lpwstr>
      </vt:variant>
      <vt:variant>
        <vt:i4>7733338</vt:i4>
      </vt:variant>
      <vt:variant>
        <vt:i4>972</vt:i4>
      </vt:variant>
      <vt:variant>
        <vt:i4>0</vt:i4>
      </vt:variant>
      <vt:variant>
        <vt:i4>5</vt:i4>
      </vt:variant>
      <vt:variant>
        <vt:lpwstr/>
      </vt:variant>
      <vt:variant>
        <vt:lpwstr>_PR.PS-06.01:_The_organization</vt:lpwstr>
      </vt:variant>
      <vt:variant>
        <vt:i4>458783</vt:i4>
      </vt:variant>
      <vt:variant>
        <vt:i4>969</vt:i4>
      </vt:variant>
      <vt:variant>
        <vt:i4>0</vt:i4>
      </vt:variant>
      <vt:variant>
        <vt:i4>5</vt:i4>
      </vt:variant>
      <vt:variant>
        <vt:lpwstr/>
      </vt:variant>
      <vt:variant>
        <vt:lpwstr>SDLC</vt:lpwstr>
      </vt:variant>
      <vt:variant>
        <vt:i4>458783</vt:i4>
      </vt:variant>
      <vt:variant>
        <vt:i4>966</vt:i4>
      </vt:variant>
      <vt:variant>
        <vt:i4>0</vt:i4>
      </vt:variant>
      <vt:variant>
        <vt:i4>5</vt:i4>
      </vt:variant>
      <vt:variant>
        <vt:lpwstr/>
      </vt:variant>
      <vt:variant>
        <vt:lpwstr>SDLC</vt:lpwstr>
      </vt:variant>
      <vt:variant>
        <vt:i4>458783</vt:i4>
      </vt:variant>
      <vt:variant>
        <vt:i4>963</vt:i4>
      </vt:variant>
      <vt:variant>
        <vt:i4>0</vt:i4>
      </vt:variant>
      <vt:variant>
        <vt:i4>5</vt:i4>
      </vt:variant>
      <vt:variant>
        <vt:lpwstr/>
      </vt:variant>
      <vt:variant>
        <vt:lpwstr>SDLC</vt:lpwstr>
      </vt:variant>
      <vt:variant>
        <vt:i4>3211288</vt:i4>
      </vt:variant>
      <vt:variant>
        <vt:i4>960</vt:i4>
      </vt:variant>
      <vt:variant>
        <vt:i4>0</vt:i4>
      </vt:variant>
      <vt:variant>
        <vt:i4>5</vt:i4>
      </vt:variant>
      <vt:variant>
        <vt:lpwstr/>
      </vt:variant>
      <vt:variant>
        <vt:lpwstr>Cyber_resiliency</vt:lpwstr>
      </vt:variant>
      <vt:variant>
        <vt:i4>852064</vt:i4>
      </vt:variant>
      <vt:variant>
        <vt:i4>957</vt:i4>
      </vt:variant>
      <vt:variant>
        <vt:i4>0</vt:i4>
      </vt:variant>
      <vt:variant>
        <vt:i4>5</vt:i4>
      </vt:variant>
      <vt:variant>
        <vt:lpwstr/>
      </vt:variant>
      <vt:variant>
        <vt:lpwstr>_EX.CN-02.01:_The_organization's</vt:lpwstr>
      </vt:variant>
      <vt:variant>
        <vt:i4>2162701</vt:i4>
      </vt:variant>
      <vt:variant>
        <vt:i4>954</vt:i4>
      </vt:variant>
      <vt:variant>
        <vt:i4>0</vt:i4>
      </vt:variant>
      <vt:variant>
        <vt:i4>5</vt:i4>
      </vt:variant>
      <vt:variant>
        <vt:lpwstr/>
      </vt:variant>
      <vt:variant>
        <vt:lpwstr>Situational_awareness</vt:lpwstr>
      </vt:variant>
      <vt:variant>
        <vt:i4>2162701</vt:i4>
      </vt:variant>
      <vt:variant>
        <vt:i4>951</vt:i4>
      </vt:variant>
      <vt:variant>
        <vt:i4>0</vt:i4>
      </vt:variant>
      <vt:variant>
        <vt:i4>5</vt:i4>
      </vt:variant>
      <vt:variant>
        <vt:lpwstr/>
      </vt:variant>
      <vt:variant>
        <vt:lpwstr>Situational_awareness</vt:lpwstr>
      </vt:variant>
      <vt:variant>
        <vt:i4>2162701</vt:i4>
      </vt:variant>
      <vt:variant>
        <vt:i4>948</vt:i4>
      </vt:variant>
      <vt:variant>
        <vt:i4>0</vt:i4>
      </vt:variant>
      <vt:variant>
        <vt:i4>5</vt:i4>
      </vt:variant>
      <vt:variant>
        <vt:lpwstr/>
      </vt:variant>
      <vt:variant>
        <vt:lpwstr>Situational_awareness</vt:lpwstr>
      </vt:variant>
      <vt:variant>
        <vt:i4>1245310</vt:i4>
      </vt:variant>
      <vt:variant>
        <vt:i4>945</vt:i4>
      </vt:variant>
      <vt:variant>
        <vt:i4>0</vt:i4>
      </vt:variant>
      <vt:variant>
        <vt:i4>5</vt:i4>
      </vt:variant>
      <vt:variant>
        <vt:lpwstr/>
      </vt:variant>
      <vt:variant>
        <vt:lpwstr>_GV.RR-03.01:_The_organization's</vt:lpwstr>
      </vt:variant>
      <vt:variant>
        <vt:i4>6291550</vt:i4>
      </vt:variant>
      <vt:variant>
        <vt:i4>942</vt:i4>
      </vt:variant>
      <vt:variant>
        <vt:i4>0</vt:i4>
      </vt:variant>
      <vt:variant>
        <vt:i4>5</vt:i4>
      </vt:variant>
      <vt:variant>
        <vt:lpwstr/>
      </vt:variant>
      <vt:variant>
        <vt:lpwstr>Risk_assessment</vt:lpwstr>
      </vt:variant>
      <vt:variant>
        <vt:i4>2162701</vt:i4>
      </vt:variant>
      <vt:variant>
        <vt:i4>939</vt:i4>
      </vt:variant>
      <vt:variant>
        <vt:i4>0</vt:i4>
      </vt:variant>
      <vt:variant>
        <vt:i4>5</vt:i4>
      </vt:variant>
      <vt:variant>
        <vt:lpwstr/>
      </vt:variant>
      <vt:variant>
        <vt:lpwstr>Situational_awareness</vt:lpwstr>
      </vt:variant>
      <vt:variant>
        <vt:i4>2162701</vt:i4>
      </vt:variant>
      <vt:variant>
        <vt:i4>936</vt:i4>
      </vt:variant>
      <vt:variant>
        <vt:i4>0</vt:i4>
      </vt:variant>
      <vt:variant>
        <vt:i4>5</vt:i4>
      </vt:variant>
      <vt:variant>
        <vt:lpwstr/>
      </vt:variant>
      <vt:variant>
        <vt:lpwstr>Situational_awareness</vt:lpwstr>
      </vt:variant>
      <vt:variant>
        <vt:i4>1376297</vt:i4>
      </vt:variant>
      <vt:variant>
        <vt:i4>933</vt:i4>
      </vt:variant>
      <vt:variant>
        <vt:i4>0</vt:i4>
      </vt:variant>
      <vt:variant>
        <vt:i4>5</vt:i4>
      </vt:variant>
      <vt:variant>
        <vt:lpwstr/>
      </vt:variant>
      <vt:variant>
        <vt:lpwstr>_PR.AT-01.03:_Cybersecurity_awarenes</vt:lpwstr>
      </vt:variant>
      <vt:variant>
        <vt:i4>2424950</vt:i4>
      </vt:variant>
      <vt:variant>
        <vt:i4>930</vt:i4>
      </vt:variant>
      <vt:variant>
        <vt:i4>0</vt:i4>
      </vt:variant>
      <vt:variant>
        <vt:i4>5</vt:i4>
      </vt:variant>
      <vt:variant>
        <vt:lpwstr/>
      </vt:variant>
      <vt:variant>
        <vt:lpwstr>_PR.AT-01.02:_Cybersecurity_awarenes_1</vt:lpwstr>
      </vt:variant>
      <vt:variant>
        <vt:i4>8126558</vt:i4>
      </vt:variant>
      <vt:variant>
        <vt:i4>918</vt:i4>
      </vt:variant>
      <vt:variant>
        <vt:i4>0</vt:i4>
      </vt:variant>
      <vt:variant>
        <vt:i4>5</vt:i4>
      </vt:variant>
      <vt:variant>
        <vt:lpwstr/>
      </vt:variant>
      <vt:variant>
        <vt:lpwstr>_DE.CM-06.01:_The_organization</vt:lpwstr>
      </vt:variant>
      <vt:variant>
        <vt:i4>4587628</vt:i4>
      </vt:variant>
      <vt:variant>
        <vt:i4>915</vt:i4>
      </vt:variant>
      <vt:variant>
        <vt:i4>0</vt:i4>
      </vt:variant>
      <vt:variant>
        <vt:i4>5</vt:i4>
      </vt:variant>
      <vt:variant>
        <vt:lpwstr/>
      </vt:variant>
      <vt:variant>
        <vt:lpwstr>Least_privilege</vt:lpwstr>
      </vt:variant>
      <vt:variant>
        <vt:i4>8126558</vt:i4>
      </vt:variant>
      <vt:variant>
        <vt:i4>912</vt:i4>
      </vt:variant>
      <vt:variant>
        <vt:i4>0</vt:i4>
      </vt:variant>
      <vt:variant>
        <vt:i4>5</vt:i4>
      </vt:variant>
      <vt:variant>
        <vt:lpwstr/>
      </vt:variant>
      <vt:variant>
        <vt:lpwstr>_DE.CM-06.01:_The_organization</vt:lpwstr>
      </vt:variant>
      <vt:variant>
        <vt:i4>4128810</vt:i4>
      </vt:variant>
      <vt:variant>
        <vt:i4>909</vt:i4>
      </vt:variant>
      <vt:variant>
        <vt:i4>0</vt:i4>
      </vt:variant>
      <vt:variant>
        <vt:i4>5</vt:i4>
      </vt:variant>
      <vt:variant>
        <vt:lpwstr/>
      </vt:variant>
      <vt:variant>
        <vt:lpwstr>Risk_assessment_2</vt:lpwstr>
      </vt:variant>
      <vt:variant>
        <vt:i4>4325435</vt:i4>
      </vt:variant>
      <vt:variant>
        <vt:i4>903</vt:i4>
      </vt:variant>
      <vt:variant>
        <vt:i4>0</vt:i4>
      </vt:variant>
      <vt:variant>
        <vt:i4>5</vt:i4>
      </vt:variant>
      <vt:variant>
        <vt:lpwstr>https://eyus.sharepoint.com/sites/EYCRICollaboration-EYWorking/Shared Documents/Internal - EY Working/Execution/Profile Workbook/CRI Profile Workbook - version 1-2-1 Jan-2023.docx</vt:lpwstr>
      </vt:variant>
      <vt:variant>
        <vt:lpwstr>Risk_assessment</vt:lpwstr>
      </vt:variant>
      <vt:variant>
        <vt:i4>8257654</vt:i4>
      </vt:variant>
      <vt:variant>
        <vt:i4>897</vt:i4>
      </vt:variant>
      <vt:variant>
        <vt:i4>0</vt:i4>
      </vt:variant>
      <vt:variant>
        <vt:i4>5</vt:i4>
      </vt:variant>
      <vt:variant>
        <vt:lpwstr/>
      </vt:variant>
      <vt:variant>
        <vt:lpwstr>Recovery_point_obj</vt:lpwstr>
      </vt:variant>
      <vt:variant>
        <vt:i4>3211288</vt:i4>
      </vt:variant>
      <vt:variant>
        <vt:i4>894</vt:i4>
      </vt:variant>
      <vt:variant>
        <vt:i4>0</vt:i4>
      </vt:variant>
      <vt:variant>
        <vt:i4>5</vt:i4>
      </vt:variant>
      <vt:variant>
        <vt:lpwstr/>
      </vt:variant>
      <vt:variant>
        <vt:lpwstr>Cyber_resiliency</vt:lpwstr>
      </vt:variant>
      <vt:variant>
        <vt:i4>5832817</vt:i4>
      </vt:variant>
      <vt:variant>
        <vt:i4>891</vt:i4>
      </vt:variant>
      <vt:variant>
        <vt:i4>0</vt:i4>
      </vt:variant>
      <vt:variant>
        <vt:i4>5</vt:i4>
      </vt:variant>
      <vt:variant>
        <vt:lpwstr/>
      </vt:variant>
      <vt:variant>
        <vt:lpwstr>_PR.IP-1.2:_Established_policies,</vt:lpwstr>
      </vt:variant>
      <vt:variant>
        <vt:i4>3211288</vt:i4>
      </vt:variant>
      <vt:variant>
        <vt:i4>888</vt:i4>
      </vt:variant>
      <vt:variant>
        <vt:i4>0</vt:i4>
      </vt:variant>
      <vt:variant>
        <vt:i4>5</vt:i4>
      </vt:variant>
      <vt:variant>
        <vt:lpwstr/>
      </vt:variant>
      <vt:variant>
        <vt:lpwstr>Cyber_resiliency</vt:lpwstr>
      </vt:variant>
      <vt:variant>
        <vt:i4>6488171</vt:i4>
      </vt:variant>
      <vt:variant>
        <vt:i4>882</vt:i4>
      </vt:variant>
      <vt:variant>
        <vt:i4>0</vt:i4>
      </vt:variant>
      <vt:variant>
        <vt:i4>5</vt:i4>
      </vt:variant>
      <vt:variant>
        <vt:lpwstr/>
      </vt:variant>
      <vt:variant>
        <vt:lpwstr>KCI</vt:lpwstr>
      </vt:variant>
      <vt:variant>
        <vt:i4>7471211</vt:i4>
      </vt:variant>
      <vt:variant>
        <vt:i4>879</vt:i4>
      </vt:variant>
      <vt:variant>
        <vt:i4>0</vt:i4>
      </vt:variant>
      <vt:variant>
        <vt:i4>5</vt:i4>
      </vt:variant>
      <vt:variant>
        <vt:lpwstr/>
      </vt:variant>
      <vt:variant>
        <vt:lpwstr>KRI</vt:lpwstr>
      </vt:variant>
      <vt:variant>
        <vt:i4>7471211</vt:i4>
      </vt:variant>
      <vt:variant>
        <vt:i4>876</vt:i4>
      </vt:variant>
      <vt:variant>
        <vt:i4>0</vt:i4>
      </vt:variant>
      <vt:variant>
        <vt:i4>5</vt:i4>
      </vt:variant>
      <vt:variant>
        <vt:lpwstr/>
      </vt:variant>
      <vt:variant>
        <vt:lpwstr>KRI</vt:lpwstr>
      </vt:variant>
      <vt:variant>
        <vt:i4>7340139</vt:i4>
      </vt:variant>
      <vt:variant>
        <vt:i4>873</vt:i4>
      </vt:variant>
      <vt:variant>
        <vt:i4>0</vt:i4>
      </vt:variant>
      <vt:variant>
        <vt:i4>5</vt:i4>
      </vt:variant>
      <vt:variant>
        <vt:lpwstr/>
      </vt:variant>
      <vt:variant>
        <vt:lpwstr>KPI</vt:lpwstr>
      </vt:variant>
      <vt:variant>
        <vt:i4>7471211</vt:i4>
      </vt:variant>
      <vt:variant>
        <vt:i4>870</vt:i4>
      </vt:variant>
      <vt:variant>
        <vt:i4>0</vt:i4>
      </vt:variant>
      <vt:variant>
        <vt:i4>5</vt:i4>
      </vt:variant>
      <vt:variant>
        <vt:lpwstr/>
      </vt:variant>
      <vt:variant>
        <vt:lpwstr>KRI</vt:lpwstr>
      </vt:variant>
      <vt:variant>
        <vt:i4>7340139</vt:i4>
      </vt:variant>
      <vt:variant>
        <vt:i4>867</vt:i4>
      </vt:variant>
      <vt:variant>
        <vt:i4>0</vt:i4>
      </vt:variant>
      <vt:variant>
        <vt:i4>5</vt:i4>
      </vt:variant>
      <vt:variant>
        <vt:lpwstr/>
      </vt:variant>
      <vt:variant>
        <vt:lpwstr>KPI</vt:lpwstr>
      </vt:variant>
      <vt:variant>
        <vt:i4>6488171</vt:i4>
      </vt:variant>
      <vt:variant>
        <vt:i4>864</vt:i4>
      </vt:variant>
      <vt:variant>
        <vt:i4>0</vt:i4>
      </vt:variant>
      <vt:variant>
        <vt:i4>5</vt:i4>
      </vt:variant>
      <vt:variant>
        <vt:lpwstr/>
      </vt:variant>
      <vt:variant>
        <vt:lpwstr>KCI</vt:lpwstr>
      </vt:variant>
      <vt:variant>
        <vt:i4>7471211</vt:i4>
      </vt:variant>
      <vt:variant>
        <vt:i4>861</vt:i4>
      </vt:variant>
      <vt:variant>
        <vt:i4>0</vt:i4>
      </vt:variant>
      <vt:variant>
        <vt:i4>5</vt:i4>
      </vt:variant>
      <vt:variant>
        <vt:lpwstr/>
      </vt:variant>
      <vt:variant>
        <vt:lpwstr>KRI</vt:lpwstr>
      </vt:variant>
      <vt:variant>
        <vt:i4>7340139</vt:i4>
      </vt:variant>
      <vt:variant>
        <vt:i4>858</vt:i4>
      </vt:variant>
      <vt:variant>
        <vt:i4>0</vt:i4>
      </vt:variant>
      <vt:variant>
        <vt:i4>5</vt:i4>
      </vt:variant>
      <vt:variant>
        <vt:lpwstr/>
      </vt:variant>
      <vt:variant>
        <vt:lpwstr>KPI</vt:lpwstr>
      </vt:variant>
      <vt:variant>
        <vt:i4>6488171</vt:i4>
      </vt:variant>
      <vt:variant>
        <vt:i4>855</vt:i4>
      </vt:variant>
      <vt:variant>
        <vt:i4>0</vt:i4>
      </vt:variant>
      <vt:variant>
        <vt:i4>5</vt:i4>
      </vt:variant>
      <vt:variant>
        <vt:lpwstr/>
      </vt:variant>
      <vt:variant>
        <vt:lpwstr>KCI</vt:lpwstr>
      </vt:variant>
      <vt:variant>
        <vt:i4>7471211</vt:i4>
      </vt:variant>
      <vt:variant>
        <vt:i4>852</vt:i4>
      </vt:variant>
      <vt:variant>
        <vt:i4>0</vt:i4>
      </vt:variant>
      <vt:variant>
        <vt:i4>5</vt:i4>
      </vt:variant>
      <vt:variant>
        <vt:lpwstr/>
      </vt:variant>
      <vt:variant>
        <vt:lpwstr>KRI</vt:lpwstr>
      </vt:variant>
      <vt:variant>
        <vt:i4>7340139</vt:i4>
      </vt:variant>
      <vt:variant>
        <vt:i4>849</vt:i4>
      </vt:variant>
      <vt:variant>
        <vt:i4>0</vt:i4>
      </vt:variant>
      <vt:variant>
        <vt:i4>5</vt:i4>
      </vt:variant>
      <vt:variant>
        <vt:lpwstr/>
      </vt:variant>
      <vt:variant>
        <vt:lpwstr>KPI</vt:lpwstr>
      </vt:variant>
      <vt:variant>
        <vt:i4>6488171</vt:i4>
      </vt:variant>
      <vt:variant>
        <vt:i4>846</vt:i4>
      </vt:variant>
      <vt:variant>
        <vt:i4>0</vt:i4>
      </vt:variant>
      <vt:variant>
        <vt:i4>5</vt:i4>
      </vt:variant>
      <vt:variant>
        <vt:lpwstr/>
      </vt:variant>
      <vt:variant>
        <vt:lpwstr>KCI</vt:lpwstr>
      </vt:variant>
      <vt:variant>
        <vt:i4>7471211</vt:i4>
      </vt:variant>
      <vt:variant>
        <vt:i4>843</vt:i4>
      </vt:variant>
      <vt:variant>
        <vt:i4>0</vt:i4>
      </vt:variant>
      <vt:variant>
        <vt:i4>5</vt:i4>
      </vt:variant>
      <vt:variant>
        <vt:lpwstr/>
      </vt:variant>
      <vt:variant>
        <vt:lpwstr>KRI</vt:lpwstr>
      </vt:variant>
      <vt:variant>
        <vt:i4>7340139</vt:i4>
      </vt:variant>
      <vt:variant>
        <vt:i4>840</vt:i4>
      </vt:variant>
      <vt:variant>
        <vt:i4>0</vt:i4>
      </vt:variant>
      <vt:variant>
        <vt:i4>5</vt:i4>
      </vt:variant>
      <vt:variant>
        <vt:lpwstr/>
      </vt:variant>
      <vt:variant>
        <vt:lpwstr>KPI</vt:lpwstr>
      </vt:variant>
      <vt:variant>
        <vt:i4>6488171</vt:i4>
      </vt:variant>
      <vt:variant>
        <vt:i4>837</vt:i4>
      </vt:variant>
      <vt:variant>
        <vt:i4>0</vt:i4>
      </vt:variant>
      <vt:variant>
        <vt:i4>5</vt:i4>
      </vt:variant>
      <vt:variant>
        <vt:lpwstr/>
      </vt:variant>
      <vt:variant>
        <vt:lpwstr>KCI</vt:lpwstr>
      </vt:variant>
      <vt:variant>
        <vt:i4>7471211</vt:i4>
      </vt:variant>
      <vt:variant>
        <vt:i4>834</vt:i4>
      </vt:variant>
      <vt:variant>
        <vt:i4>0</vt:i4>
      </vt:variant>
      <vt:variant>
        <vt:i4>5</vt:i4>
      </vt:variant>
      <vt:variant>
        <vt:lpwstr/>
      </vt:variant>
      <vt:variant>
        <vt:lpwstr>KRI</vt:lpwstr>
      </vt:variant>
      <vt:variant>
        <vt:i4>7340139</vt:i4>
      </vt:variant>
      <vt:variant>
        <vt:i4>831</vt:i4>
      </vt:variant>
      <vt:variant>
        <vt:i4>0</vt:i4>
      </vt:variant>
      <vt:variant>
        <vt:i4>5</vt:i4>
      </vt:variant>
      <vt:variant>
        <vt:lpwstr/>
      </vt:variant>
      <vt:variant>
        <vt:lpwstr>KPI</vt:lpwstr>
      </vt:variant>
      <vt:variant>
        <vt:i4>6488171</vt:i4>
      </vt:variant>
      <vt:variant>
        <vt:i4>828</vt:i4>
      </vt:variant>
      <vt:variant>
        <vt:i4>0</vt:i4>
      </vt:variant>
      <vt:variant>
        <vt:i4>5</vt:i4>
      </vt:variant>
      <vt:variant>
        <vt:lpwstr/>
      </vt:variant>
      <vt:variant>
        <vt:lpwstr>KCI</vt:lpwstr>
      </vt:variant>
      <vt:variant>
        <vt:i4>8257654</vt:i4>
      </vt:variant>
      <vt:variant>
        <vt:i4>825</vt:i4>
      </vt:variant>
      <vt:variant>
        <vt:i4>0</vt:i4>
      </vt:variant>
      <vt:variant>
        <vt:i4>5</vt:i4>
      </vt:variant>
      <vt:variant>
        <vt:lpwstr/>
      </vt:variant>
      <vt:variant>
        <vt:lpwstr>Recovery_point_obj</vt:lpwstr>
      </vt:variant>
      <vt:variant>
        <vt:i4>3276841</vt:i4>
      </vt:variant>
      <vt:variant>
        <vt:i4>822</vt:i4>
      </vt:variant>
      <vt:variant>
        <vt:i4>0</vt:i4>
      </vt:variant>
      <vt:variant>
        <vt:i4>5</vt:i4>
      </vt:variant>
      <vt:variant>
        <vt:lpwstr/>
      </vt:variant>
      <vt:variant>
        <vt:lpwstr>Recovery_time_obj</vt:lpwstr>
      </vt:variant>
      <vt:variant>
        <vt:i4>3211288</vt:i4>
      </vt:variant>
      <vt:variant>
        <vt:i4>819</vt:i4>
      </vt:variant>
      <vt:variant>
        <vt:i4>0</vt:i4>
      </vt:variant>
      <vt:variant>
        <vt:i4>5</vt:i4>
      </vt:variant>
      <vt:variant>
        <vt:lpwstr/>
      </vt:variant>
      <vt:variant>
        <vt:lpwstr>Cyber_resiliency</vt:lpwstr>
      </vt:variant>
      <vt:variant>
        <vt:i4>6881353</vt:i4>
      </vt:variant>
      <vt:variant>
        <vt:i4>816</vt:i4>
      </vt:variant>
      <vt:variant>
        <vt:i4>0</vt:i4>
      </vt:variant>
      <vt:variant>
        <vt:i4>5</vt:i4>
      </vt:variant>
      <vt:variant>
        <vt:lpwstr/>
      </vt:variant>
      <vt:variant>
        <vt:lpwstr>Threat_analysis</vt:lpwstr>
      </vt:variant>
      <vt:variant>
        <vt:i4>6291550</vt:i4>
      </vt:variant>
      <vt:variant>
        <vt:i4>810</vt:i4>
      </vt:variant>
      <vt:variant>
        <vt:i4>0</vt:i4>
      </vt:variant>
      <vt:variant>
        <vt:i4>5</vt:i4>
      </vt:variant>
      <vt:variant>
        <vt:lpwstr/>
      </vt:variant>
      <vt:variant>
        <vt:lpwstr>Risk_assessment</vt:lpwstr>
      </vt:variant>
      <vt:variant>
        <vt:i4>6750294</vt:i4>
      </vt:variant>
      <vt:variant>
        <vt:i4>801</vt:i4>
      </vt:variant>
      <vt:variant>
        <vt:i4>0</vt:i4>
      </vt:variant>
      <vt:variant>
        <vt:i4>5</vt:i4>
      </vt:variant>
      <vt:variant>
        <vt:lpwstr/>
      </vt:variant>
      <vt:variant>
        <vt:lpwstr>Threat_intelligence</vt:lpwstr>
      </vt:variant>
      <vt:variant>
        <vt:i4>6881353</vt:i4>
      </vt:variant>
      <vt:variant>
        <vt:i4>798</vt:i4>
      </vt:variant>
      <vt:variant>
        <vt:i4>0</vt:i4>
      </vt:variant>
      <vt:variant>
        <vt:i4>5</vt:i4>
      </vt:variant>
      <vt:variant>
        <vt:lpwstr/>
      </vt:variant>
      <vt:variant>
        <vt:lpwstr>Threat_analysis</vt:lpwstr>
      </vt:variant>
      <vt:variant>
        <vt:i4>6881353</vt:i4>
      </vt:variant>
      <vt:variant>
        <vt:i4>795</vt:i4>
      </vt:variant>
      <vt:variant>
        <vt:i4>0</vt:i4>
      </vt:variant>
      <vt:variant>
        <vt:i4>5</vt:i4>
      </vt:variant>
      <vt:variant>
        <vt:lpwstr/>
      </vt:variant>
      <vt:variant>
        <vt:lpwstr>Threat_analysis</vt:lpwstr>
      </vt:variant>
      <vt:variant>
        <vt:i4>8192075</vt:i4>
      </vt:variant>
      <vt:variant>
        <vt:i4>792</vt:i4>
      </vt:variant>
      <vt:variant>
        <vt:i4>0</vt:i4>
      </vt:variant>
      <vt:variant>
        <vt:i4>5</vt:i4>
      </vt:variant>
      <vt:variant>
        <vt:lpwstr/>
      </vt:variant>
      <vt:variant>
        <vt:lpwstr>_ID.RA-03.01:_The_organization,</vt:lpwstr>
      </vt:variant>
      <vt:variant>
        <vt:i4>6881353</vt:i4>
      </vt:variant>
      <vt:variant>
        <vt:i4>789</vt:i4>
      </vt:variant>
      <vt:variant>
        <vt:i4>0</vt:i4>
      </vt:variant>
      <vt:variant>
        <vt:i4>5</vt:i4>
      </vt:variant>
      <vt:variant>
        <vt:lpwstr/>
      </vt:variant>
      <vt:variant>
        <vt:lpwstr>Threat_analysis</vt:lpwstr>
      </vt:variant>
      <vt:variant>
        <vt:i4>6750294</vt:i4>
      </vt:variant>
      <vt:variant>
        <vt:i4>786</vt:i4>
      </vt:variant>
      <vt:variant>
        <vt:i4>0</vt:i4>
      </vt:variant>
      <vt:variant>
        <vt:i4>5</vt:i4>
      </vt:variant>
      <vt:variant>
        <vt:lpwstr/>
      </vt:variant>
      <vt:variant>
        <vt:lpwstr>Threat_intelligence</vt:lpwstr>
      </vt:variant>
      <vt:variant>
        <vt:i4>2162701</vt:i4>
      </vt:variant>
      <vt:variant>
        <vt:i4>783</vt:i4>
      </vt:variant>
      <vt:variant>
        <vt:i4>0</vt:i4>
      </vt:variant>
      <vt:variant>
        <vt:i4>5</vt:i4>
      </vt:variant>
      <vt:variant>
        <vt:lpwstr/>
      </vt:variant>
      <vt:variant>
        <vt:lpwstr>Situational_awareness</vt:lpwstr>
      </vt:variant>
      <vt:variant>
        <vt:i4>6750294</vt:i4>
      </vt:variant>
      <vt:variant>
        <vt:i4>780</vt:i4>
      </vt:variant>
      <vt:variant>
        <vt:i4>0</vt:i4>
      </vt:variant>
      <vt:variant>
        <vt:i4>5</vt:i4>
      </vt:variant>
      <vt:variant>
        <vt:lpwstr/>
      </vt:variant>
      <vt:variant>
        <vt:lpwstr>Threat_intelligence</vt:lpwstr>
      </vt:variant>
      <vt:variant>
        <vt:i4>6881353</vt:i4>
      </vt:variant>
      <vt:variant>
        <vt:i4>777</vt:i4>
      </vt:variant>
      <vt:variant>
        <vt:i4>0</vt:i4>
      </vt:variant>
      <vt:variant>
        <vt:i4>5</vt:i4>
      </vt:variant>
      <vt:variant>
        <vt:lpwstr/>
      </vt:variant>
      <vt:variant>
        <vt:lpwstr>Threat_analysis</vt:lpwstr>
      </vt:variant>
      <vt:variant>
        <vt:i4>3211288</vt:i4>
      </vt:variant>
      <vt:variant>
        <vt:i4>774</vt:i4>
      </vt:variant>
      <vt:variant>
        <vt:i4>0</vt:i4>
      </vt:variant>
      <vt:variant>
        <vt:i4>5</vt:i4>
      </vt:variant>
      <vt:variant>
        <vt:lpwstr/>
      </vt:variant>
      <vt:variant>
        <vt:lpwstr>Cyber_resiliency</vt:lpwstr>
      </vt:variant>
      <vt:variant>
        <vt:i4>3801108</vt:i4>
      </vt:variant>
      <vt:variant>
        <vt:i4>771</vt:i4>
      </vt:variant>
      <vt:variant>
        <vt:i4>0</vt:i4>
      </vt:variant>
      <vt:variant>
        <vt:i4>5</vt:i4>
      </vt:variant>
      <vt:variant>
        <vt:lpwstr/>
      </vt:variant>
      <vt:variant>
        <vt:lpwstr>Cyber_threat</vt:lpwstr>
      </vt:variant>
      <vt:variant>
        <vt:i4>2162701</vt:i4>
      </vt:variant>
      <vt:variant>
        <vt:i4>768</vt:i4>
      </vt:variant>
      <vt:variant>
        <vt:i4>0</vt:i4>
      </vt:variant>
      <vt:variant>
        <vt:i4>5</vt:i4>
      </vt:variant>
      <vt:variant>
        <vt:lpwstr/>
      </vt:variant>
      <vt:variant>
        <vt:lpwstr>Situational_awareness</vt:lpwstr>
      </vt:variant>
      <vt:variant>
        <vt:i4>7340139</vt:i4>
      </vt:variant>
      <vt:variant>
        <vt:i4>759</vt:i4>
      </vt:variant>
      <vt:variant>
        <vt:i4>0</vt:i4>
      </vt:variant>
      <vt:variant>
        <vt:i4>5</vt:i4>
      </vt:variant>
      <vt:variant>
        <vt:lpwstr/>
      </vt:variant>
      <vt:variant>
        <vt:lpwstr>KPI</vt:lpwstr>
      </vt:variant>
      <vt:variant>
        <vt:i4>7471211</vt:i4>
      </vt:variant>
      <vt:variant>
        <vt:i4>756</vt:i4>
      </vt:variant>
      <vt:variant>
        <vt:i4>0</vt:i4>
      </vt:variant>
      <vt:variant>
        <vt:i4>5</vt:i4>
      </vt:variant>
      <vt:variant>
        <vt:lpwstr/>
      </vt:variant>
      <vt:variant>
        <vt:lpwstr>KRI</vt:lpwstr>
      </vt:variant>
      <vt:variant>
        <vt:i4>4456568</vt:i4>
      </vt:variant>
      <vt:variant>
        <vt:i4>753</vt:i4>
      </vt:variant>
      <vt:variant>
        <vt:i4>0</vt:i4>
      </vt:variant>
      <vt:variant>
        <vt:i4>5</vt:i4>
      </vt:variant>
      <vt:variant>
        <vt:lpwstr/>
      </vt:variant>
      <vt:variant>
        <vt:lpwstr>Asset_inventory</vt:lpwstr>
      </vt:variant>
      <vt:variant>
        <vt:i4>7864336</vt:i4>
      </vt:variant>
      <vt:variant>
        <vt:i4>747</vt:i4>
      </vt:variant>
      <vt:variant>
        <vt:i4>0</vt:i4>
      </vt:variant>
      <vt:variant>
        <vt:i4>5</vt:i4>
      </vt:variant>
      <vt:variant>
        <vt:lpwstr>https://eyus.sharepoint.com/sites/EYCRICollaboration-EYWorking/Shared Documents/Internal - EY Working/Execution/Profile Workbook/CRI Profile Workbook - version 1-2-1 Jan-2023.docx</vt:lpwstr>
      </vt:variant>
      <vt:variant>
        <vt:lpwstr>_ID.AM-5.1:_The_organization</vt:lpwstr>
      </vt:variant>
      <vt:variant>
        <vt:i4>4456568</vt:i4>
      </vt:variant>
      <vt:variant>
        <vt:i4>726</vt:i4>
      </vt:variant>
      <vt:variant>
        <vt:i4>0</vt:i4>
      </vt:variant>
      <vt:variant>
        <vt:i4>5</vt:i4>
      </vt:variant>
      <vt:variant>
        <vt:lpwstr/>
      </vt:variant>
      <vt:variant>
        <vt:lpwstr>Asset_inventory</vt:lpwstr>
      </vt:variant>
      <vt:variant>
        <vt:i4>7340139</vt:i4>
      </vt:variant>
      <vt:variant>
        <vt:i4>717</vt:i4>
      </vt:variant>
      <vt:variant>
        <vt:i4>0</vt:i4>
      </vt:variant>
      <vt:variant>
        <vt:i4>5</vt:i4>
      </vt:variant>
      <vt:variant>
        <vt:lpwstr/>
      </vt:variant>
      <vt:variant>
        <vt:lpwstr>KPI</vt:lpwstr>
      </vt:variant>
      <vt:variant>
        <vt:i4>7471211</vt:i4>
      </vt:variant>
      <vt:variant>
        <vt:i4>714</vt:i4>
      </vt:variant>
      <vt:variant>
        <vt:i4>0</vt:i4>
      </vt:variant>
      <vt:variant>
        <vt:i4>5</vt:i4>
      </vt:variant>
      <vt:variant>
        <vt:lpwstr/>
      </vt:variant>
      <vt:variant>
        <vt:lpwstr>KRI</vt:lpwstr>
      </vt:variant>
      <vt:variant>
        <vt:i4>7405658</vt:i4>
      </vt:variant>
      <vt:variant>
        <vt:i4>711</vt:i4>
      </vt:variant>
      <vt:variant>
        <vt:i4>0</vt:i4>
      </vt:variant>
      <vt:variant>
        <vt:i4>5</vt:i4>
      </vt:variant>
      <vt:variant>
        <vt:lpwstr/>
      </vt:variant>
      <vt:variant>
        <vt:lpwstr>_ID.AM-01.01:_The_organization</vt:lpwstr>
      </vt:variant>
      <vt:variant>
        <vt:i4>4456568</vt:i4>
      </vt:variant>
      <vt:variant>
        <vt:i4>708</vt:i4>
      </vt:variant>
      <vt:variant>
        <vt:i4>0</vt:i4>
      </vt:variant>
      <vt:variant>
        <vt:i4>5</vt:i4>
      </vt:variant>
      <vt:variant>
        <vt:lpwstr/>
      </vt:variant>
      <vt:variant>
        <vt:lpwstr>Asset_inventory</vt:lpwstr>
      </vt:variant>
      <vt:variant>
        <vt:i4>7340139</vt:i4>
      </vt:variant>
      <vt:variant>
        <vt:i4>705</vt:i4>
      </vt:variant>
      <vt:variant>
        <vt:i4>0</vt:i4>
      </vt:variant>
      <vt:variant>
        <vt:i4>5</vt:i4>
      </vt:variant>
      <vt:variant>
        <vt:lpwstr/>
      </vt:variant>
      <vt:variant>
        <vt:lpwstr>KPI</vt:lpwstr>
      </vt:variant>
      <vt:variant>
        <vt:i4>7471211</vt:i4>
      </vt:variant>
      <vt:variant>
        <vt:i4>702</vt:i4>
      </vt:variant>
      <vt:variant>
        <vt:i4>0</vt:i4>
      </vt:variant>
      <vt:variant>
        <vt:i4>5</vt:i4>
      </vt:variant>
      <vt:variant>
        <vt:lpwstr/>
      </vt:variant>
      <vt:variant>
        <vt:lpwstr>KRI</vt:lpwstr>
      </vt:variant>
      <vt:variant>
        <vt:i4>4456568</vt:i4>
      </vt:variant>
      <vt:variant>
        <vt:i4>699</vt:i4>
      </vt:variant>
      <vt:variant>
        <vt:i4>0</vt:i4>
      </vt:variant>
      <vt:variant>
        <vt:i4>5</vt:i4>
      </vt:variant>
      <vt:variant>
        <vt:lpwstr/>
      </vt:variant>
      <vt:variant>
        <vt:lpwstr>Asset_inventory</vt:lpwstr>
      </vt:variant>
      <vt:variant>
        <vt:i4>6291550</vt:i4>
      </vt:variant>
      <vt:variant>
        <vt:i4>696</vt:i4>
      </vt:variant>
      <vt:variant>
        <vt:i4>0</vt:i4>
      </vt:variant>
      <vt:variant>
        <vt:i4>5</vt:i4>
      </vt:variant>
      <vt:variant>
        <vt:lpwstr/>
      </vt:variant>
      <vt:variant>
        <vt:lpwstr>Risk_assessment</vt:lpwstr>
      </vt:variant>
      <vt:variant>
        <vt:i4>1835013</vt:i4>
      </vt:variant>
      <vt:variant>
        <vt:i4>693</vt:i4>
      </vt:variant>
      <vt:variant>
        <vt:i4>0</vt:i4>
      </vt:variant>
      <vt:variant>
        <vt:i4>5</vt:i4>
      </vt:variant>
      <vt:variant>
        <vt:lpwstr/>
      </vt:variant>
      <vt:variant>
        <vt:lpwstr>Audit</vt:lpwstr>
      </vt:variant>
      <vt:variant>
        <vt:i4>1835013</vt:i4>
      </vt:variant>
      <vt:variant>
        <vt:i4>690</vt:i4>
      </vt:variant>
      <vt:variant>
        <vt:i4>0</vt:i4>
      </vt:variant>
      <vt:variant>
        <vt:i4>5</vt:i4>
      </vt:variant>
      <vt:variant>
        <vt:lpwstr/>
      </vt:variant>
      <vt:variant>
        <vt:lpwstr>Audit</vt:lpwstr>
      </vt:variant>
      <vt:variant>
        <vt:i4>1835013</vt:i4>
      </vt:variant>
      <vt:variant>
        <vt:i4>687</vt:i4>
      </vt:variant>
      <vt:variant>
        <vt:i4>0</vt:i4>
      </vt:variant>
      <vt:variant>
        <vt:i4>5</vt:i4>
      </vt:variant>
      <vt:variant>
        <vt:lpwstr/>
      </vt:variant>
      <vt:variant>
        <vt:lpwstr>Audit</vt:lpwstr>
      </vt:variant>
      <vt:variant>
        <vt:i4>1835013</vt:i4>
      </vt:variant>
      <vt:variant>
        <vt:i4>684</vt:i4>
      </vt:variant>
      <vt:variant>
        <vt:i4>0</vt:i4>
      </vt:variant>
      <vt:variant>
        <vt:i4>5</vt:i4>
      </vt:variant>
      <vt:variant>
        <vt:lpwstr/>
      </vt:variant>
      <vt:variant>
        <vt:lpwstr>Audit</vt:lpwstr>
      </vt:variant>
      <vt:variant>
        <vt:i4>6488150</vt:i4>
      </vt:variant>
      <vt:variant>
        <vt:i4>681</vt:i4>
      </vt:variant>
      <vt:variant>
        <vt:i4>0</vt:i4>
      </vt:variant>
      <vt:variant>
        <vt:i4>5</vt:i4>
      </vt:variant>
      <vt:variant>
        <vt:lpwstr/>
      </vt:variant>
      <vt:variant>
        <vt:lpwstr>Risk_tolerance</vt:lpwstr>
      </vt:variant>
      <vt:variant>
        <vt:i4>7471170</vt:i4>
      </vt:variant>
      <vt:variant>
        <vt:i4>678</vt:i4>
      </vt:variant>
      <vt:variant>
        <vt:i4>0</vt:i4>
      </vt:variant>
      <vt:variant>
        <vt:i4>5</vt:i4>
      </vt:variant>
      <vt:variant>
        <vt:lpwstr/>
      </vt:variant>
      <vt:variant>
        <vt:lpwstr>Risk_acceptance</vt:lpwstr>
      </vt:variant>
      <vt:variant>
        <vt:i4>1245218</vt:i4>
      </vt:variant>
      <vt:variant>
        <vt:i4>675</vt:i4>
      </vt:variant>
      <vt:variant>
        <vt:i4>0</vt:i4>
      </vt:variant>
      <vt:variant>
        <vt:i4>5</vt:i4>
      </vt:variant>
      <vt:variant>
        <vt:lpwstr/>
      </vt:variant>
      <vt:variant>
        <vt:lpwstr>Risk_appetite</vt:lpwstr>
      </vt:variant>
      <vt:variant>
        <vt:i4>6291550</vt:i4>
      </vt:variant>
      <vt:variant>
        <vt:i4>672</vt:i4>
      </vt:variant>
      <vt:variant>
        <vt:i4>0</vt:i4>
      </vt:variant>
      <vt:variant>
        <vt:i4>5</vt:i4>
      </vt:variant>
      <vt:variant>
        <vt:lpwstr/>
      </vt:variant>
      <vt:variant>
        <vt:lpwstr>Risk_assessment</vt:lpwstr>
      </vt:variant>
      <vt:variant>
        <vt:i4>1835013</vt:i4>
      </vt:variant>
      <vt:variant>
        <vt:i4>669</vt:i4>
      </vt:variant>
      <vt:variant>
        <vt:i4>0</vt:i4>
      </vt:variant>
      <vt:variant>
        <vt:i4>5</vt:i4>
      </vt:variant>
      <vt:variant>
        <vt:lpwstr/>
      </vt:variant>
      <vt:variant>
        <vt:lpwstr>Audit</vt:lpwstr>
      </vt:variant>
      <vt:variant>
        <vt:i4>1835013</vt:i4>
      </vt:variant>
      <vt:variant>
        <vt:i4>666</vt:i4>
      </vt:variant>
      <vt:variant>
        <vt:i4>0</vt:i4>
      </vt:variant>
      <vt:variant>
        <vt:i4>5</vt:i4>
      </vt:variant>
      <vt:variant>
        <vt:lpwstr/>
      </vt:variant>
      <vt:variant>
        <vt:lpwstr>Audit</vt:lpwstr>
      </vt:variant>
      <vt:variant>
        <vt:i4>4194369</vt:i4>
      </vt:variant>
      <vt:variant>
        <vt:i4>663</vt:i4>
      </vt:variant>
      <vt:variant>
        <vt:i4>0</vt:i4>
      </vt:variant>
      <vt:variant>
        <vt:i4>5</vt:i4>
      </vt:variant>
      <vt:variant>
        <vt:lpwstr/>
      </vt:variant>
      <vt:variant>
        <vt:lpwstr>Second_line_defense</vt:lpwstr>
      </vt:variant>
      <vt:variant>
        <vt:i4>1835013</vt:i4>
      </vt:variant>
      <vt:variant>
        <vt:i4>660</vt:i4>
      </vt:variant>
      <vt:variant>
        <vt:i4>0</vt:i4>
      </vt:variant>
      <vt:variant>
        <vt:i4>5</vt:i4>
      </vt:variant>
      <vt:variant>
        <vt:lpwstr/>
      </vt:variant>
      <vt:variant>
        <vt:lpwstr>Audit</vt:lpwstr>
      </vt:variant>
      <vt:variant>
        <vt:i4>6619230</vt:i4>
      </vt:variant>
      <vt:variant>
        <vt:i4>657</vt:i4>
      </vt:variant>
      <vt:variant>
        <vt:i4>0</vt:i4>
      </vt:variant>
      <vt:variant>
        <vt:i4>5</vt:i4>
      </vt:variant>
      <vt:variant>
        <vt:lpwstr/>
      </vt:variant>
      <vt:variant>
        <vt:lpwstr>Risk_management</vt:lpwstr>
      </vt:variant>
      <vt:variant>
        <vt:i4>1835013</vt:i4>
      </vt:variant>
      <vt:variant>
        <vt:i4>654</vt:i4>
      </vt:variant>
      <vt:variant>
        <vt:i4>0</vt:i4>
      </vt:variant>
      <vt:variant>
        <vt:i4>5</vt:i4>
      </vt:variant>
      <vt:variant>
        <vt:lpwstr/>
      </vt:variant>
      <vt:variant>
        <vt:lpwstr>Audit</vt:lpwstr>
      </vt:variant>
      <vt:variant>
        <vt:i4>1835013</vt:i4>
      </vt:variant>
      <vt:variant>
        <vt:i4>651</vt:i4>
      </vt:variant>
      <vt:variant>
        <vt:i4>0</vt:i4>
      </vt:variant>
      <vt:variant>
        <vt:i4>5</vt:i4>
      </vt:variant>
      <vt:variant>
        <vt:lpwstr/>
      </vt:variant>
      <vt:variant>
        <vt:lpwstr>Audit</vt:lpwstr>
      </vt:variant>
      <vt:variant>
        <vt:i4>1245218</vt:i4>
      </vt:variant>
      <vt:variant>
        <vt:i4>648</vt:i4>
      </vt:variant>
      <vt:variant>
        <vt:i4>0</vt:i4>
      </vt:variant>
      <vt:variant>
        <vt:i4>5</vt:i4>
      </vt:variant>
      <vt:variant>
        <vt:lpwstr/>
      </vt:variant>
      <vt:variant>
        <vt:lpwstr>Risk_appetite</vt:lpwstr>
      </vt:variant>
      <vt:variant>
        <vt:i4>6291550</vt:i4>
      </vt:variant>
      <vt:variant>
        <vt:i4>645</vt:i4>
      </vt:variant>
      <vt:variant>
        <vt:i4>0</vt:i4>
      </vt:variant>
      <vt:variant>
        <vt:i4>5</vt:i4>
      </vt:variant>
      <vt:variant>
        <vt:lpwstr/>
      </vt:variant>
      <vt:variant>
        <vt:lpwstr>Risk_assessment</vt:lpwstr>
      </vt:variant>
      <vt:variant>
        <vt:i4>4194369</vt:i4>
      </vt:variant>
      <vt:variant>
        <vt:i4>642</vt:i4>
      </vt:variant>
      <vt:variant>
        <vt:i4>0</vt:i4>
      </vt:variant>
      <vt:variant>
        <vt:i4>5</vt:i4>
      </vt:variant>
      <vt:variant>
        <vt:lpwstr/>
      </vt:variant>
      <vt:variant>
        <vt:lpwstr>Second_line_defense</vt:lpwstr>
      </vt:variant>
      <vt:variant>
        <vt:i4>4194369</vt:i4>
      </vt:variant>
      <vt:variant>
        <vt:i4>639</vt:i4>
      </vt:variant>
      <vt:variant>
        <vt:i4>0</vt:i4>
      </vt:variant>
      <vt:variant>
        <vt:i4>5</vt:i4>
      </vt:variant>
      <vt:variant>
        <vt:lpwstr/>
      </vt:variant>
      <vt:variant>
        <vt:lpwstr>Second_line_defense</vt:lpwstr>
      </vt:variant>
      <vt:variant>
        <vt:i4>1245218</vt:i4>
      </vt:variant>
      <vt:variant>
        <vt:i4>636</vt:i4>
      </vt:variant>
      <vt:variant>
        <vt:i4>0</vt:i4>
      </vt:variant>
      <vt:variant>
        <vt:i4>5</vt:i4>
      </vt:variant>
      <vt:variant>
        <vt:lpwstr/>
      </vt:variant>
      <vt:variant>
        <vt:lpwstr>Risk_appetite</vt:lpwstr>
      </vt:variant>
      <vt:variant>
        <vt:i4>4194369</vt:i4>
      </vt:variant>
      <vt:variant>
        <vt:i4>633</vt:i4>
      </vt:variant>
      <vt:variant>
        <vt:i4>0</vt:i4>
      </vt:variant>
      <vt:variant>
        <vt:i4>5</vt:i4>
      </vt:variant>
      <vt:variant>
        <vt:lpwstr/>
      </vt:variant>
      <vt:variant>
        <vt:lpwstr>Second_line_defense</vt:lpwstr>
      </vt:variant>
      <vt:variant>
        <vt:i4>4194369</vt:i4>
      </vt:variant>
      <vt:variant>
        <vt:i4>624</vt:i4>
      </vt:variant>
      <vt:variant>
        <vt:i4>0</vt:i4>
      </vt:variant>
      <vt:variant>
        <vt:i4>5</vt:i4>
      </vt:variant>
      <vt:variant>
        <vt:lpwstr/>
      </vt:variant>
      <vt:variant>
        <vt:lpwstr>Second_line_defense</vt:lpwstr>
      </vt:variant>
      <vt:variant>
        <vt:i4>7209041</vt:i4>
      </vt:variant>
      <vt:variant>
        <vt:i4>621</vt:i4>
      </vt:variant>
      <vt:variant>
        <vt:i4>0</vt:i4>
      </vt:variant>
      <vt:variant>
        <vt:i4>5</vt:i4>
      </vt:variant>
      <vt:variant>
        <vt:lpwstr/>
      </vt:variant>
      <vt:variant>
        <vt:lpwstr>Three_lines_of_defense</vt:lpwstr>
      </vt:variant>
      <vt:variant>
        <vt:i4>6619230</vt:i4>
      </vt:variant>
      <vt:variant>
        <vt:i4>618</vt:i4>
      </vt:variant>
      <vt:variant>
        <vt:i4>0</vt:i4>
      </vt:variant>
      <vt:variant>
        <vt:i4>5</vt:i4>
      </vt:variant>
      <vt:variant>
        <vt:lpwstr/>
      </vt:variant>
      <vt:variant>
        <vt:lpwstr>Risk_management</vt:lpwstr>
      </vt:variant>
      <vt:variant>
        <vt:i4>7209041</vt:i4>
      </vt:variant>
      <vt:variant>
        <vt:i4>615</vt:i4>
      </vt:variant>
      <vt:variant>
        <vt:i4>0</vt:i4>
      </vt:variant>
      <vt:variant>
        <vt:i4>5</vt:i4>
      </vt:variant>
      <vt:variant>
        <vt:lpwstr/>
      </vt:variant>
      <vt:variant>
        <vt:lpwstr>Three_lines_of_defense</vt:lpwstr>
      </vt:variant>
      <vt:variant>
        <vt:i4>6619230</vt:i4>
      </vt:variant>
      <vt:variant>
        <vt:i4>612</vt:i4>
      </vt:variant>
      <vt:variant>
        <vt:i4>0</vt:i4>
      </vt:variant>
      <vt:variant>
        <vt:i4>5</vt:i4>
      </vt:variant>
      <vt:variant>
        <vt:lpwstr/>
      </vt:variant>
      <vt:variant>
        <vt:lpwstr>Risk_management</vt:lpwstr>
      </vt:variant>
      <vt:variant>
        <vt:i4>7209041</vt:i4>
      </vt:variant>
      <vt:variant>
        <vt:i4>609</vt:i4>
      </vt:variant>
      <vt:variant>
        <vt:i4>0</vt:i4>
      </vt:variant>
      <vt:variant>
        <vt:i4>5</vt:i4>
      </vt:variant>
      <vt:variant>
        <vt:lpwstr/>
      </vt:variant>
      <vt:variant>
        <vt:lpwstr>Three_lines_of_defense</vt:lpwstr>
      </vt:variant>
      <vt:variant>
        <vt:i4>6488150</vt:i4>
      </vt:variant>
      <vt:variant>
        <vt:i4>606</vt:i4>
      </vt:variant>
      <vt:variant>
        <vt:i4>0</vt:i4>
      </vt:variant>
      <vt:variant>
        <vt:i4>5</vt:i4>
      </vt:variant>
      <vt:variant>
        <vt:lpwstr/>
      </vt:variant>
      <vt:variant>
        <vt:lpwstr>Risk_tolerance</vt:lpwstr>
      </vt:variant>
      <vt:variant>
        <vt:i4>7340139</vt:i4>
      </vt:variant>
      <vt:variant>
        <vt:i4>603</vt:i4>
      </vt:variant>
      <vt:variant>
        <vt:i4>0</vt:i4>
      </vt:variant>
      <vt:variant>
        <vt:i4>5</vt:i4>
      </vt:variant>
      <vt:variant>
        <vt:lpwstr/>
      </vt:variant>
      <vt:variant>
        <vt:lpwstr>KPI</vt:lpwstr>
      </vt:variant>
      <vt:variant>
        <vt:i4>6488171</vt:i4>
      </vt:variant>
      <vt:variant>
        <vt:i4>600</vt:i4>
      </vt:variant>
      <vt:variant>
        <vt:i4>0</vt:i4>
      </vt:variant>
      <vt:variant>
        <vt:i4>5</vt:i4>
      </vt:variant>
      <vt:variant>
        <vt:lpwstr/>
      </vt:variant>
      <vt:variant>
        <vt:lpwstr>KCI</vt:lpwstr>
      </vt:variant>
      <vt:variant>
        <vt:i4>7471211</vt:i4>
      </vt:variant>
      <vt:variant>
        <vt:i4>597</vt:i4>
      </vt:variant>
      <vt:variant>
        <vt:i4>0</vt:i4>
      </vt:variant>
      <vt:variant>
        <vt:i4>5</vt:i4>
      </vt:variant>
      <vt:variant>
        <vt:lpwstr/>
      </vt:variant>
      <vt:variant>
        <vt:lpwstr>KRI</vt:lpwstr>
      </vt:variant>
      <vt:variant>
        <vt:i4>1245218</vt:i4>
      </vt:variant>
      <vt:variant>
        <vt:i4>594</vt:i4>
      </vt:variant>
      <vt:variant>
        <vt:i4>0</vt:i4>
      </vt:variant>
      <vt:variant>
        <vt:i4>5</vt:i4>
      </vt:variant>
      <vt:variant>
        <vt:lpwstr/>
      </vt:variant>
      <vt:variant>
        <vt:lpwstr>Risk_appetite</vt:lpwstr>
      </vt:variant>
      <vt:variant>
        <vt:i4>6488171</vt:i4>
      </vt:variant>
      <vt:variant>
        <vt:i4>591</vt:i4>
      </vt:variant>
      <vt:variant>
        <vt:i4>0</vt:i4>
      </vt:variant>
      <vt:variant>
        <vt:i4>5</vt:i4>
      </vt:variant>
      <vt:variant>
        <vt:lpwstr/>
      </vt:variant>
      <vt:variant>
        <vt:lpwstr>KCI</vt:lpwstr>
      </vt:variant>
      <vt:variant>
        <vt:i4>7471211</vt:i4>
      </vt:variant>
      <vt:variant>
        <vt:i4>588</vt:i4>
      </vt:variant>
      <vt:variant>
        <vt:i4>0</vt:i4>
      </vt:variant>
      <vt:variant>
        <vt:i4>5</vt:i4>
      </vt:variant>
      <vt:variant>
        <vt:lpwstr/>
      </vt:variant>
      <vt:variant>
        <vt:lpwstr>KRI</vt:lpwstr>
      </vt:variant>
      <vt:variant>
        <vt:i4>6488171</vt:i4>
      </vt:variant>
      <vt:variant>
        <vt:i4>585</vt:i4>
      </vt:variant>
      <vt:variant>
        <vt:i4>0</vt:i4>
      </vt:variant>
      <vt:variant>
        <vt:i4>5</vt:i4>
      </vt:variant>
      <vt:variant>
        <vt:lpwstr/>
      </vt:variant>
      <vt:variant>
        <vt:lpwstr>KCI</vt:lpwstr>
      </vt:variant>
      <vt:variant>
        <vt:i4>7471211</vt:i4>
      </vt:variant>
      <vt:variant>
        <vt:i4>582</vt:i4>
      </vt:variant>
      <vt:variant>
        <vt:i4>0</vt:i4>
      </vt:variant>
      <vt:variant>
        <vt:i4>5</vt:i4>
      </vt:variant>
      <vt:variant>
        <vt:lpwstr/>
      </vt:variant>
      <vt:variant>
        <vt:lpwstr>KRI</vt:lpwstr>
      </vt:variant>
      <vt:variant>
        <vt:i4>7340139</vt:i4>
      </vt:variant>
      <vt:variant>
        <vt:i4>531</vt:i4>
      </vt:variant>
      <vt:variant>
        <vt:i4>0</vt:i4>
      </vt:variant>
      <vt:variant>
        <vt:i4>5</vt:i4>
      </vt:variant>
      <vt:variant>
        <vt:lpwstr/>
      </vt:variant>
      <vt:variant>
        <vt:lpwstr>KPI</vt:lpwstr>
      </vt:variant>
      <vt:variant>
        <vt:i4>7471211</vt:i4>
      </vt:variant>
      <vt:variant>
        <vt:i4>528</vt:i4>
      </vt:variant>
      <vt:variant>
        <vt:i4>0</vt:i4>
      </vt:variant>
      <vt:variant>
        <vt:i4>5</vt:i4>
      </vt:variant>
      <vt:variant>
        <vt:lpwstr/>
      </vt:variant>
      <vt:variant>
        <vt:lpwstr>KRI</vt:lpwstr>
      </vt:variant>
      <vt:variant>
        <vt:i4>6488171</vt:i4>
      </vt:variant>
      <vt:variant>
        <vt:i4>510</vt:i4>
      </vt:variant>
      <vt:variant>
        <vt:i4>0</vt:i4>
      </vt:variant>
      <vt:variant>
        <vt:i4>5</vt:i4>
      </vt:variant>
      <vt:variant>
        <vt:lpwstr/>
      </vt:variant>
      <vt:variant>
        <vt:lpwstr>KCI</vt:lpwstr>
      </vt:variant>
      <vt:variant>
        <vt:i4>7471211</vt:i4>
      </vt:variant>
      <vt:variant>
        <vt:i4>507</vt:i4>
      </vt:variant>
      <vt:variant>
        <vt:i4>0</vt:i4>
      </vt:variant>
      <vt:variant>
        <vt:i4>5</vt:i4>
      </vt:variant>
      <vt:variant>
        <vt:lpwstr/>
      </vt:variant>
      <vt:variant>
        <vt:lpwstr>KRI</vt:lpwstr>
      </vt:variant>
      <vt:variant>
        <vt:i4>7340139</vt:i4>
      </vt:variant>
      <vt:variant>
        <vt:i4>504</vt:i4>
      </vt:variant>
      <vt:variant>
        <vt:i4>0</vt:i4>
      </vt:variant>
      <vt:variant>
        <vt:i4>5</vt:i4>
      </vt:variant>
      <vt:variant>
        <vt:lpwstr/>
      </vt:variant>
      <vt:variant>
        <vt:lpwstr>KPI</vt:lpwstr>
      </vt:variant>
      <vt:variant>
        <vt:i4>6488151</vt:i4>
      </vt:variant>
      <vt:variant>
        <vt:i4>498</vt:i4>
      </vt:variant>
      <vt:variant>
        <vt:i4>0</vt:i4>
      </vt:variant>
      <vt:variant>
        <vt:i4>5</vt:i4>
      </vt:variant>
      <vt:variant>
        <vt:lpwstr/>
      </vt:variant>
      <vt:variant>
        <vt:lpwstr>External_dependency</vt:lpwstr>
      </vt:variant>
      <vt:variant>
        <vt:i4>7471211</vt:i4>
      </vt:variant>
      <vt:variant>
        <vt:i4>489</vt:i4>
      </vt:variant>
      <vt:variant>
        <vt:i4>0</vt:i4>
      </vt:variant>
      <vt:variant>
        <vt:i4>5</vt:i4>
      </vt:variant>
      <vt:variant>
        <vt:lpwstr/>
      </vt:variant>
      <vt:variant>
        <vt:lpwstr>KRI</vt:lpwstr>
      </vt:variant>
      <vt:variant>
        <vt:i4>7340139</vt:i4>
      </vt:variant>
      <vt:variant>
        <vt:i4>486</vt:i4>
      </vt:variant>
      <vt:variant>
        <vt:i4>0</vt:i4>
      </vt:variant>
      <vt:variant>
        <vt:i4>5</vt:i4>
      </vt:variant>
      <vt:variant>
        <vt:lpwstr/>
      </vt:variant>
      <vt:variant>
        <vt:lpwstr>KPI</vt:lpwstr>
      </vt:variant>
      <vt:variant>
        <vt:i4>3211288</vt:i4>
      </vt:variant>
      <vt:variant>
        <vt:i4>480</vt:i4>
      </vt:variant>
      <vt:variant>
        <vt:i4>0</vt:i4>
      </vt:variant>
      <vt:variant>
        <vt:i4>5</vt:i4>
      </vt:variant>
      <vt:variant>
        <vt:lpwstr/>
      </vt:variant>
      <vt:variant>
        <vt:lpwstr>Cyber_resiliency</vt:lpwstr>
      </vt:variant>
      <vt:variant>
        <vt:i4>3276828</vt:i4>
      </vt:variant>
      <vt:variant>
        <vt:i4>477</vt:i4>
      </vt:variant>
      <vt:variant>
        <vt:i4>0</vt:i4>
      </vt:variant>
      <vt:variant>
        <vt:i4>5</vt:i4>
      </vt:variant>
      <vt:variant>
        <vt:lpwstr/>
      </vt:variant>
      <vt:variant>
        <vt:lpwstr>Third_party_service_provider</vt:lpwstr>
      </vt:variant>
      <vt:variant>
        <vt:i4>3276828</vt:i4>
      </vt:variant>
      <vt:variant>
        <vt:i4>474</vt:i4>
      </vt:variant>
      <vt:variant>
        <vt:i4>0</vt:i4>
      </vt:variant>
      <vt:variant>
        <vt:i4>5</vt:i4>
      </vt:variant>
      <vt:variant>
        <vt:lpwstr/>
      </vt:variant>
      <vt:variant>
        <vt:lpwstr>Third_party_service_provider</vt:lpwstr>
      </vt:variant>
      <vt:variant>
        <vt:i4>3211288</vt:i4>
      </vt:variant>
      <vt:variant>
        <vt:i4>471</vt:i4>
      </vt:variant>
      <vt:variant>
        <vt:i4>0</vt:i4>
      </vt:variant>
      <vt:variant>
        <vt:i4>5</vt:i4>
      </vt:variant>
      <vt:variant>
        <vt:lpwstr/>
      </vt:variant>
      <vt:variant>
        <vt:lpwstr>Cyber_resiliency</vt:lpwstr>
      </vt:variant>
      <vt:variant>
        <vt:i4>3211288</vt:i4>
      </vt:variant>
      <vt:variant>
        <vt:i4>468</vt:i4>
      </vt:variant>
      <vt:variant>
        <vt:i4>0</vt:i4>
      </vt:variant>
      <vt:variant>
        <vt:i4>5</vt:i4>
      </vt:variant>
      <vt:variant>
        <vt:lpwstr/>
      </vt:variant>
      <vt:variant>
        <vt:lpwstr>Cyber_resiliency</vt:lpwstr>
      </vt:variant>
      <vt:variant>
        <vt:i4>6291550</vt:i4>
      </vt:variant>
      <vt:variant>
        <vt:i4>465</vt:i4>
      </vt:variant>
      <vt:variant>
        <vt:i4>0</vt:i4>
      </vt:variant>
      <vt:variant>
        <vt:i4>5</vt:i4>
      </vt:variant>
      <vt:variant>
        <vt:lpwstr/>
      </vt:variant>
      <vt:variant>
        <vt:lpwstr>Risk_assessment</vt:lpwstr>
      </vt:variant>
      <vt:variant>
        <vt:i4>589864</vt:i4>
      </vt:variant>
      <vt:variant>
        <vt:i4>456</vt:i4>
      </vt:variant>
      <vt:variant>
        <vt:i4>0</vt:i4>
      </vt:variant>
      <vt:variant>
        <vt:i4>5</vt:i4>
      </vt:variant>
      <vt:variant>
        <vt:lpwstr/>
      </vt:variant>
      <vt:variant>
        <vt:lpwstr>EX_CN_02_01_Contract_Requirements</vt:lpwstr>
      </vt:variant>
      <vt:variant>
        <vt:i4>7340139</vt:i4>
      </vt:variant>
      <vt:variant>
        <vt:i4>453</vt:i4>
      </vt:variant>
      <vt:variant>
        <vt:i4>0</vt:i4>
      </vt:variant>
      <vt:variant>
        <vt:i4>5</vt:i4>
      </vt:variant>
      <vt:variant>
        <vt:lpwstr/>
      </vt:variant>
      <vt:variant>
        <vt:lpwstr>KPI</vt:lpwstr>
      </vt:variant>
      <vt:variant>
        <vt:i4>7471211</vt:i4>
      </vt:variant>
      <vt:variant>
        <vt:i4>450</vt:i4>
      </vt:variant>
      <vt:variant>
        <vt:i4>0</vt:i4>
      </vt:variant>
      <vt:variant>
        <vt:i4>5</vt:i4>
      </vt:variant>
      <vt:variant>
        <vt:lpwstr/>
      </vt:variant>
      <vt:variant>
        <vt:lpwstr>KRI</vt:lpwstr>
      </vt:variant>
      <vt:variant>
        <vt:i4>7209041</vt:i4>
      </vt:variant>
      <vt:variant>
        <vt:i4>447</vt:i4>
      </vt:variant>
      <vt:variant>
        <vt:i4>0</vt:i4>
      </vt:variant>
      <vt:variant>
        <vt:i4>5</vt:i4>
      </vt:variant>
      <vt:variant>
        <vt:lpwstr/>
      </vt:variant>
      <vt:variant>
        <vt:lpwstr>Three_lines_of_defense</vt:lpwstr>
      </vt:variant>
      <vt:variant>
        <vt:i4>6291550</vt:i4>
      </vt:variant>
      <vt:variant>
        <vt:i4>441</vt:i4>
      </vt:variant>
      <vt:variant>
        <vt:i4>0</vt:i4>
      </vt:variant>
      <vt:variant>
        <vt:i4>5</vt:i4>
      </vt:variant>
      <vt:variant>
        <vt:lpwstr/>
      </vt:variant>
      <vt:variant>
        <vt:lpwstr>Risk_assessment</vt:lpwstr>
      </vt:variant>
      <vt:variant>
        <vt:i4>6291550</vt:i4>
      </vt:variant>
      <vt:variant>
        <vt:i4>438</vt:i4>
      </vt:variant>
      <vt:variant>
        <vt:i4>0</vt:i4>
      </vt:variant>
      <vt:variant>
        <vt:i4>5</vt:i4>
      </vt:variant>
      <vt:variant>
        <vt:lpwstr/>
      </vt:variant>
      <vt:variant>
        <vt:lpwstr>Risk_assessment</vt:lpwstr>
      </vt:variant>
      <vt:variant>
        <vt:i4>6291542</vt:i4>
      </vt:variant>
      <vt:variant>
        <vt:i4>435</vt:i4>
      </vt:variant>
      <vt:variant>
        <vt:i4>0</vt:i4>
      </vt:variant>
      <vt:variant>
        <vt:i4>5</vt:i4>
      </vt:variant>
      <vt:variant>
        <vt:lpwstr/>
      </vt:variant>
      <vt:variant>
        <vt:lpwstr>Critical_infrastructure</vt:lpwstr>
      </vt:variant>
      <vt:variant>
        <vt:i4>3211288</vt:i4>
      </vt:variant>
      <vt:variant>
        <vt:i4>432</vt:i4>
      </vt:variant>
      <vt:variant>
        <vt:i4>0</vt:i4>
      </vt:variant>
      <vt:variant>
        <vt:i4>5</vt:i4>
      </vt:variant>
      <vt:variant>
        <vt:lpwstr/>
      </vt:variant>
      <vt:variant>
        <vt:lpwstr>Cyber_resiliency</vt:lpwstr>
      </vt:variant>
      <vt:variant>
        <vt:i4>3801108</vt:i4>
      </vt:variant>
      <vt:variant>
        <vt:i4>429</vt:i4>
      </vt:variant>
      <vt:variant>
        <vt:i4>0</vt:i4>
      </vt:variant>
      <vt:variant>
        <vt:i4>5</vt:i4>
      </vt:variant>
      <vt:variant>
        <vt:lpwstr/>
      </vt:variant>
      <vt:variant>
        <vt:lpwstr>Cyber_threat</vt:lpwstr>
      </vt:variant>
      <vt:variant>
        <vt:i4>4194369</vt:i4>
      </vt:variant>
      <vt:variant>
        <vt:i4>426</vt:i4>
      </vt:variant>
      <vt:variant>
        <vt:i4>0</vt:i4>
      </vt:variant>
      <vt:variant>
        <vt:i4>5</vt:i4>
      </vt:variant>
      <vt:variant>
        <vt:lpwstr/>
      </vt:variant>
      <vt:variant>
        <vt:lpwstr>Second_line_defense</vt:lpwstr>
      </vt:variant>
      <vt:variant>
        <vt:i4>4194382</vt:i4>
      </vt:variant>
      <vt:variant>
        <vt:i4>423</vt:i4>
      </vt:variant>
      <vt:variant>
        <vt:i4>0</vt:i4>
      </vt:variant>
      <vt:variant>
        <vt:i4>5</vt:i4>
      </vt:variant>
      <vt:variant>
        <vt:lpwstr/>
      </vt:variant>
      <vt:variant>
        <vt:lpwstr>First_line_defense</vt:lpwstr>
      </vt:variant>
      <vt:variant>
        <vt:i4>7209041</vt:i4>
      </vt:variant>
      <vt:variant>
        <vt:i4>420</vt:i4>
      </vt:variant>
      <vt:variant>
        <vt:i4>0</vt:i4>
      </vt:variant>
      <vt:variant>
        <vt:i4>5</vt:i4>
      </vt:variant>
      <vt:variant>
        <vt:lpwstr/>
      </vt:variant>
      <vt:variant>
        <vt:lpwstr>Three_lines_of_defense</vt:lpwstr>
      </vt:variant>
      <vt:variant>
        <vt:i4>6488150</vt:i4>
      </vt:variant>
      <vt:variant>
        <vt:i4>417</vt:i4>
      </vt:variant>
      <vt:variant>
        <vt:i4>0</vt:i4>
      </vt:variant>
      <vt:variant>
        <vt:i4>5</vt:i4>
      </vt:variant>
      <vt:variant>
        <vt:lpwstr/>
      </vt:variant>
      <vt:variant>
        <vt:lpwstr>Risk_tolerance</vt:lpwstr>
      </vt:variant>
      <vt:variant>
        <vt:i4>6750294</vt:i4>
      </vt:variant>
      <vt:variant>
        <vt:i4>414</vt:i4>
      </vt:variant>
      <vt:variant>
        <vt:i4>0</vt:i4>
      </vt:variant>
      <vt:variant>
        <vt:i4>5</vt:i4>
      </vt:variant>
      <vt:variant>
        <vt:lpwstr/>
      </vt:variant>
      <vt:variant>
        <vt:lpwstr>Threat_intelligence</vt:lpwstr>
      </vt:variant>
      <vt:variant>
        <vt:i4>7471211</vt:i4>
      </vt:variant>
      <vt:variant>
        <vt:i4>411</vt:i4>
      </vt:variant>
      <vt:variant>
        <vt:i4>0</vt:i4>
      </vt:variant>
      <vt:variant>
        <vt:i4>5</vt:i4>
      </vt:variant>
      <vt:variant>
        <vt:lpwstr/>
      </vt:variant>
      <vt:variant>
        <vt:lpwstr>KRI</vt:lpwstr>
      </vt:variant>
      <vt:variant>
        <vt:i4>6488150</vt:i4>
      </vt:variant>
      <vt:variant>
        <vt:i4>408</vt:i4>
      </vt:variant>
      <vt:variant>
        <vt:i4>0</vt:i4>
      </vt:variant>
      <vt:variant>
        <vt:i4>5</vt:i4>
      </vt:variant>
      <vt:variant>
        <vt:lpwstr/>
      </vt:variant>
      <vt:variant>
        <vt:lpwstr>Risk_tolerance</vt:lpwstr>
      </vt:variant>
      <vt:variant>
        <vt:i4>1245218</vt:i4>
      </vt:variant>
      <vt:variant>
        <vt:i4>405</vt:i4>
      </vt:variant>
      <vt:variant>
        <vt:i4>0</vt:i4>
      </vt:variant>
      <vt:variant>
        <vt:i4>5</vt:i4>
      </vt:variant>
      <vt:variant>
        <vt:lpwstr/>
      </vt:variant>
      <vt:variant>
        <vt:lpwstr>Risk_appetite</vt:lpwstr>
      </vt:variant>
      <vt:variant>
        <vt:i4>6291542</vt:i4>
      </vt:variant>
      <vt:variant>
        <vt:i4>402</vt:i4>
      </vt:variant>
      <vt:variant>
        <vt:i4>0</vt:i4>
      </vt:variant>
      <vt:variant>
        <vt:i4>5</vt:i4>
      </vt:variant>
      <vt:variant>
        <vt:lpwstr/>
      </vt:variant>
      <vt:variant>
        <vt:lpwstr>Critical_infrastructure</vt:lpwstr>
      </vt:variant>
      <vt:variant>
        <vt:i4>7471211</vt:i4>
      </vt:variant>
      <vt:variant>
        <vt:i4>399</vt:i4>
      </vt:variant>
      <vt:variant>
        <vt:i4>0</vt:i4>
      </vt:variant>
      <vt:variant>
        <vt:i4>5</vt:i4>
      </vt:variant>
      <vt:variant>
        <vt:lpwstr/>
      </vt:variant>
      <vt:variant>
        <vt:lpwstr>KRI</vt:lpwstr>
      </vt:variant>
      <vt:variant>
        <vt:i4>7471211</vt:i4>
      </vt:variant>
      <vt:variant>
        <vt:i4>396</vt:i4>
      </vt:variant>
      <vt:variant>
        <vt:i4>0</vt:i4>
      </vt:variant>
      <vt:variant>
        <vt:i4>5</vt:i4>
      </vt:variant>
      <vt:variant>
        <vt:lpwstr/>
      </vt:variant>
      <vt:variant>
        <vt:lpwstr>KRI</vt:lpwstr>
      </vt:variant>
      <vt:variant>
        <vt:i4>1245218</vt:i4>
      </vt:variant>
      <vt:variant>
        <vt:i4>393</vt:i4>
      </vt:variant>
      <vt:variant>
        <vt:i4>0</vt:i4>
      </vt:variant>
      <vt:variant>
        <vt:i4>5</vt:i4>
      </vt:variant>
      <vt:variant>
        <vt:lpwstr/>
      </vt:variant>
      <vt:variant>
        <vt:lpwstr>Risk_appetite</vt:lpwstr>
      </vt:variant>
      <vt:variant>
        <vt:i4>6488150</vt:i4>
      </vt:variant>
      <vt:variant>
        <vt:i4>390</vt:i4>
      </vt:variant>
      <vt:variant>
        <vt:i4>0</vt:i4>
      </vt:variant>
      <vt:variant>
        <vt:i4>5</vt:i4>
      </vt:variant>
      <vt:variant>
        <vt:lpwstr/>
      </vt:variant>
      <vt:variant>
        <vt:lpwstr>Risk_tolerance</vt:lpwstr>
      </vt:variant>
      <vt:variant>
        <vt:i4>6488150</vt:i4>
      </vt:variant>
      <vt:variant>
        <vt:i4>387</vt:i4>
      </vt:variant>
      <vt:variant>
        <vt:i4>0</vt:i4>
      </vt:variant>
      <vt:variant>
        <vt:i4>5</vt:i4>
      </vt:variant>
      <vt:variant>
        <vt:lpwstr/>
      </vt:variant>
      <vt:variant>
        <vt:lpwstr>Risk_tolerance</vt:lpwstr>
      </vt:variant>
      <vt:variant>
        <vt:i4>1245218</vt:i4>
      </vt:variant>
      <vt:variant>
        <vt:i4>384</vt:i4>
      </vt:variant>
      <vt:variant>
        <vt:i4>0</vt:i4>
      </vt:variant>
      <vt:variant>
        <vt:i4>5</vt:i4>
      </vt:variant>
      <vt:variant>
        <vt:lpwstr/>
      </vt:variant>
      <vt:variant>
        <vt:lpwstr>Risk_appetite</vt:lpwstr>
      </vt:variant>
      <vt:variant>
        <vt:i4>6488171</vt:i4>
      </vt:variant>
      <vt:variant>
        <vt:i4>381</vt:i4>
      </vt:variant>
      <vt:variant>
        <vt:i4>0</vt:i4>
      </vt:variant>
      <vt:variant>
        <vt:i4>5</vt:i4>
      </vt:variant>
      <vt:variant>
        <vt:lpwstr/>
      </vt:variant>
      <vt:variant>
        <vt:lpwstr>KCI</vt:lpwstr>
      </vt:variant>
      <vt:variant>
        <vt:i4>7340139</vt:i4>
      </vt:variant>
      <vt:variant>
        <vt:i4>378</vt:i4>
      </vt:variant>
      <vt:variant>
        <vt:i4>0</vt:i4>
      </vt:variant>
      <vt:variant>
        <vt:i4>5</vt:i4>
      </vt:variant>
      <vt:variant>
        <vt:lpwstr/>
      </vt:variant>
      <vt:variant>
        <vt:lpwstr>KPI</vt:lpwstr>
      </vt:variant>
      <vt:variant>
        <vt:i4>7471211</vt:i4>
      </vt:variant>
      <vt:variant>
        <vt:i4>375</vt:i4>
      </vt:variant>
      <vt:variant>
        <vt:i4>0</vt:i4>
      </vt:variant>
      <vt:variant>
        <vt:i4>5</vt:i4>
      </vt:variant>
      <vt:variant>
        <vt:lpwstr/>
      </vt:variant>
      <vt:variant>
        <vt:lpwstr>KRI</vt:lpwstr>
      </vt:variant>
      <vt:variant>
        <vt:i4>8257654</vt:i4>
      </vt:variant>
      <vt:variant>
        <vt:i4>345</vt:i4>
      </vt:variant>
      <vt:variant>
        <vt:i4>0</vt:i4>
      </vt:variant>
      <vt:variant>
        <vt:i4>5</vt:i4>
      </vt:variant>
      <vt:variant>
        <vt:lpwstr/>
      </vt:variant>
      <vt:variant>
        <vt:lpwstr>Recovery_point_obj</vt:lpwstr>
      </vt:variant>
      <vt:variant>
        <vt:i4>8257654</vt:i4>
      </vt:variant>
      <vt:variant>
        <vt:i4>342</vt:i4>
      </vt:variant>
      <vt:variant>
        <vt:i4>0</vt:i4>
      </vt:variant>
      <vt:variant>
        <vt:i4>5</vt:i4>
      </vt:variant>
      <vt:variant>
        <vt:lpwstr/>
      </vt:variant>
      <vt:variant>
        <vt:lpwstr>Recovery_point_obj</vt:lpwstr>
      </vt:variant>
      <vt:variant>
        <vt:i4>3276841</vt:i4>
      </vt:variant>
      <vt:variant>
        <vt:i4>339</vt:i4>
      </vt:variant>
      <vt:variant>
        <vt:i4>0</vt:i4>
      </vt:variant>
      <vt:variant>
        <vt:i4>5</vt:i4>
      </vt:variant>
      <vt:variant>
        <vt:lpwstr/>
      </vt:variant>
      <vt:variant>
        <vt:lpwstr>Recovery_time_obj</vt:lpwstr>
      </vt:variant>
      <vt:variant>
        <vt:i4>6488151</vt:i4>
      </vt:variant>
      <vt:variant>
        <vt:i4>336</vt:i4>
      </vt:variant>
      <vt:variant>
        <vt:i4>0</vt:i4>
      </vt:variant>
      <vt:variant>
        <vt:i4>5</vt:i4>
      </vt:variant>
      <vt:variant>
        <vt:lpwstr/>
      </vt:variant>
      <vt:variant>
        <vt:lpwstr>External_dependency</vt:lpwstr>
      </vt:variant>
      <vt:variant>
        <vt:i4>3211288</vt:i4>
      </vt:variant>
      <vt:variant>
        <vt:i4>330</vt:i4>
      </vt:variant>
      <vt:variant>
        <vt:i4>0</vt:i4>
      </vt:variant>
      <vt:variant>
        <vt:i4>5</vt:i4>
      </vt:variant>
      <vt:variant>
        <vt:lpwstr/>
      </vt:variant>
      <vt:variant>
        <vt:lpwstr>Cyber_resiliency</vt:lpwstr>
      </vt:variant>
      <vt:variant>
        <vt:i4>4784235</vt:i4>
      </vt:variant>
      <vt:variant>
        <vt:i4>327</vt:i4>
      </vt:variant>
      <vt:variant>
        <vt:i4>0</vt:i4>
      </vt:variant>
      <vt:variant>
        <vt:i4>5</vt:i4>
      </vt:variant>
      <vt:variant>
        <vt:lpwstr/>
      </vt:variant>
      <vt:variant>
        <vt:lpwstr>Operational_resilience</vt:lpwstr>
      </vt:variant>
      <vt:variant>
        <vt:i4>6291542</vt:i4>
      </vt:variant>
      <vt:variant>
        <vt:i4>324</vt:i4>
      </vt:variant>
      <vt:variant>
        <vt:i4>0</vt:i4>
      </vt:variant>
      <vt:variant>
        <vt:i4>5</vt:i4>
      </vt:variant>
      <vt:variant>
        <vt:lpwstr/>
      </vt:variant>
      <vt:variant>
        <vt:lpwstr>Critical_infrastructure</vt:lpwstr>
      </vt:variant>
      <vt:variant>
        <vt:i4>6291542</vt:i4>
      </vt:variant>
      <vt:variant>
        <vt:i4>321</vt:i4>
      </vt:variant>
      <vt:variant>
        <vt:i4>0</vt:i4>
      </vt:variant>
      <vt:variant>
        <vt:i4>5</vt:i4>
      </vt:variant>
      <vt:variant>
        <vt:lpwstr/>
      </vt:variant>
      <vt:variant>
        <vt:lpwstr>Critical_infrastructure</vt:lpwstr>
      </vt:variant>
      <vt:variant>
        <vt:i4>1245218</vt:i4>
      </vt:variant>
      <vt:variant>
        <vt:i4>318</vt:i4>
      </vt:variant>
      <vt:variant>
        <vt:i4>0</vt:i4>
      </vt:variant>
      <vt:variant>
        <vt:i4>5</vt:i4>
      </vt:variant>
      <vt:variant>
        <vt:lpwstr/>
      </vt:variant>
      <vt:variant>
        <vt:lpwstr>Risk_appetite</vt:lpwstr>
      </vt:variant>
      <vt:variant>
        <vt:i4>6488150</vt:i4>
      </vt:variant>
      <vt:variant>
        <vt:i4>315</vt:i4>
      </vt:variant>
      <vt:variant>
        <vt:i4>0</vt:i4>
      </vt:variant>
      <vt:variant>
        <vt:i4>5</vt:i4>
      </vt:variant>
      <vt:variant>
        <vt:lpwstr/>
      </vt:variant>
      <vt:variant>
        <vt:lpwstr>Risk_tolerance</vt:lpwstr>
      </vt:variant>
      <vt:variant>
        <vt:i4>1245218</vt:i4>
      </vt:variant>
      <vt:variant>
        <vt:i4>312</vt:i4>
      </vt:variant>
      <vt:variant>
        <vt:i4>0</vt:i4>
      </vt:variant>
      <vt:variant>
        <vt:i4>5</vt:i4>
      </vt:variant>
      <vt:variant>
        <vt:lpwstr/>
      </vt:variant>
      <vt:variant>
        <vt:lpwstr>Risk_appetite</vt:lpwstr>
      </vt:variant>
      <vt:variant>
        <vt:i4>6488150</vt:i4>
      </vt:variant>
      <vt:variant>
        <vt:i4>309</vt:i4>
      </vt:variant>
      <vt:variant>
        <vt:i4>0</vt:i4>
      </vt:variant>
      <vt:variant>
        <vt:i4>5</vt:i4>
      </vt:variant>
      <vt:variant>
        <vt:lpwstr/>
      </vt:variant>
      <vt:variant>
        <vt:lpwstr>Risk_tolerance</vt:lpwstr>
      </vt:variant>
      <vt:variant>
        <vt:i4>5382144</vt:i4>
      </vt:variant>
      <vt:variant>
        <vt:i4>306</vt:i4>
      </vt:variant>
      <vt:variant>
        <vt:i4>0</vt:i4>
      </vt:variant>
      <vt:variant>
        <vt:i4>5</vt:i4>
      </vt:variant>
      <vt:variant>
        <vt:lpwstr/>
      </vt:variant>
      <vt:variant>
        <vt:lpwstr>_Determine_Your_Organization’s</vt:lpwstr>
      </vt:variant>
      <vt:variant>
        <vt:i4>4792358</vt:i4>
      </vt:variant>
      <vt:variant>
        <vt:i4>303</vt:i4>
      </vt:variant>
      <vt:variant>
        <vt:i4>0</vt:i4>
      </vt:variant>
      <vt:variant>
        <vt:i4>5</vt:i4>
      </vt:variant>
      <vt:variant>
        <vt:lpwstr/>
      </vt:variant>
      <vt:variant>
        <vt:lpwstr>_APPENDIX_C_–_1</vt:lpwstr>
      </vt:variant>
      <vt:variant>
        <vt:i4>2031674</vt:i4>
      </vt:variant>
      <vt:variant>
        <vt:i4>296</vt:i4>
      </vt:variant>
      <vt:variant>
        <vt:i4>0</vt:i4>
      </vt:variant>
      <vt:variant>
        <vt:i4>5</vt:i4>
      </vt:variant>
      <vt:variant>
        <vt:lpwstr/>
      </vt:variant>
      <vt:variant>
        <vt:lpwstr>_Toc89343623</vt:lpwstr>
      </vt:variant>
      <vt:variant>
        <vt:i4>1966138</vt:i4>
      </vt:variant>
      <vt:variant>
        <vt:i4>290</vt:i4>
      </vt:variant>
      <vt:variant>
        <vt:i4>0</vt:i4>
      </vt:variant>
      <vt:variant>
        <vt:i4>5</vt:i4>
      </vt:variant>
      <vt:variant>
        <vt:lpwstr/>
      </vt:variant>
      <vt:variant>
        <vt:lpwstr>_Toc89343622</vt:lpwstr>
      </vt:variant>
      <vt:variant>
        <vt:i4>1900602</vt:i4>
      </vt:variant>
      <vt:variant>
        <vt:i4>284</vt:i4>
      </vt:variant>
      <vt:variant>
        <vt:i4>0</vt:i4>
      </vt:variant>
      <vt:variant>
        <vt:i4>5</vt:i4>
      </vt:variant>
      <vt:variant>
        <vt:lpwstr/>
      </vt:variant>
      <vt:variant>
        <vt:lpwstr>_Toc89343621</vt:lpwstr>
      </vt:variant>
      <vt:variant>
        <vt:i4>1835066</vt:i4>
      </vt:variant>
      <vt:variant>
        <vt:i4>278</vt:i4>
      </vt:variant>
      <vt:variant>
        <vt:i4>0</vt:i4>
      </vt:variant>
      <vt:variant>
        <vt:i4>5</vt:i4>
      </vt:variant>
      <vt:variant>
        <vt:lpwstr/>
      </vt:variant>
      <vt:variant>
        <vt:lpwstr>_Toc89343620</vt:lpwstr>
      </vt:variant>
      <vt:variant>
        <vt:i4>1376313</vt:i4>
      </vt:variant>
      <vt:variant>
        <vt:i4>272</vt:i4>
      </vt:variant>
      <vt:variant>
        <vt:i4>0</vt:i4>
      </vt:variant>
      <vt:variant>
        <vt:i4>5</vt:i4>
      </vt:variant>
      <vt:variant>
        <vt:lpwstr/>
      </vt:variant>
      <vt:variant>
        <vt:lpwstr>_Toc89343619</vt:lpwstr>
      </vt:variant>
      <vt:variant>
        <vt:i4>1310777</vt:i4>
      </vt:variant>
      <vt:variant>
        <vt:i4>266</vt:i4>
      </vt:variant>
      <vt:variant>
        <vt:i4>0</vt:i4>
      </vt:variant>
      <vt:variant>
        <vt:i4>5</vt:i4>
      </vt:variant>
      <vt:variant>
        <vt:lpwstr/>
      </vt:variant>
      <vt:variant>
        <vt:lpwstr>_Toc89343618</vt:lpwstr>
      </vt:variant>
      <vt:variant>
        <vt:i4>1769529</vt:i4>
      </vt:variant>
      <vt:variant>
        <vt:i4>260</vt:i4>
      </vt:variant>
      <vt:variant>
        <vt:i4>0</vt:i4>
      </vt:variant>
      <vt:variant>
        <vt:i4>5</vt:i4>
      </vt:variant>
      <vt:variant>
        <vt:lpwstr/>
      </vt:variant>
      <vt:variant>
        <vt:lpwstr>_Toc89343617</vt:lpwstr>
      </vt:variant>
      <vt:variant>
        <vt:i4>1703993</vt:i4>
      </vt:variant>
      <vt:variant>
        <vt:i4>254</vt:i4>
      </vt:variant>
      <vt:variant>
        <vt:i4>0</vt:i4>
      </vt:variant>
      <vt:variant>
        <vt:i4>5</vt:i4>
      </vt:variant>
      <vt:variant>
        <vt:lpwstr/>
      </vt:variant>
      <vt:variant>
        <vt:lpwstr>_Toc89343616</vt:lpwstr>
      </vt:variant>
      <vt:variant>
        <vt:i4>1638457</vt:i4>
      </vt:variant>
      <vt:variant>
        <vt:i4>248</vt:i4>
      </vt:variant>
      <vt:variant>
        <vt:i4>0</vt:i4>
      </vt:variant>
      <vt:variant>
        <vt:i4>5</vt:i4>
      </vt:variant>
      <vt:variant>
        <vt:lpwstr/>
      </vt:variant>
      <vt:variant>
        <vt:lpwstr>_Toc89343615</vt:lpwstr>
      </vt:variant>
      <vt:variant>
        <vt:i4>1572921</vt:i4>
      </vt:variant>
      <vt:variant>
        <vt:i4>242</vt:i4>
      </vt:variant>
      <vt:variant>
        <vt:i4>0</vt:i4>
      </vt:variant>
      <vt:variant>
        <vt:i4>5</vt:i4>
      </vt:variant>
      <vt:variant>
        <vt:lpwstr/>
      </vt:variant>
      <vt:variant>
        <vt:lpwstr>_Toc89343614</vt:lpwstr>
      </vt:variant>
      <vt:variant>
        <vt:i4>2031673</vt:i4>
      </vt:variant>
      <vt:variant>
        <vt:i4>236</vt:i4>
      </vt:variant>
      <vt:variant>
        <vt:i4>0</vt:i4>
      </vt:variant>
      <vt:variant>
        <vt:i4>5</vt:i4>
      </vt:variant>
      <vt:variant>
        <vt:lpwstr/>
      </vt:variant>
      <vt:variant>
        <vt:lpwstr>_Toc89343613</vt:lpwstr>
      </vt:variant>
      <vt:variant>
        <vt:i4>1966137</vt:i4>
      </vt:variant>
      <vt:variant>
        <vt:i4>230</vt:i4>
      </vt:variant>
      <vt:variant>
        <vt:i4>0</vt:i4>
      </vt:variant>
      <vt:variant>
        <vt:i4>5</vt:i4>
      </vt:variant>
      <vt:variant>
        <vt:lpwstr/>
      </vt:variant>
      <vt:variant>
        <vt:lpwstr>_Toc89343612</vt:lpwstr>
      </vt:variant>
      <vt:variant>
        <vt:i4>1900601</vt:i4>
      </vt:variant>
      <vt:variant>
        <vt:i4>224</vt:i4>
      </vt:variant>
      <vt:variant>
        <vt:i4>0</vt:i4>
      </vt:variant>
      <vt:variant>
        <vt:i4>5</vt:i4>
      </vt:variant>
      <vt:variant>
        <vt:lpwstr/>
      </vt:variant>
      <vt:variant>
        <vt:lpwstr>_Toc89343611</vt:lpwstr>
      </vt:variant>
      <vt:variant>
        <vt:i4>1835065</vt:i4>
      </vt:variant>
      <vt:variant>
        <vt:i4>218</vt:i4>
      </vt:variant>
      <vt:variant>
        <vt:i4>0</vt:i4>
      </vt:variant>
      <vt:variant>
        <vt:i4>5</vt:i4>
      </vt:variant>
      <vt:variant>
        <vt:lpwstr/>
      </vt:variant>
      <vt:variant>
        <vt:lpwstr>_Toc89343610</vt:lpwstr>
      </vt:variant>
      <vt:variant>
        <vt:i4>1376312</vt:i4>
      </vt:variant>
      <vt:variant>
        <vt:i4>212</vt:i4>
      </vt:variant>
      <vt:variant>
        <vt:i4>0</vt:i4>
      </vt:variant>
      <vt:variant>
        <vt:i4>5</vt:i4>
      </vt:variant>
      <vt:variant>
        <vt:lpwstr/>
      </vt:variant>
      <vt:variant>
        <vt:lpwstr>_Toc89343609</vt:lpwstr>
      </vt:variant>
      <vt:variant>
        <vt:i4>1310776</vt:i4>
      </vt:variant>
      <vt:variant>
        <vt:i4>206</vt:i4>
      </vt:variant>
      <vt:variant>
        <vt:i4>0</vt:i4>
      </vt:variant>
      <vt:variant>
        <vt:i4>5</vt:i4>
      </vt:variant>
      <vt:variant>
        <vt:lpwstr/>
      </vt:variant>
      <vt:variant>
        <vt:lpwstr>_Toc89343608</vt:lpwstr>
      </vt:variant>
      <vt:variant>
        <vt:i4>1769528</vt:i4>
      </vt:variant>
      <vt:variant>
        <vt:i4>200</vt:i4>
      </vt:variant>
      <vt:variant>
        <vt:i4>0</vt:i4>
      </vt:variant>
      <vt:variant>
        <vt:i4>5</vt:i4>
      </vt:variant>
      <vt:variant>
        <vt:lpwstr/>
      </vt:variant>
      <vt:variant>
        <vt:lpwstr>_Toc89343607</vt:lpwstr>
      </vt:variant>
      <vt:variant>
        <vt:i4>1703992</vt:i4>
      </vt:variant>
      <vt:variant>
        <vt:i4>194</vt:i4>
      </vt:variant>
      <vt:variant>
        <vt:i4>0</vt:i4>
      </vt:variant>
      <vt:variant>
        <vt:i4>5</vt:i4>
      </vt:variant>
      <vt:variant>
        <vt:lpwstr/>
      </vt:variant>
      <vt:variant>
        <vt:lpwstr>_Toc89343606</vt:lpwstr>
      </vt:variant>
      <vt:variant>
        <vt:i4>1638456</vt:i4>
      </vt:variant>
      <vt:variant>
        <vt:i4>188</vt:i4>
      </vt:variant>
      <vt:variant>
        <vt:i4>0</vt:i4>
      </vt:variant>
      <vt:variant>
        <vt:i4>5</vt:i4>
      </vt:variant>
      <vt:variant>
        <vt:lpwstr/>
      </vt:variant>
      <vt:variant>
        <vt:lpwstr>_Toc89343605</vt:lpwstr>
      </vt:variant>
      <vt:variant>
        <vt:i4>1572920</vt:i4>
      </vt:variant>
      <vt:variant>
        <vt:i4>182</vt:i4>
      </vt:variant>
      <vt:variant>
        <vt:i4>0</vt:i4>
      </vt:variant>
      <vt:variant>
        <vt:i4>5</vt:i4>
      </vt:variant>
      <vt:variant>
        <vt:lpwstr/>
      </vt:variant>
      <vt:variant>
        <vt:lpwstr>_Toc89343604</vt:lpwstr>
      </vt:variant>
      <vt:variant>
        <vt:i4>2031672</vt:i4>
      </vt:variant>
      <vt:variant>
        <vt:i4>176</vt:i4>
      </vt:variant>
      <vt:variant>
        <vt:i4>0</vt:i4>
      </vt:variant>
      <vt:variant>
        <vt:i4>5</vt:i4>
      </vt:variant>
      <vt:variant>
        <vt:lpwstr/>
      </vt:variant>
      <vt:variant>
        <vt:lpwstr>_Toc89343603</vt:lpwstr>
      </vt:variant>
      <vt:variant>
        <vt:i4>1966136</vt:i4>
      </vt:variant>
      <vt:variant>
        <vt:i4>170</vt:i4>
      </vt:variant>
      <vt:variant>
        <vt:i4>0</vt:i4>
      </vt:variant>
      <vt:variant>
        <vt:i4>5</vt:i4>
      </vt:variant>
      <vt:variant>
        <vt:lpwstr/>
      </vt:variant>
      <vt:variant>
        <vt:lpwstr>_Toc89343602</vt:lpwstr>
      </vt:variant>
      <vt:variant>
        <vt:i4>1900600</vt:i4>
      </vt:variant>
      <vt:variant>
        <vt:i4>164</vt:i4>
      </vt:variant>
      <vt:variant>
        <vt:i4>0</vt:i4>
      </vt:variant>
      <vt:variant>
        <vt:i4>5</vt:i4>
      </vt:variant>
      <vt:variant>
        <vt:lpwstr/>
      </vt:variant>
      <vt:variant>
        <vt:lpwstr>_Toc89343601</vt:lpwstr>
      </vt:variant>
      <vt:variant>
        <vt:i4>1835064</vt:i4>
      </vt:variant>
      <vt:variant>
        <vt:i4>158</vt:i4>
      </vt:variant>
      <vt:variant>
        <vt:i4>0</vt:i4>
      </vt:variant>
      <vt:variant>
        <vt:i4>5</vt:i4>
      </vt:variant>
      <vt:variant>
        <vt:lpwstr/>
      </vt:variant>
      <vt:variant>
        <vt:lpwstr>_Toc89343600</vt:lpwstr>
      </vt:variant>
      <vt:variant>
        <vt:i4>1441841</vt:i4>
      </vt:variant>
      <vt:variant>
        <vt:i4>152</vt:i4>
      </vt:variant>
      <vt:variant>
        <vt:i4>0</vt:i4>
      </vt:variant>
      <vt:variant>
        <vt:i4>5</vt:i4>
      </vt:variant>
      <vt:variant>
        <vt:lpwstr/>
      </vt:variant>
      <vt:variant>
        <vt:lpwstr>_Toc89343599</vt:lpwstr>
      </vt:variant>
      <vt:variant>
        <vt:i4>1507377</vt:i4>
      </vt:variant>
      <vt:variant>
        <vt:i4>146</vt:i4>
      </vt:variant>
      <vt:variant>
        <vt:i4>0</vt:i4>
      </vt:variant>
      <vt:variant>
        <vt:i4>5</vt:i4>
      </vt:variant>
      <vt:variant>
        <vt:lpwstr/>
      </vt:variant>
      <vt:variant>
        <vt:lpwstr>_Toc89343598</vt:lpwstr>
      </vt:variant>
      <vt:variant>
        <vt:i4>1572913</vt:i4>
      </vt:variant>
      <vt:variant>
        <vt:i4>140</vt:i4>
      </vt:variant>
      <vt:variant>
        <vt:i4>0</vt:i4>
      </vt:variant>
      <vt:variant>
        <vt:i4>5</vt:i4>
      </vt:variant>
      <vt:variant>
        <vt:lpwstr/>
      </vt:variant>
      <vt:variant>
        <vt:lpwstr>_Toc89343597</vt:lpwstr>
      </vt:variant>
      <vt:variant>
        <vt:i4>1638449</vt:i4>
      </vt:variant>
      <vt:variant>
        <vt:i4>134</vt:i4>
      </vt:variant>
      <vt:variant>
        <vt:i4>0</vt:i4>
      </vt:variant>
      <vt:variant>
        <vt:i4>5</vt:i4>
      </vt:variant>
      <vt:variant>
        <vt:lpwstr/>
      </vt:variant>
      <vt:variant>
        <vt:lpwstr>_Toc89343596</vt:lpwstr>
      </vt:variant>
      <vt:variant>
        <vt:i4>1703985</vt:i4>
      </vt:variant>
      <vt:variant>
        <vt:i4>128</vt:i4>
      </vt:variant>
      <vt:variant>
        <vt:i4>0</vt:i4>
      </vt:variant>
      <vt:variant>
        <vt:i4>5</vt:i4>
      </vt:variant>
      <vt:variant>
        <vt:lpwstr/>
      </vt:variant>
      <vt:variant>
        <vt:lpwstr>_Toc89343595</vt:lpwstr>
      </vt:variant>
      <vt:variant>
        <vt:i4>1769521</vt:i4>
      </vt:variant>
      <vt:variant>
        <vt:i4>122</vt:i4>
      </vt:variant>
      <vt:variant>
        <vt:i4>0</vt:i4>
      </vt:variant>
      <vt:variant>
        <vt:i4>5</vt:i4>
      </vt:variant>
      <vt:variant>
        <vt:lpwstr/>
      </vt:variant>
      <vt:variant>
        <vt:lpwstr>_Toc89343594</vt:lpwstr>
      </vt:variant>
      <vt:variant>
        <vt:i4>1835057</vt:i4>
      </vt:variant>
      <vt:variant>
        <vt:i4>116</vt:i4>
      </vt:variant>
      <vt:variant>
        <vt:i4>0</vt:i4>
      </vt:variant>
      <vt:variant>
        <vt:i4>5</vt:i4>
      </vt:variant>
      <vt:variant>
        <vt:lpwstr/>
      </vt:variant>
      <vt:variant>
        <vt:lpwstr>_Toc89343593</vt:lpwstr>
      </vt:variant>
      <vt:variant>
        <vt:i4>1900593</vt:i4>
      </vt:variant>
      <vt:variant>
        <vt:i4>110</vt:i4>
      </vt:variant>
      <vt:variant>
        <vt:i4>0</vt:i4>
      </vt:variant>
      <vt:variant>
        <vt:i4>5</vt:i4>
      </vt:variant>
      <vt:variant>
        <vt:lpwstr/>
      </vt:variant>
      <vt:variant>
        <vt:lpwstr>_Toc89343592</vt:lpwstr>
      </vt:variant>
      <vt:variant>
        <vt:i4>1966129</vt:i4>
      </vt:variant>
      <vt:variant>
        <vt:i4>104</vt:i4>
      </vt:variant>
      <vt:variant>
        <vt:i4>0</vt:i4>
      </vt:variant>
      <vt:variant>
        <vt:i4>5</vt:i4>
      </vt:variant>
      <vt:variant>
        <vt:lpwstr/>
      </vt:variant>
      <vt:variant>
        <vt:lpwstr>_Toc89343591</vt:lpwstr>
      </vt:variant>
      <vt:variant>
        <vt:i4>2031665</vt:i4>
      </vt:variant>
      <vt:variant>
        <vt:i4>98</vt:i4>
      </vt:variant>
      <vt:variant>
        <vt:i4>0</vt:i4>
      </vt:variant>
      <vt:variant>
        <vt:i4>5</vt:i4>
      </vt:variant>
      <vt:variant>
        <vt:lpwstr/>
      </vt:variant>
      <vt:variant>
        <vt:lpwstr>_Toc89343590</vt:lpwstr>
      </vt:variant>
      <vt:variant>
        <vt:i4>1441840</vt:i4>
      </vt:variant>
      <vt:variant>
        <vt:i4>92</vt:i4>
      </vt:variant>
      <vt:variant>
        <vt:i4>0</vt:i4>
      </vt:variant>
      <vt:variant>
        <vt:i4>5</vt:i4>
      </vt:variant>
      <vt:variant>
        <vt:lpwstr/>
      </vt:variant>
      <vt:variant>
        <vt:lpwstr>_Toc89343589</vt:lpwstr>
      </vt:variant>
      <vt:variant>
        <vt:i4>1507376</vt:i4>
      </vt:variant>
      <vt:variant>
        <vt:i4>86</vt:i4>
      </vt:variant>
      <vt:variant>
        <vt:i4>0</vt:i4>
      </vt:variant>
      <vt:variant>
        <vt:i4>5</vt:i4>
      </vt:variant>
      <vt:variant>
        <vt:lpwstr/>
      </vt:variant>
      <vt:variant>
        <vt:lpwstr>_Toc89343588</vt:lpwstr>
      </vt:variant>
      <vt:variant>
        <vt:i4>1572912</vt:i4>
      </vt:variant>
      <vt:variant>
        <vt:i4>80</vt:i4>
      </vt:variant>
      <vt:variant>
        <vt:i4>0</vt:i4>
      </vt:variant>
      <vt:variant>
        <vt:i4>5</vt:i4>
      </vt:variant>
      <vt:variant>
        <vt:lpwstr/>
      </vt:variant>
      <vt:variant>
        <vt:lpwstr>_Toc89343587</vt:lpwstr>
      </vt:variant>
      <vt:variant>
        <vt:i4>1638448</vt:i4>
      </vt:variant>
      <vt:variant>
        <vt:i4>74</vt:i4>
      </vt:variant>
      <vt:variant>
        <vt:i4>0</vt:i4>
      </vt:variant>
      <vt:variant>
        <vt:i4>5</vt:i4>
      </vt:variant>
      <vt:variant>
        <vt:lpwstr/>
      </vt:variant>
      <vt:variant>
        <vt:lpwstr>_Toc89343586</vt:lpwstr>
      </vt:variant>
      <vt:variant>
        <vt:i4>1703984</vt:i4>
      </vt:variant>
      <vt:variant>
        <vt:i4>68</vt:i4>
      </vt:variant>
      <vt:variant>
        <vt:i4>0</vt:i4>
      </vt:variant>
      <vt:variant>
        <vt:i4>5</vt:i4>
      </vt:variant>
      <vt:variant>
        <vt:lpwstr/>
      </vt:variant>
      <vt:variant>
        <vt:lpwstr>_Toc89343585</vt:lpwstr>
      </vt:variant>
      <vt:variant>
        <vt:i4>1769520</vt:i4>
      </vt:variant>
      <vt:variant>
        <vt:i4>62</vt:i4>
      </vt:variant>
      <vt:variant>
        <vt:i4>0</vt:i4>
      </vt:variant>
      <vt:variant>
        <vt:i4>5</vt:i4>
      </vt:variant>
      <vt:variant>
        <vt:lpwstr/>
      </vt:variant>
      <vt:variant>
        <vt:lpwstr>_Toc89343584</vt:lpwstr>
      </vt:variant>
      <vt:variant>
        <vt:i4>1835056</vt:i4>
      </vt:variant>
      <vt:variant>
        <vt:i4>56</vt:i4>
      </vt:variant>
      <vt:variant>
        <vt:i4>0</vt:i4>
      </vt:variant>
      <vt:variant>
        <vt:i4>5</vt:i4>
      </vt:variant>
      <vt:variant>
        <vt:lpwstr/>
      </vt:variant>
      <vt:variant>
        <vt:lpwstr>_Toc89343583</vt:lpwstr>
      </vt:variant>
      <vt:variant>
        <vt:i4>1900592</vt:i4>
      </vt:variant>
      <vt:variant>
        <vt:i4>50</vt:i4>
      </vt:variant>
      <vt:variant>
        <vt:i4>0</vt:i4>
      </vt:variant>
      <vt:variant>
        <vt:i4>5</vt:i4>
      </vt:variant>
      <vt:variant>
        <vt:lpwstr/>
      </vt:variant>
      <vt:variant>
        <vt:lpwstr>_Toc89343582</vt:lpwstr>
      </vt:variant>
      <vt:variant>
        <vt:i4>1966128</vt:i4>
      </vt:variant>
      <vt:variant>
        <vt:i4>44</vt:i4>
      </vt:variant>
      <vt:variant>
        <vt:i4>0</vt:i4>
      </vt:variant>
      <vt:variant>
        <vt:i4>5</vt:i4>
      </vt:variant>
      <vt:variant>
        <vt:lpwstr/>
      </vt:variant>
      <vt:variant>
        <vt:lpwstr>_Toc89343581</vt:lpwstr>
      </vt:variant>
      <vt:variant>
        <vt:i4>2031664</vt:i4>
      </vt:variant>
      <vt:variant>
        <vt:i4>38</vt:i4>
      </vt:variant>
      <vt:variant>
        <vt:i4>0</vt:i4>
      </vt:variant>
      <vt:variant>
        <vt:i4>5</vt:i4>
      </vt:variant>
      <vt:variant>
        <vt:lpwstr/>
      </vt:variant>
      <vt:variant>
        <vt:lpwstr>_Toc89343580</vt:lpwstr>
      </vt:variant>
      <vt:variant>
        <vt:i4>1441855</vt:i4>
      </vt:variant>
      <vt:variant>
        <vt:i4>32</vt:i4>
      </vt:variant>
      <vt:variant>
        <vt:i4>0</vt:i4>
      </vt:variant>
      <vt:variant>
        <vt:i4>5</vt:i4>
      </vt:variant>
      <vt:variant>
        <vt:lpwstr/>
      </vt:variant>
      <vt:variant>
        <vt:lpwstr>_Toc89343579</vt:lpwstr>
      </vt:variant>
      <vt:variant>
        <vt:i4>1507391</vt:i4>
      </vt:variant>
      <vt:variant>
        <vt:i4>26</vt:i4>
      </vt:variant>
      <vt:variant>
        <vt:i4>0</vt:i4>
      </vt:variant>
      <vt:variant>
        <vt:i4>5</vt:i4>
      </vt:variant>
      <vt:variant>
        <vt:lpwstr/>
      </vt:variant>
      <vt:variant>
        <vt:lpwstr>_Toc89343578</vt:lpwstr>
      </vt:variant>
      <vt:variant>
        <vt:i4>1572927</vt:i4>
      </vt:variant>
      <vt:variant>
        <vt:i4>20</vt:i4>
      </vt:variant>
      <vt:variant>
        <vt:i4>0</vt:i4>
      </vt:variant>
      <vt:variant>
        <vt:i4>5</vt:i4>
      </vt:variant>
      <vt:variant>
        <vt:lpwstr/>
      </vt:variant>
      <vt:variant>
        <vt:lpwstr>_Toc89343577</vt:lpwstr>
      </vt:variant>
      <vt:variant>
        <vt:i4>1638463</vt:i4>
      </vt:variant>
      <vt:variant>
        <vt:i4>14</vt:i4>
      </vt:variant>
      <vt:variant>
        <vt:i4>0</vt:i4>
      </vt:variant>
      <vt:variant>
        <vt:i4>5</vt:i4>
      </vt:variant>
      <vt:variant>
        <vt:lpwstr/>
      </vt:variant>
      <vt:variant>
        <vt:lpwstr>_Toc89343576</vt:lpwstr>
      </vt:variant>
      <vt:variant>
        <vt:i4>1703999</vt:i4>
      </vt:variant>
      <vt:variant>
        <vt:i4>8</vt:i4>
      </vt:variant>
      <vt:variant>
        <vt:i4>0</vt:i4>
      </vt:variant>
      <vt:variant>
        <vt:i4>5</vt:i4>
      </vt:variant>
      <vt:variant>
        <vt:lpwstr/>
      </vt:variant>
      <vt:variant>
        <vt:lpwstr>_Toc89343575</vt:lpwstr>
      </vt:variant>
      <vt:variant>
        <vt:i4>1769535</vt:i4>
      </vt:variant>
      <vt:variant>
        <vt:i4>2</vt:i4>
      </vt:variant>
      <vt:variant>
        <vt:i4>0</vt:i4>
      </vt:variant>
      <vt:variant>
        <vt:i4>5</vt:i4>
      </vt:variant>
      <vt:variant>
        <vt:lpwstr/>
      </vt:variant>
      <vt:variant>
        <vt:lpwstr>_Toc89343574</vt:lpwstr>
      </vt:variant>
      <vt:variant>
        <vt:i4>7143521</vt:i4>
      </vt:variant>
      <vt:variant>
        <vt:i4>24</vt:i4>
      </vt:variant>
      <vt:variant>
        <vt:i4>0</vt:i4>
      </vt:variant>
      <vt:variant>
        <vt:i4>5</vt:i4>
      </vt:variant>
      <vt:variant>
        <vt:lpwstr>https://www.mitre.org/publications/technical-papers/cyber-resiliency-design-principles</vt:lpwstr>
      </vt:variant>
      <vt:variant>
        <vt:lpwstr/>
      </vt:variant>
      <vt:variant>
        <vt:i4>6619237</vt:i4>
      </vt:variant>
      <vt:variant>
        <vt:i4>21</vt:i4>
      </vt:variant>
      <vt:variant>
        <vt:i4>0</vt:i4>
      </vt:variant>
      <vt:variant>
        <vt:i4>5</vt:i4>
      </vt:variant>
      <vt:variant>
        <vt:lpwstr>https://cyberriskinstitute.org/the-profile/</vt:lpwstr>
      </vt:variant>
      <vt:variant>
        <vt:lpwstr/>
      </vt:variant>
      <vt:variant>
        <vt:i4>2293819</vt:i4>
      </vt:variant>
      <vt:variant>
        <vt:i4>18</vt:i4>
      </vt:variant>
      <vt:variant>
        <vt:i4>0</vt:i4>
      </vt:variant>
      <vt:variant>
        <vt:i4>5</vt:i4>
      </vt:variant>
      <vt:variant>
        <vt:lpwstr>https://www.fsb.org/2018/11/cyber-lexicon/</vt:lpwstr>
      </vt:variant>
      <vt:variant>
        <vt:lpwstr/>
      </vt:variant>
      <vt:variant>
        <vt:i4>1638478</vt:i4>
      </vt:variant>
      <vt:variant>
        <vt:i4>15</vt:i4>
      </vt:variant>
      <vt:variant>
        <vt:i4>0</vt:i4>
      </vt:variant>
      <vt:variant>
        <vt:i4>5</vt:i4>
      </vt:variant>
      <vt:variant>
        <vt:lpwstr>https://ithandbook.ffiec.gov/</vt:lpwstr>
      </vt:variant>
      <vt:variant>
        <vt:lpwstr/>
      </vt:variant>
      <vt:variant>
        <vt:i4>4391007</vt:i4>
      </vt:variant>
      <vt:variant>
        <vt:i4>9</vt:i4>
      </vt:variant>
      <vt:variant>
        <vt:i4>0</vt:i4>
      </vt:variant>
      <vt:variant>
        <vt:i4>5</vt:i4>
      </vt:variant>
      <vt:variant>
        <vt:lpwstr>https://eur-lex.europa.eu/legal-content/EN/TXT/PDF/?uri=CELEX:32008L0114&amp;from=EN</vt:lpwstr>
      </vt:variant>
      <vt:variant>
        <vt:lpwstr/>
      </vt:variant>
      <vt:variant>
        <vt:i4>1572932</vt:i4>
      </vt:variant>
      <vt:variant>
        <vt:i4>6</vt:i4>
      </vt:variant>
      <vt:variant>
        <vt:i4>0</vt:i4>
      </vt:variant>
      <vt:variant>
        <vt:i4>5</vt:i4>
      </vt:variant>
      <vt:variant>
        <vt:lpwstr>https://www.nist.gov/cyberframework/framework</vt:lpwstr>
      </vt:variant>
      <vt:variant>
        <vt:lpwstr/>
      </vt:variant>
      <vt:variant>
        <vt:i4>3342374</vt:i4>
      </vt:variant>
      <vt:variant>
        <vt:i4>3</vt:i4>
      </vt:variant>
      <vt:variant>
        <vt:i4>0</vt:i4>
      </vt:variant>
      <vt:variant>
        <vt:i4>5</vt:i4>
      </vt:variant>
      <vt:variant>
        <vt:lpwstr>http://www.cyberriskinstitute.org/</vt:lpwstr>
      </vt:variant>
      <vt:variant>
        <vt:lpwstr/>
      </vt:variant>
      <vt:variant>
        <vt:i4>6619237</vt:i4>
      </vt:variant>
      <vt:variant>
        <vt:i4>0</vt:i4>
      </vt:variant>
      <vt:variant>
        <vt:i4>0</vt:i4>
      </vt:variant>
      <vt:variant>
        <vt:i4>5</vt:i4>
      </vt:variant>
      <vt:variant>
        <vt:lpwstr>https://cyberriskinstitute.org/the-profile/</vt:lpwstr>
      </vt:variant>
      <vt:variant>
        <vt:lpwstr/>
      </vt:variant>
      <vt:variant>
        <vt:i4>3342374</vt:i4>
      </vt:variant>
      <vt:variant>
        <vt:i4>0</vt:i4>
      </vt:variant>
      <vt:variant>
        <vt:i4>0</vt:i4>
      </vt:variant>
      <vt:variant>
        <vt:i4>5</vt:i4>
      </vt:variant>
      <vt:variant>
        <vt:lpwstr>http://www.cyberriskinstitute.org/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Supply Chain - Mike T.</dc:title>
  <dc:subject/>
  <dc:creator>Stephanie Wake</dc:creator>
  <cp:keywords/>
  <dc:description/>
  <cp:lastModifiedBy>Angela Patel</cp:lastModifiedBy>
  <cp:revision>4</cp:revision>
  <cp:lastPrinted>2026-01-07T19:02:00Z</cp:lastPrinted>
  <dcterms:created xsi:type="dcterms:W3CDTF">2026-02-11T17:14:00Z</dcterms:created>
  <dcterms:modified xsi:type="dcterms:W3CDTF">2026-02-11T17:16:00Z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0x01010024424BE0E4E44F41B35D25EFD6504971</vt:lpwstr>
  </property>
  <property fmtid="{D5CDD505-2E9C-101B-9397-08002B2CF9AE}" pid="3" name="TitusGUID">
    <vt:lpwstr>68e05067-e0f4-48cc-8cd0-77ff50814186</vt:lpwstr>
  </property>
  <property fmtid="{D5CDD505-2E9C-101B-9397-08002B2CF9AE}" pid="4" name="_dlc_DocIdItemGuid">
    <vt:lpwstr>8bd71ee4-d7a9-4323-a957-b7fe9f258b88</vt:lpwstr>
  </property>
  <property fmtid="{D5CDD505-2E9C-101B-9397-08002B2CF9AE}" pid="5" name="_dlc_DocId">
    <vt:lpwstr>3HQWHFDH5QTY-825899837-49</vt:lpwstr>
  </property>
  <property fmtid="{D5CDD505-2E9C-101B-9397-08002B2CF9AE}" pid="6" name="_dlc_DocIdUrl">
    <vt:lpwstr>https://team.frb.gov/div/bsreg/sections/OIT/FSSCC-Review/_layouts/15/DocIdRedir.aspx?ID=3HQWHFDH5QTY-825899837-49, 3HQWHFDH5QTY-825899837-49</vt:lpwstr>
  </property>
</Properties>
</file>