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CE2C1" w14:textId="44059028" w:rsidR="00D6701F" w:rsidRDefault="00D6701F" w:rsidP="00A440EB">
      <w:pPr>
        <w:spacing w:after="0" w:line="240" w:lineRule="auto"/>
        <w:jc w:val="center"/>
        <w:rPr>
          <w:b/>
          <w:bCs/>
          <w:sz w:val="22"/>
          <w:szCs w:val="22"/>
        </w:rPr>
      </w:pPr>
      <w:r>
        <w:rPr>
          <w:b/>
          <w:bCs/>
          <w:sz w:val="22"/>
          <w:szCs w:val="22"/>
        </w:rPr>
        <w:t xml:space="preserve">Overview of the CRI </w:t>
      </w:r>
      <w:r w:rsidRPr="00D6701F">
        <w:rPr>
          <w:b/>
          <w:bCs/>
          <w:sz w:val="22"/>
          <w:szCs w:val="22"/>
        </w:rPr>
        <w:t>F</w:t>
      </w:r>
      <w:r>
        <w:rPr>
          <w:b/>
          <w:bCs/>
          <w:sz w:val="22"/>
          <w:szCs w:val="22"/>
        </w:rPr>
        <w:t xml:space="preserve">inancial </w:t>
      </w:r>
      <w:r w:rsidRPr="00D6701F">
        <w:rPr>
          <w:b/>
          <w:bCs/>
          <w:sz w:val="22"/>
          <w:szCs w:val="22"/>
        </w:rPr>
        <w:t>S</w:t>
      </w:r>
      <w:r>
        <w:rPr>
          <w:b/>
          <w:bCs/>
          <w:sz w:val="22"/>
          <w:szCs w:val="22"/>
        </w:rPr>
        <w:t>ervices</w:t>
      </w:r>
      <w:r w:rsidRPr="00D6701F">
        <w:rPr>
          <w:b/>
          <w:bCs/>
          <w:sz w:val="22"/>
          <w:szCs w:val="22"/>
        </w:rPr>
        <w:t xml:space="preserve"> AI Risk Management Framework</w:t>
      </w:r>
      <w:r>
        <w:rPr>
          <w:b/>
          <w:bCs/>
          <w:sz w:val="22"/>
          <w:szCs w:val="22"/>
        </w:rPr>
        <w:t xml:space="preserve"> (FS AI RMF)</w:t>
      </w:r>
    </w:p>
    <w:p w14:paraId="5DCCCC8A" w14:textId="77777777" w:rsidR="00D6701F" w:rsidRPr="00D6701F" w:rsidRDefault="00D6701F" w:rsidP="00A440EB">
      <w:pPr>
        <w:spacing w:after="0" w:line="240" w:lineRule="auto"/>
        <w:jc w:val="both"/>
        <w:rPr>
          <w:b/>
          <w:bCs/>
          <w:sz w:val="22"/>
          <w:szCs w:val="22"/>
        </w:rPr>
      </w:pPr>
    </w:p>
    <w:p w14:paraId="246939D7" w14:textId="0D372783" w:rsidR="00D6701F" w:rsidRDefault="00D6701F" w:rsidP="00A440EB">
      <w:pPr>
        <w:spacing w:after="0" w:line="240" w:lineRule="auto"/>
        <w:jc w:val="both"/>
        <w:rPr>
          <w:sz w:val="22"/>
          <w:szCs w:val="22"/>
        </w:rPr>
      </w:pPr>
      <w:r>
        <w:rPr>
          <w:b/>
          <w:bCs/>
          <w:sz w:val="22"/>
          <w:szCs w:val="22"/>
        </w:rPr>
        <w:t>Background</w:t>
      </w:r>
      <w:r w:rsidRPr="00D6701F">
        <w:rPr>
          <w:b/>
          <w:bCs/>
          <w:sz w:val="22"/>
          <w:szCs w:val="22"/>
        </w:rPr>
        <w:t>:</w:t>
      </w:r>
      <w:r w:rsidRPr="00D6701F">
        <w:rPr>
          <w:sz w:val="22"/>
          <w:szCs w:val="22"/>
        </w:rPr>
        <w:t xml:space="preserve"> The accelerated adoption of </w:t>
      </w:r>
      <w:r>
        <w:rPr>
          <w:sz w:val="22"/>
          <w:szCs w:val="22"/>
        </w:rPr>
        <w:t>AI</w:t>
      </w:r>
      <w:r w:rsidRPr="00D6701F">
        <w:rPr>
          <w:sz w:val="22"/>
          <w:szCs w:val="22"/>
        </w:rPr>
        <w:t xml:space="preserve"> across the financial sector presents </w:t>
      </w:r>
      <w:r>
        <w:rPr>
          <w:sz w:val="22"/>
          <w:szCs w:val="22"/>
        </w:rPr>
        <w:t>significant</w:t>
      </w:r>
      <w:r w:rsidRPr="00D6701F">
        <w:rPr>
          <w:sz w:val="22"/>
          <w:szCs w:val="22"/>
        </w:rPr>
        <w:t xml:space="preserve"> opportunities, yet introduces complex, </w:t>
      </w:r>
      <w:r>
        <w:rPr>
          <w:sz w:val="22"/>
          <w:szCs w:val="22"/>
        </w:rPr>
        <w:t>interdependent</w:t>
      </w:r>
      <w:r w:rsidRPr="00D6701F">
        <w:rPr>
          <w:sz w:val="22"/>
          <w:szCs w:val="22"/>
        </w:rPr>
        <w:t xml:space="preserve"> risks</w:t>
      </w:r>
      <w:r>
        <w:rPr>
          <w:sz w:val="22"/>
          <w:szCs w:val="22"/>
        </w:rPr>
        <w:t xml:space="preserve"> </w:t>
      </w:r>
      <w:r w:rsidRPr="00D6701F">
        <w:rPr>
          <w:sz w:val="22"/>
          <w:szCs w:val="22"/>
        </w:rPr>
        <w:t xml:space="preserve">that existing risk frameworks </w:t>
      </w:r>
      <w:r>
        <w:rPr>
          <w:sz w:val="22"/>
          <w:szCs w:val="22"/>
        </w:rPr>
        <w:t xml:space="preserve">do not fully </w:t>
      </w:r>
      <w:r w:rsidRPr="00D6701F">
        <w:rPr>
          <w:sz w:val="22"/>
          <w:szCs w:val="22"/>
        </w:rPr>
        <w:t>address. Traditional approaches struggle with the complexity and evolving nature of advanced AI</w:t>
      </w:r>
      <w:r>
        <w:rPr>
          <w:sz w:val="22"/>
          <w:szCs w:val="22"/>
        </w:rPr>
        <w:t xml:space="preserve">. </w:t>
      </w:r>
      <w:r w:rsidRPr="00D6701F">
        <w:rPr>
          <w:sz w:val="22"/>
          <w:szCs w:val="22"/>
        </w:rPr>
        <w:t xml:space="preserve">This gap </w:t>
      </w:r>
      <w:r>
        <w:rPr>
          <w:sz w:val="22"/>
          <w:szCs w:val="22"/>
        </w:rPr>
        <w:t>requires</w:t>
      </w:r>
      <w:r w:rsidRPr="00D6701F">
        <w:rPr>
          <w:sz w:val="22"/>
          <w:szCs w:val="22"/>
        </w:rPr>
        <w:t xml:space="preserve"> practical, targeted </w:t>
      </w:r>
      <w:r>
        <w:rPr>
          <w:sz w:val="22"/>
          <w:szCs w:val="22"/>
        </w:rPr>
        <w:t xml:space="preserve">tools and </w:t>
      </w:r>
      <w:r w:rsidRPr="00D6701F">
        <w:rPr>
          <w:sz w:val="22"/>
          <w:szCs w:val="22"/>
        </w:rPr>
        <w:t>guidance to ensure responsible</w:t>
      </w:r>
      <w:r>
        <w:rPr>
          <w:sz w:val="22"/>
          <w:szCs w:val="22"/>
        </w:rPr>
        <w:t xml:space="preserve"> </w:t>
      </w:r>
      <w:r w:rsidRPr="00D6701F">
        <w:rPr>
          <w:sz w:val="22"/>
          <w:szCs w:val="22"/>
        </w:rPr>
        <w:t>AI deployment.</w:t>
      </w:r>
    </w:p>
    <w:p w14:paraId="01AC2144" w14:textId="77777777" w:rsidR="00D6701F" w:rsidRPr="00D6701F" w:rsidRDefault="00D6701F" w:rsidP="00A440EB">
      <w:pPr>
        <w:spacing w:after="0" w:line="240" w:lineRule="auto"/>
        <w:jc w:val="both"/>
        <w:rPr>
          <w:sz w:val="22"/>
          <w:szCs w:val="22"/>
        </w:rPr>
      </w:pPr>
    </w:p>
    <w:p w14:paraId="174E7B95" w14:textId="77777777" w:rsidR="00E15DBE" w:rsidRDefault="00D6701F" w:rsidP="00A440EB">
      <w:pPr>
        <w:spacing w:after="0" w:line="240" w:lineRule="auto"/>
        <w:jc w:val="both"/>
        <w:rPr>
          <w:sz w:val="22"/>
          <w:szCs w:val="22"/>
        </w:rPr>
      </w:pPr>
      <w:r>
        <w:rPr>
          <w:b/>
          <w:bCs/>
          <w:sz w:val="22"/>
          <w:szCs w:val="22"/>
        </w:rPr>
        <w:t>CRI’s</w:t>
      </w:r>
      <w:r w:rsidRPr="00D6701F">
        <w:rPr>
          <w:b/>
          <w:bCs/>
          <w:sz w:val="22"/>
          <w:szCs w:val="22"/>
        </w:rPr>
        <w:t xml:space="preserve"> Solution: </w:t>
      </w:r>
      <w:r w:rsidRPr="00D6701F">
        <w:rPr>
          <w:sz w:val="22"/>
          <w:szCs w:val="22"/>
        </w:rPr>
        <w:t xml:space="preserve">In response, </w:t>
      </w:r>
      <w:r>
        <w:rPr>
          <w:sz w:val="22"/>
          <w:szCs w:val="22"/>
        </w:rPr>
        <w:t>CRI</w:t>
      </w:r>
      <w:r w:rsidRPr="00D6701F">
        <w:rPr>
          <w:sz w:val="22"/>
          <w:szCs w:val="22"/>
        </w:rPr>
        <w:t xml:space="preserve"> developed </w:t>
      </w:r>
      <w:r>
        <w:rPr>
          <w:sz w:val="22"/>
          <w:szCs w:val="22"/>
        </w:rPr>
        <w:t>the</w:t>
      </w:r>
      <w:r w:rsidRPr="00D6701F">
        <w:rPr>
          <w:sz w:val="22"/>
          <w:szCs w:val="22"/>
        </w:rPr>
        <w:t xml:space="preserve"> FS AI RMF</w:t>
      </w:r>
      <w:r>
        <w:rPr>
          <w:sz w:val="22"/>
          <w:szCs w:val="22"/>
        </w:rPr>
        <w:t xml:space="preserve">, which operationalizes the </w:t>
      </w:r>
      <w:r w:rsidRPr="00D6701F">
        <w:rPr>
          <w:sz w:val="22"/>
          <w:szCs w:val="22"/>
        </w:rPr>
        <w:t>NIST AI RMF</w:t>
      </w:r>
      <w:r>
        <w:rPr>
          <w:sz w:val="22"/>
          <w:szCs w:val="22"/>
        </w:rPr>
        <w:t xml:space="preserve"> by strengthening governance, fostering trust, </w:t>
      </w:r>
      <w:r w:rsidR="00A440EB">
        <w:rPr>
          <w:sz w:val="22"/>
          <w:szCs w:val="22"/>
        </w:rPr>
        <w:t>identifying</w:t>
      </w:r>
      <w:r>
        <w:rPr>
          <w:sz w:val="22"/>
          <w:szCs w:val="22"/>
        </w:rPr>
        <w:t xml:space="preserve"> risks, and enabling safe AI-driven innovation. </w:t>
      </w:r>
      <w:r w:rsidRPr="00D6701F">
        <w:rPr>
          <w:sz w:val="22"/>
          <w:szCs w:val="22"/>
        </w:rPr>
        <w:t xml:space="preserve">It provides a structured approach for </w:t>
      </w:r>
      <w:r>
        <w:rPr>
          <w:sz w:val="22"/>
          <w:szCs w:val="22"/>
        </w:rPr>
        <w:t>financial institutions</w:t>
      </w:r>
      <w:r w:rsidRPr="00D6701F">
        <w:rPr>
          <w:sz w:val="22"/>
          <w:szCs w:val="22"/>
        </w:rPr>
        <w:t xml:space="preserve"> to evaluate and manage AI-related risks.</w:t>
      </w:r>
      <w:r>
        <w:rPr>
          <w:sz w:val="22"/>
          <w:szCs w:val="22"/>
        </w:rPr>
        <w:t xml:space="preserve"> </w:t>
      </w:r>
    </w:p>
    <w:p w14:paraId="2C386B46" w14:textId="77777777" w:rsidR="00E15DBE" w:rsidRDefault="00E15DBE" w:rsidP="00A440EB">
      <w:pPr>
        <w:spacing w:after="0" w:line="240" w:lineRule="auto"/>
        <w:jc w:val="both"/>
        <w:rPr>
          <w:sz w:val="22"/>
          <w:szCs w:val="22"/>
        </w:rPr>
      </w:pPr>
    </w:p>
    <w:p w14:paraId="292C1551" w14:textId="2ADF4793" w:rsidR="00DC16A6" w:rsidRPr="00934726" w:rsidRDefault="00934726" w:rsidP="00DC16A6">
      <w:pPr>
        <w:tabs>
          <w:tab w:val="num" w:pos="1440"/>
        </w:tabs>
        <w:spacing w:after="0" w:line="240" w:lineRule="auto"/>
        <w:jc w:val="both"/>
        <w:rPr>
          <w:sz w:val="22"/>
          <w:szCs w:val="22"/>
        </w:rPr>
      </w:pPr>
      <w:r w:rsidRPr="00934726">
        <w:rPr>
          <w:b/>
          <w:bCs/>
          <w:sz w:val="22"/>
          <w:szCs w:val="22"/>
        </w:rPr>
        <w:t>Deliverables</w:t>
      </w:r>
      <w:r>
        <w:rPr>
          <w:sz w:val="22"/>
          <w:szCs w:val="22"/>
        </w:rPr>
        <w:t xml:space="preserve">: </w:t>
      </w:r>
      <w:r w:rsidR="00DC16A6" w:rsidRPr="00934726">
        <w:rPr>
          <w:sz w:val="22"/>
          <w:szCs w:val="22"/>
        </w:rPr>
        <w:t>The FS AI RMF is delivered in three distinct documents, comprising four key tools:</w:t>
      </w:r>
    </w:p>
    <w:p w14:paraId="22DB6F67" w14:textId="77777777" w:rsidR="00DC16A6" w:rsidRPr="00DC16A6" w:rsidRDefault="00DC16A6" w:rsidP="00DC16A6">
      <w:pPr>
        <w:tabs>
          <w:tab w:val="num" w:pos="1440"/>
        </w:tabs>
        <w:spacing w:after="0" w:line="240" w:lineRule="auto"/>
        <w:jc w:val="both"/>
        <w:rPr>
          <w:sz w:val="22"/>
          <w:szCs w:val="22"/>
        </w:rPr>
      </w:pPr>
    </w:p>
    <w:p w14:paraId="1B3A8671" w14:textId="302E9297" w:rsidR="00DC16A6" w:rsidRDefault="00DC16A6" w:rsidP="00DC16A6">
      <w:pPr>
        <w:tabs>
          <w:tab w:val="num" w:pos="1440"/>
        </w:tabs>
        <w:spacing w:after="0" w:line="240" w:lineRule="auto"/>
        <w:jc w:val="both"/>
        <w:rPr>
          <w:b/>
          <w:bCs/>
          <w:sz w:val="22"/>
          <w:szCs w:val="22"/>
        </w:rPr>
      </w:pPr>
      <w:r w:rsidRPr="00DC16A6">
        <w:rPr>
          <w:b/>
          <w:bCs/>
          <w:sz w:val="22"/>
          <w:szCs w:val="22"/>
        </w:rPr>
        <w:t>1</w:t>
      </w:r>
      <w:r w:rsidR="00934726">
        <w:rPr>
          <w:b/>
          <w:bCs/>
          <w:sz w:val="22"/>
          <w:szCs w:val="22"/>
        </w:rPr>
        <w:t>.</w:t>
      </w:r>
      <w:r w:rsidRPr="00DC16A6">
        <w:rPr>
          <w:b/>
          <w:bCs/>
          <w:sz w:val="22"/>
          <w:szCs w:val="22"/>
        </w:rPr>
        <w:t xml:space="preserve"> The Adoption Stage Questionnaire &amp; Risk and Control Matrix</w:t>
      </w:r>
      <w:r w:rsidR="00934726">
        <w:rPr>
          <w:b/>
          <w:bCs/>
          <w:sz w:val="22"/>
          <w:szCs w:val="22"/>
        </w:rPr>
        <w:t xml:space="preserve"> (single Excel Workbook)</w:t>
      </w:r>
    </w:p>
    <w:p w14:paraId="55E6935D" w14:textId="77777777" w:rsidR="00DC16A6" w:rsidRPr="00934726" w:rsidRDefault="00DC16A6" w:rsidP="00DC16A6">
      <w:pPr>
        <w:tabs>
          <w:tab w:val="num" w:pos="1440"/>
        </w:tabs>
        <w:spacing w:after="0" w:line="240" w:lineRule="auto"/>
        <w:jc w:val="both"/>
        <w:rPr>
          <w:sz w:val="12"/>
          <w:szCs w:val="12"/>
        </w:rPr>
      </w:pPr>
    </w:p>
    <w:p w14:paraId="2F445180" w14:textId="26209E95" w:rsidR="00DC16A6" w:rsidRPr="00DC16A6" w:rsidRDefault="00DC16A6" w:rsidP="00934726">
      <w:pPr>
        <w:numPr>
          <w:ilvl w:val="0"/>
          <w:numId w:val="2"/>
        </w:numPr>
        <w:tabs>
          <w:tab w:val="clear" w:pos="720"/>
          <w:tab w:val="num" w:pos="450"/>
          <w:tab w:val="num" w:pos="1440"/>
        </w:tabs>
        <w:spacing w:after="0" w:line="240" w:lineRule="auto"/>
        <w:ind w:left="450" w:hanging="270"/>
        <w:jc w:val="both"/>
        <w:rPr>
          <w:sz w:val="22"/>
          <w:szCs w:val="22"/>
        </w:rPr>
      </w:pPr>
      <w:r w:rsidRPr="00DC16A6">
        <w:rPr>
          <w:b/>
          <w:bCs/>
          <w:sz w:val="22"/>
          <w:szCs w:val="22"/>
        </w:rPr>
        <w:t>What it is:</w:t>
      </w:r>
      <w:r w:rsidRPr="00DC16A6">
        <w:rPr>
          <w:sz w:val="22"/>
          <w:szCs w:val="22"/>
        </w:rPr>
        <w:t xml:space="preserve"> This single Excel workbook contains two </w:t>
      </w:r>
      <w:r w:rsidR="00934726">
        <w:rPr>
          <w:sz w:val="22"/>
          <w:szCs w:val="22"/>
        </w:rPr>
        <w:t>key</w:t>
      </w:r>
      <w:r w:rsidRPr="00DC16A6">
        <w:rPr>
          <w:sz w:val="22"/>
          <w:szCs w:val="22"/>
        </w:rPr>
        <w:t xml:space="preserve"> tools. </w:t>
      </w:r>
      <w:r w:rsidRPr="00934726">
        <w:rPr>
          <w:sz w:val="22"/>
          <w:szCs w:val="22"/>
        </w:rPr>
        <w:t>The AI Adoption Stage Questionnaire is a self-assessment that helps organizations classify their current AI adoption level (Initial, Minimal, Evolving, Embedded) across six key dimensions. The Risk and Control Matrix (RCM) is a structured grid of 230 detailed Control Objectives, aligned with NIST functions</w:t>
      </w:r>
      <w:r w:rsidRPr="00DC16A6">
        <w:rPr>
          <w:sz w:val="22"/>
          <w:szCs w:val="22"/>
        </w:rPr>
        <w:t>, categories, subcategories, and AI Trustworthy Principles, including practical implementation guidance.</w:t>
      </w:r>
    </w:p>
    <w:p w14:paraId="6AF77B08" w14:textId="5118D2F9" w:rsidR="00DC16A6" w:rsidRPr="00DC16A6" w:rsidRDefault="00DC16A6" w:rsidP="00934726">
      <w:pPr>
        <w:numPr>
          <w:ilvl w:val="0"/>
          <w:numId w:val="2"/>
        </w:numPr>
        <w:tabs>
          <w:tab w:val="clear" w:pos="720"/>
          <w:tab w:val="num" w:pos="450"/>
          <w:tab w:val="num" w:pos="1440"/>
        </w:tabs>
        <w:spacing w:after="0" w:line="240" w:lineRule="auto"/>
        <w:ind w:left="450" w:hanging="270"/>
        <w:jc w:val="both"/>
        <w:rPr>
          <w:sz w:val="22"/>
          <w:szCs w:val="22"/>
        </w:rPr>
      </w:pPr>
      <w:r w:rsidRPr="00DC16A6">
        <w:rPr>
          <w:b/>
          <w:bCs/>
          <w:sz w:val="22"/>
          <w:szCs w:val="22"/>
        </w:rPr>
        <w:t>How to use it:</w:t>
      </w:r>
      <w:r w:rsidRPr="00DC16A6">
        <w:rPr>
          <w:sz w:val="22"/>
          <w:szCs w:val="22"/>
        </w:rPr>
        <w:t xml:space="preserve"> Organizations first use the Questionnaire to pinpoint their AI maturity. They then leverage the RCM, which can be filtered by their determined AI Adoption Stage, NIST </w:t>
      </w:r>
      <w:r w:rsidR="00934726">
        <w:rPr>
          <w:sz w:val="22"/>
          <w:szCs w:val="22"/>
        </w:rPr>
        <w:t>(Sub)</w:t>
      </w:r>
      <w:r w:rsidRPr="00DC16A6">
        <w:rPr>
          <w:sz w:val="22"/>
          <w:szCs w:val="22"/>
        </w:rPr>
        <w:t>Category, or AI Trustworthy Principle, to identify and implement the most relevant Control Objectives. This allows firms to manage AI-related risks with specific, non-prescriptive actions tailored to their current stage.</w:t>
      </w:r>
    </w:p>
    <w:p w14:paraId="3337D273" w14:textId="77777777" w:rsidR="00DC16A6" w:rsidRDefault="00DC16A6" w:rsidP="00934726">
      <w:pPr>
        <w:numPr>
          <w:ilvl w:val="0"/>
          <w:numId w:val="2"/>
        </w:numPr>
        <w:tabs>
          <w:tab w:val="clear" w:pos="720"/>
          <w:tab w:val="num" w:pos="450"/>
          <w:tab w:val="num" w:pos="1440"/>
        </w:tabs>
        <w:spacing w:after="0" w:line="240" w:lineRule="auto"/>
        <w:ind w:left="450" w:hanging="270"/>
        <w:jc w:val="both"/>
        <w:rPr>
          <w:sz w:val="22"/>
          <w:szCs w:val="22"/>
        </w:rPr>
      </w:pPr>
      <w:r w:rsidRPr="00DC16A6">
        <w:rPr>
          <w:b/>
          <w:bCs/>
          <w:sz w:val="22"/>
          <w:szCs w:val="22"/>
        </w:rPr>
        <w:t>Primary Audience:</w:t>
      </w:r>
      <w:r w:rsidRPr="00DC16A6">
        <w:rPr>
          <w:sz w:val="22"/>
          <w:szCs w:val="22"/>
        </w:rPr>
        <w:t> Enterprise technology leaders, AI professionals, and risk &amp; compliance managers seeking to strategically assess, plan, and implement AI risk management.</w:t>
      </w:r>
    </w:p>
    <w:p w14:paraId="12EFA50A" w14:textId="77777777" w:rsidR="00934726" w:rsidRPr="00DC16A6" w:rsidRDefault="00934726" w:rsidP="00934726">
      <w:pPr>
        <w:tabs>
          <w:tab w:val="num" w:pos="1440"/>
        </w:tabs>
        <w:spacing w:after="0" w:line="240" w:lineRule="auto"/>
        <w:ind w:left="720"/>
        <w:jc w:val="both"/>
        <w:rPr>
          <w:sz w:val="22"/>
          <w:szCs w:val="22"/>
        </w:rPr>
      </w:pPr>
    </w:p>
    <w:p w14:paraId="7F915905" w14:textId="7030C3A1" w:rsidR="00DC16A6" w:rsidRDefault="00DC16A6" w:rsidP="00DC16A6">
      <w:pPr>
        <w:tabs>
          <w:tab w:val="num" w:pos="1440"/>
        </w:tabs>
        <w:spacing w:after="0" w:line="240" w:lineRule="auto"/>
        <w:jc w:val="both"/>
        <w:rPr>
          <w:b/>
          <w:bCs/>
          <w:sz w:val="22"/>
          <w:szCs w:val="22"/>
        </w:rPr>
      </w:pPr>
      <w:r w:rsidRPr="00DC16A6">
        <w:rPr>
          <w:b/>
          <w:bCs/>
          <w:sz w:val="22"/>
          <w:szCs w:val="22"/>
        </w:rPr>
        <w:t>2</w:t>
      </w:r>
      <w:r w:rsidR="00934726">
        <w:rPr>
          <w:b/>
          <w:bCs/>
          <w:sz w:val="22"/>
          <w:szCs w:val="22"/>
        </w:rPr>
        <w:t>.</w:t>
      </w:r>
      <w:r w:rsidRPr="00DC16A6">
        <w:rPr>
          <w:b/>
          <w:bCs/>
          <w:sz w:val="22"/>
          <w:szCs w:val="22"/>
        </w:rPr>
        <w:t xml:space="preserve"> The FS AI RMF Guidebook</w:t>
      </w:r>
    </w:p>
    <w:p w14:paraId="7362D9B5" w14:textId="77777777" w:rsidR="00934726" w:rsidRPr="00934726" w:rsidRDefault="00934726" w:rsidP="00DC16A6">
      <w:pPr>
        <w:tabs>
          <w:tab w:val="num" w:pos="1440"/>
        </w:tabs>
        <w:spacing w:after="0" w:line="240" w:lineRule="auto"/>
        <w:jc w:val="both"/>
        <w:rPr>
          <w:sz w:val="12"/>
          <w:szCs w:val="12"/>
        </w:rPr>
      </w:pPr>
    </w:p>
    <w:p w14:paraId="06110D74" w14:textId="77777777" w:rsidR="00DC16A6" w:rsidRPr="00934726" w:rsidRDefault="00DC16A6" w:rsidP="00934726">
      <w:pPr>
        <w:numPr>
          <w:ilvl w:val="0"/>
          <w:numId w:val="2"/>
        </w:numPr>
        <w:tabs>
          <w:tab w:val="clear" w:pos="720"/>
          <w:tab w:val="num" w:pos="450"/>
          <w:tab w:val="num" w:pos="1440"/>
        </w:tabs>
        <w:spacing w:after="0" w:line="240" w:lineRule="auto"/>
        <w:ind w:left="450" w:hanging="270"/>
        <w:jc w:val="both"/>
        <w:rPr>
          <w:sz w:val="22"/>
          <w:szCs w:val="22"/>
        </w:rPr>
      </w:pPr>
      <w:r w:rsidRPr="00934726">
        <w:rPr>
          <w:b/>
          <w:bCs/>
          <w:sz w:val="22"/>
          <w:szCs w:val="22"/>
        </w:rPr>
        <w:t>What it is</w:t>
      </w:r>
      <w:r w:rsidRPr="00934726">
        <w:rPr>
          <w:sz w:val="22"/>
          <w:szCs w:val="22"/>
        </w:rPr>
        <w:t>: This is the comprehensive "how-to" manual for effectively implementing the entire FS AI RMF. It provides detailed narrative guidance on the Control Objectives, integrates the Questionnaire, and offers an overview of the RCM. It also includes background material and several appendices.</w:t>
      </w:r>
    </w:p>
    <w:p w14:paraId="573DDFB3" w14:textId="77777777" w:rsidR="00DC16A6" w:rsidRPr="00934726" w:rsidRDefault="00DC16A6" w:rsidP="00934726">
      <w:pPr>
        <w:numPr>
          <w:ilvl w:val="0"/>
          <w:numId w:val="2"/>
        </w:numPr>
        <w:tabs>
          <w:tab w:val="clear" w:pos="720"/>
          <w:tab w:val="num" w:pos="450"/>
          <w:tab w:val="num" w:pos="1440"/>
        </w:tabs>
        <w:spacing w:after="0" w:line="240" w:lineRule="auto"/>
        <w:ind w:left="450" w:hanging="270"/>
        <w:jc w:val="both"/>
        <w:rPr>
          <w:sz w:val="22"/>
          <w:szCs w:val="22"/>
        </w:rPr>
      </w:pPr>
      <w:r w:rsidRPr="00934726">
        <w:rPr>
          <w:b/>
          <w:bCs/>
          <w:sz w:val="22"/>
          <w:szCs w:val="22"/>
        </w:rPr>
        <w:t>How to use it</w:t>
      </w:r>
      <w:r w:rsidRPr="00934726">
        <w:rPr>
          <w:sz w:val="22"/>
          <w:szCs w:val="22"/>
        </w:rPr>
        <w:t>: This essential resource helps organizations navigate the Framework, assess their current AI use, define their desired future state, and systematically implement necessary controls. It's designed for those who prefer a more narrative, script-like format.</w:t>
      </w:r>
    </w:p>
    <w:p w14:paraId="7BBBB795" w14:textId="77777777" w:rsidR="00DC16A6" w:rsidRPr="00934726" w:rsidRDefault="00DC16A6" w:rsidP="00934726">
      <w:pPr>
        <w:numPr>
          <w:ilvl w:val="0"/>
          <w:numId w:val="2"/>
        </w:numPr>
        <w:tabs>
          <w:tab w:val="clear" w:pos="720"/>
          <w:tab w:val="num" w:pos="450"/>
          <w:tab w:val="num" w:pos="1440"/>
        </w:tabs>
        <w:spacing w:after="0" w:line="240" w:lineRule="auto"/>
        <w:ind w:left="450" w:hanging="270"/>
        <w:jc w:val="both"/>
        <w:rPr>
          <w:sz w:val="22"/>
          <w:szCs w:val="22"/>
        </w:rPr>
      </w:pPr>
      <w:r w:rsidRPr="00934726">
        <w:rPr>
          <w:b/>
          <w:bCs/>
          <w:sz w:val="22"/>
          <w:szCs w:val="22"/>
        </w:rPr>
        <w:t>Primary Audience</w:t>
      </w:r>
      <w:r w:rsidRPr="00934726">
        <w:rPr>
          <w:sz w:val="22"/>
          <w:szCs w:val="22"/>
        </w:rPr>
        <w:t>: All financial institutions (regardless of size/complexity), AI professionals, enterprise technology leaders, and risk &amp; compliance managers responsible for developing, implementing, and maturing AI risk and control programs.</w:t>
      </w:r>
    </w:p>
    <w:p w14:paraId="326DD247" w14:textId="77777777" w:rsidR="00934726" w:rsidRPr="00DC16A6" w:rsidRDefault="00934726" w:rsidP="00934726">
      <w:pPr>
        <w:tabs>
          <w:tab w:val="num" w:pos="1440"/>
        </w:tabs>
        <w:spacing w:after="0" w:line="240" w:lineRule="auto"/>
        <w:ind w:left="720"/>
        <w:jc w:val="both"/>
        <w:rPr>
          <w:sz w:val="22"/>
          <w:szCs w:val="22"/>
        </w:rPr>
      </w:pPr>
    </w:p>
    <w:p w14:paraId="6B7EBBFF" w14:textId="77777777" w:rsidR="00DC16A6" w:rsidRDefault="00DC16A6" w:rsidP="00DC16A6">
      <w:pPr>
        <w:tabs>
          <w:tab w:val="num" w:pos="1440"/>
        </w:tabs>
        <w:spacing w:after="0" w:line="240" w:lineRule="auto"/>
        <w:jc w:val="both"/>
        <w:rPr>
          <w:b/>
          <w:bCs/>
          <w:sz w:val="22"/>
          <w:szCs w:val="22"/>
        </w:rPr>
      </w:pPr>
      <w:r w:rsidRPr="00DC16A6">
        <w:rPr>
          <w:b/>
          <w:bCs/>
          <w:sz w:val="22"/>
          <w:szCs w:val="22"/>
        </w:rPr>
        <w:t>Part 3: The Control Objective Reference Guide</w:t>
      </w:r>
    </w:p>
    <w:p w14:paraId="4557D360" w14:textId="77777777" w:rsidR="00934726" w:rsidRPr="00934726" w:rsidRDefault="00934726" w:rsidP="00DC16A6">
      <w:pPr>
        <w:tabs>
          <w:tab w:val="num" w:pos="1440"/>
        </w:tabs>
        <w:spacing w:after="0" w:line="240" w:lineRule="auto"/>
        <w:jc w:val="both"/>
        <w:rPr>
          <w:sz w:val="12"/>
          <w:szCs w:val="12"/>
        </w:rPr>
      </w:pPr>
    </w:p>
    <w:p w14:paraId="77FF22FD" w14:textId="626151FC" w:rsidR="00DC16A6" w:rsidRPr="00934726" w:rsidRDefault="00DC16A6" w:rsidP="00934726">
      <w:pPr>
        <w:numPr>
          <w:ilvl w:val="0"/>
          <w:numId w:val="2"/>
        </w:numPr>
        <w:tabs>
          <w:tab w:val="clear" w:pos="720"/>
          <w:tab w:val="num" w:pos="450"/>
          <w:tab w:val="num" w:pos="1440"/>
        </w:tabs>
        <w:spacing w:after="0" w:line="240" w:lineRule="auto"/>
        <w:ind w:left="450" w:hanging="270"/>
        <w:jc w:val="both"/>
        <w:rPr>
          <w:sz w:val="22"/>
          <w:szCs w:val="22"/>
        </w:rPr>
      </w:pPr>
      <w:r w:rsidRPr="00934726">
        <w:rPr>
          <w:b/>
          <w:bCs/>
          <w:sz w:val="22"/>
          <w:szCs w:val="22"/>
        </w:rPr>
        <w:t>What it is</w:t>
      </w:r>
      <w:r w:rsidRPr="00934726">
        <w:rPr>
          <w:sz w:val="22"/>
          <w:szCs w:val="22"/>
        </w:rPr>
        <w:t>: A companion document that expands on the RCM and Guidebook. It includes all the Control Objective information</w:t>
      </w:r>
      <w:r w:rsidR="00934726">
        <w:rPr>
          <w:sz w:val="22"/>
          <w:szCs w:val="22"/>
        </w:rPr>
        <w:t xml:space="preserve"> </w:t>
      </w:r>
      <w:r w:rsidRPr="00934726">
        <w:rPr>
          <w:sz w:val="22"/>
          <w:szCs w:val="22"/>
        </w:rPr>
        <w:t>and adds illustrative examples of specific Controls and Effective Evidence for each Control Objective, providing a "one-stop shop" for this detailed content.</w:t>
      </w:r>
    </w:p>
    <w:p w14:paraId="11EE3FC5" w14:textId="77777777" w:rsidR="00DC16A6" w:rsidRPr="00934726" w:rsidRDefault="00DC16A6" w:rsidP="00934726">
      <w:pPr>
        <w:numPr>
          <w:ilvl w:val="0"/>
          <w:numId w:val="2"/>
        </w:numPr>
        <w:tabs>
          <w:tab w:val="clear" w:pos="720"/>
          <w:tab w:val="num" w:pos="450"/>
          <w:tab w:val="num" w:pos="1440"/>
        </w:tabs>
        <w:spacing w:after="0" w:line="240" w:lineRule="auto"/>
        <w:ind w:left="450" w:hanging="270"/>
        <w:jc w:val="both"/>
        <w:rPr>
          <w:sz w:val="22"/>
          <w:szCs w:val="22"/>
        </w:rPr>
      </w:pPr>
      <w:r w:rsidRPr="00934726">
        <w:rPr>
          <w:b/>
          <w:bCs/>
          <w:sz w:val="22"/>
          <w:szCs w:val="22"/>
        </w:rPr>
        <w:t>How to use it</w:t>
      </w:r>
      <w:r w:rsidRPr="00934726">
        <w:rPr>
          <w:sz w:val="22"/>
          <w:szCs w:val="22"/>
        </w:rPr>
        <w:t>: This guide assists organizations in understanding how to apply Control Objectives and what constitutes appropriate evidence of implementation for internal assessments or audits. It emphasizes tailoring examples to specific contexts.</w:t>
      </w:r>
    </w:p>
    <w:p w14:paraId="7C1125C8" w14:textId="77777777" w:rsidR="00DC16A6" w:rsidRPr="00934726" w:rsidRDefault="00DC16A6" w:rsidP="00934726">
      <w:pPr>
        <w:numPr>
          <w:ilvl w:val="0"/>
          <w:numId w:val="2"/>
        </w:numPr>
        <w:tabs>
          <w:tab w:val="clear" w:pos="720"/>
          <w:tab w:val="num" w:pos="450"/>
          <w:tab w:val="num" w:pos="1440"/>
        </w:tabs>
        <w:spacing w:after="0" w:line="240" w:lineRule="auto"/>
        <w:ind w:left="450" w:hanging="270"/>
        <w:jc w:val="both"/>
        <w:rPr>
          <w:sz w:val="22"/>
          <w:szCs w:val="22"/>
        </w:rPr>
      </w:pPr>
      <w:r w:rsidRPr="00934726">
        <w:rPr>
          <w:b/>
          <w:bCs/>
          <w:sz w:val="22"/>
          <w:szCs w:val="22"/>
        </w:rPr>
        <w:t>Primary Audience</w:t>
      </w:r>
      <w:r w:rsidRPr="00934726">
        <w:rPr>
          <w:sz w:val="22"/>
          <w:szCs w:val="22"/>
        </w:rPr>
        <w:t>: Risk and compliance managers, internal audit teams, and AI professionals seeking practical guidance on implementing specific controls and documenting their effectiveness.</w:t>
      </w:r>
    </w:p>
    <w:p w14:paraId="22C12A36" w14:textId="5DA7B4F4" w:rsidR="00D6701F" w:rsidRDefault="00D6701F" w:rsidP="00A440EB">
      <w:pPr>
        <w:spacing w:after="0" w:line="240" w:lineRule="auto"/>
        <w:jc w:val="both"/>
        <w:rPr>
          <w:sz w:val="22"/>
          <w:szCs w:val="22"/>
        </w:rPr>
      </w:pPr>
      <w:r w:rsidRPr="00D6701F">
        <w:rPr>
          <w:b/>
          <w:bCs/>
          <w:sz w:val="22"/>
          <w:szCs w:val="22"/>
        </w:rPr>
        <w:lastRenderedPageBreak/>
        <w:t>Overall Target Audience:</w:t>
      </w:r>
      <w:r w:rsidRPr="00D6701F">
        <w:rPr>
          <w:sz w:val="22"/>
          <w:szCs w:val="22"/>
        </w:rPr>
        <w:t xml:space="preserve"> The FS AI RMF is designed for all financial institutions, regardless of size, type, complexity, or criticality. It is </w:t>
      </w:r>
      <w:r w:rsidR="00A440EB">
        <w:rPr>
          <w:sz w:val="22"/>
          <w:szCs w:val="22"/>
        </w:rPr>
        <w:t>most</w:t>
      </w:r>
      <w:r w:rsidRPr="00D6701F">
        <w:rPr>
          <w:sz w:val="22"/>
          <w:szCs w:val="22"/>
        </w:rPr>
        <w:t xml:space="preserve"> relevant for AI professionals (e.g., engineers, data scientists), enterprise technology leaders, risk and compliance managers, and legal professionals.</w:t>
      </w:r>
    </w:p>
    <w:p w14:paraId="48FFE265" w14:textId="77777777" w:rsidR="00D6701F" w:rsidRPr="00D6701F" w:rsidRDefault="00D6701F" w:rsidP="00A440EB">
      <w:pPr>
        <w:spacing w:after="0" w:line="240" w:lineRule="auto"/>
        <w:jc w:val="both"/>
        <w:rPr>
          <w:sz w:val="22"/>
          <w:szCs w:val="22"/>
        </w:rPr>
      </w:pPr>
    </w:p>
    <w:p w14:paraId="677D2E0F" w14:textId="254D57A6" w:rsidR="00D6701F" w:rsidRPr="00D6701F" w:rsidRDefault="00D6701F" w:rsidP="00A440EB">
      <w:pPr>
        <w:spacing w:after="0" w:line="240" w:lineRule="auto"/>
        <w:jc w:val="both"/>
        <w:rPr>
          <w:sz w:val="22"/>
          <w:szCs w:val="22"/>
        </w:rPr>
      </w:pPr>
      <w:r w:rsidRPr="00D6701F">
        <w:rPr>
          <w:b/>
          <w:bCs/>
          <w:sz w:val="22"/>
          <w:szCs w:val="22"/>
        </w:rPr>
        <w:t>Next Steps:</w:t>
      </w:r>
      <w:r w:rsidRPr="00D6701F">
        <w:rPr>
          <w:sz w:val="22"/>
          <w:szCs w:val="22"/>
        </w:rPr>
        <w:t xml:space="preserve"> Recognizing that each organization has unique needs, we will explore different ways to package and deliver these </w:t>
      </w:r>
      <w:r w:rsidR="00A440EB">
        <w:rPr>
          <w:sz w:val="22"/>
          <w:szCs w:val="22"/>
        </w:rPr>
        <w:t>documents</w:t>
      </w:r>
      <w:r w:rsidRPr="00D6701F">
        <w:rPr>
          <w:sz w:val="22"/>
          <w:szCs w:val="22"/>
        </w:rPr>
        <w:t xml:space="preserve">. This will include tailored guidance </w:t>
      </w:r>
      <w:r w:rsidR="00A440EB">
        <w:rPr>
          <w:sz w:val="22"/>
          <w:szCs w:val="22"/>
        </w:rPr>
        <w:t>based on a firm’s strategy, business context, and/or adoption stage.</w:t>
      </w:r>
    </w:p>
    <w:p w14:paraId="4F82DD1B" w14:textId="77777777" w:rsidR="00D6701F" w:rsidRPr="00D6701F" w:rsidRDefault="00D6701F" w:rsidP="00A440EB">
      <w:pPr>
        <w:spacing w:after="0" w:line="240" w:lineRule="auto"/>
        <w:jc w:val="both"/>
        <w:rPr>
          <w:sz w:val="22"/>
          <w:szCs w:val="22"/>
        </w:rPr>
      </w:pPr>
    </w:p>
    <w:sectPr w:rsidR="00D6701F" w:rsidRPr="00D6701F" w:rsidSect="00A440E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87B2B"/>
    <w:multiLevelType w:val="multilevel"/>
    <w:tmpl w:val="07048BA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5BFD406C"/>
    <w:multiLevelType w:val="multilevel"/>
    <w:tmpl w:val="728E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5C62C4"/>
    <w:multiLevelType w:val="multilevel"/>
    <w:tmpl w:val="9EFA6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8C541D"/>
    <w:multiLevelType w:val="multilevel"/>
    <w:tmpl w:val="4D78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3548374">
    <w:abstractNumId w:val="0"/>
  </w:num>
  <w:num w:numId="2" w16cid:durableId="1391227700">
    <w:abstractNumId w:val="3"/>
  </w:num>
  <w:num w:numId="3" w16cid:durableId="1911764768">
    <w:abstractNumId w:val="1"/>
  </w:num>
  <w:num w:numId="4" w16cid:durableId="326321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01F"/>
    <w:rsid w:val="001865EF"/>
    <w:rsid w:val="00880BAA"/>
    <w:rsid w:val="00934726"/>
    <w:rsid w:val="00A440EB"/>
    <w:rsid w:val="00B35344"/>
    <w:rsid w:val="00B76BBB"/>
    <w:rsid w:val="00B82E15"/>
    <w:rsid w:val="00D6701F"/>
    <w:rsid w:val="00D702CE"/>
    <w:rsid w:val="00DC16A6"/>
    <w:rsid w:val="00E15DBE"/>
    <w:rsid w:val="00ED2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4F3A0"/>
  <w15:chartTrackingRefBased/>
  <w15:docId w15:val="{038BBF72-97E4-4B52-BA5B-6D8EB03FF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70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70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70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70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70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70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70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70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70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0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70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70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70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70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70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70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70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701F"/>
    <w:rPr>
      <w:rFonts w:eastAsiaTheme="majorEastAsia" w:cstheme="majorBidi"/>
      <w:color w:val="272727" w:themeColor="text1" w:themeTint="D8"/>
    </w:rPr>
  </w:style>
  <w:style w:type="paragraph" w:styleId="Title">
    <w:name w:val="Title"/>
    <w:basedOn w:val="Normal"/>
    <w:next w:val="Normal"/>
    <w:link w:val="TitleChar"/>
    <w:uiPriority w:val="10"/>
    <w:qFormat/>
    <w:rsid w:val="00D670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0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70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70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01F"/>
    <w:pPr>
      <w:spacing w:before="160"/>
      <w:jc w:val="center"/>
    </w:pPr>
    <w:rPr>
      <w:i/>
      <w:iCs/>
      <w:color w:val="404040" w:themeColor="text1" w:themeTint="BF"/>
    </w:rPr>
  </w:style>
  <w:style w:type="character" w:customStyle="1" w:styleId="QuoteChar">
    <w:name w:val="Quote Char"/>
    <w:basedOn w:val="DefaultParagraphFont"/>
    <w:link w:val="Quote"/>
    <w:uiPriority w:val="29"/>
    <w:rsid w:val="00D6701F"/>
    <w:rPr>
      <w:i/>
      <w:iCs/>
      <w:color w:val="404040" w:themeColor="text1" w:themeTint="BF"/>
    </w:rPr>
  </w:style>
  <w:style w:type="paragraph" w:styleId="ListParagraph">
    <w:name w:val="List Paragraph"/>
    <w:basedOn w:val="Normal"/>
    <w:uiPriority w:val="34"/>
    <w:qFormat/>
    <w:rsid w:val="00D6701F"/>
    <w:pPr>
      <w:ind w:left="720"/>
      <w:contextualSpacing/>
    </w:pPr>
  </w:style>
  <w:style w:type="character" w:styleId="IntenseEmphasis">
    <w:name w:val="Intense Emphasis"/>
    <w:basedOn w:val="DefaultParagraphFont"/>
    <w:uiPriority w:val="21"/>
    <w:qFormat/>
    <w:rsid w:val="00D6701F"/>
    <w:rPr>
      <w:i/>
      <w:iCs/>
      <w:color w:val="0F4761" w:themeColor="accent1" w:themeShade="BF"/>
    </w:rPr>
  </w:style>
  <w:style w:type="paragraph" w:styleId="IntenseQuote">
    <w:name w:val="Intense Quote"/>
    <w:basedOn w:val="Normal"/>
    <w:next w:val="Normal"/>
    <w:link w:val="IntenseQuoteChar"/>
    <w:uiPriority w:val="30"/>
    <w:qFormat/>
    <w:rsid w:val="00D670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701F"/>
    <w:rPr>
      <w:i/>
      <w:iCs/>
      <w:color w:val="0F4761" w:themeColor="accent1" w:themeShade="BF"/>
    </w:rPr>
  </w:style>
  <w:style w:type="character" w:styleId="IntenseReference">
    <w:name w:val="Intense Reference"/>
    <w:basedOn w:val="DefaultParagraphFont"/>
    <w:uiPriority w:val="32"/>
    <w:qFormat/>
    <w:rsid w:val="00D670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580</Words>
  <Characters>3576</Characters>
  <Application>Microsoft Office Word</Application>
  <DocSecurity>0</DocSecurity>
  <Lines>56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Patel</dc:creator>
  <cp:keywords/>
  <dc:description/>
  <cp:lastModifiedBy>Angela Patel</cp:lastModifiedBy>
  <cp:revision>9</cp:revision>
  <dcterms:created xsi:type="dcterms:W3CDTF">2026-01-08T18:43:00Z</dcterms:created>
  <dcterms:modified xsi:type="dcterms:W3CDTF">2026-01-14T14:36:00Z</dcterms:modified>
</cp:coreProperties>
</file>